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506F5" w14:textId="77777777" w:rsidR="00BD45A0" w:rsidRPr="00BC71A8" w:rsidRDefault="000F25A6" w:rsidP="00BC71A8">
      <w:pPr>
        <w:spacing w:after="0"/>
        <w:rPr>
          <w:rFonts w:ascii="Candara" w:hAnsi="Candara" w:cs="Arial"/>
          <w:b/>
          <w:color w:val="FF0066"/>
          <w:sz w:val="28"/>
          <w:szCs w:val="28"/>
        </w:rPr>
      </w:pPr>
      <w:bookmarkStart w:id="0" w:name="_Hlk31654886"/>
      <w:bookmarkEnd w:id="0"/>
      <w:r>
        <w:rPr>
          <w:rFonts w:ascii="Candara" w:hAnsi="Candara" w:cs="Arial"/>
          <w:b/>
          <w:noProof/>
          <w:color w:val="FF0066"/>
          <w:sz w:val="28"/>
          <w:szCs w:val="28"/>
          <w:lang w:val="pt-BR" w:eastAsia="pt-BR"/>
        </w:rPr>
        <w:drawing>
          <wp:anchor distT="0" distB="0" distL="114300" distR="114300" simplePos="0" relativeHeight="251658240" behindDoc="1" locked="0" layoutInCell="1" allowOverlap="1" wp14:anchorId="72144BCD" wp14:editId="0FACF01C">
            <wp:simplePos x="0" y="0"/>
            <wp:positionH relativeFrom="page">
              <wp:align>right</wp:align>
            </wp:positionH>
            <wp:positionV relativeFrom="paragraph">
              <wp:posOffset>-958215</wp:posOffset>
            </wp:positionV>
            <wp:extent cx="8267700" cy="10896600"/>
            <wp:effectExtent l="0" t="0" r="0" b="0"/>
            <wp:wrapNone/>
            <wp:docPr id="11" name="1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carta.jpg"/>
                    <pic:cNvPicPr/>
                  </pic:nvPicPr>
                  <pic:blipFill>
                    <a:blip r:embed="rId8">
                      <a:extLst>
                        <a:ext uri="{28A0092B-C50C-407E-A947-70E740481C1C}">
                          <a14:useLocalDpi xmlns:a14="http://schemas.microsoft.com/office/drawing/2010/main" val="0"/>
                        </a:ext>
                      </a:extLst>
                    </a:blip>
                    <a:stretch>
                      <a:fillRect/>
                    </a:stretch>
                  </pic:blipFill>
                  <pic:spPr>
                    <a:xfrm>
                      <a:off x="0" y="0"/>
                      <a:ext cx="8267700" cy="10896600"/>
                    </a:xfrm>
                    <a:prstGeom prst="rect">
                      <a:avLst/>
                    </a:prstGeom>
                  </pic:spPr>
                </pic:pic>
              </a:graphicData>
            </a:graphic>
            <wp14:sizeRelH relativeFrom="margin">
              <wp14:pctWidth>0</wp14:pctWidth>
            </wp14:sizeRelH>
            <wp14:sizeRelV relativeFrom="margin">
              <wp14:pctHeight>0</wp14:pctHeight>
            </wp14:sizeRelV>
          </wp:anchor>
        </w:drawing>
      </w:r>
    </w:p>
    <w:p w14:paraId="3A78CD01" w14:textId="77777777" w:rsidR="00DE63DA" w:rsidRDefault="00DE63DA" w:rsidP="00DE63DA">
      <w:pPr>
        <w:spacing w:after="0"/>
        <w:ind w:left="1416"/>
        <w:outlineLvl w:val="0"/>
        <w:rPr>
          <w:rFonts w:ascii="Arial" w:hAnsi="Arial" w:cs="Arial"/>
          <w:b/>
          <w:bCs/>
          <w:color w:val="7F7F7F" w:themeColor="text1" w:themeTint="80"/>
          <w:sz w:val="44"/>
          <w:szCs w:val="44"/>
        </w:rPr>
      </w:pPr>
    </w:p>
    <w:p w14:paraId="475D7DB3" w14:textId="77777777" w:rsidR="00DE63DA" w:rsidRDefault="00DE63DA" w:rsidP="00DE63DA">
      <w:pPr>
        <w:spacing w:after="0"/>
        <w:ind w:left="1416"/>
        <w:outlineLvl w:val="0"/>
        <w:rPr>
          <w:rFonts w:ascii="Arial" w:hAnsi="Arial" w:cs="Arial"/>
          <w:b/>
          <w:bCs/>
          <w:color w:val="7F7F7F" w:themeColor="text1" w:themeTint="80"/>
          <w:sz w:val="44"/>
          <w:szCs w:val="44"/>
        </w:rPr>
      </w:pPr>
    </w:p>
    <w:p w14:paraId="68AC09CD" w14:textId="77777777" w:rsidR="00DE63DA" w:rsidRDefault="00DE63DA" w:rsidP="00DE63DA">
      <w:pPr>
        <w:spacing w:after="0"/>
        <w:ind w:left="1416"/>
        <w:outlineLvl w:val="0"/>
        <w:rPr>
          <w:rFonts w:ascii="Arial" w:hAnsi="Arial" w:cs="Arial"/>
          <w:b/>
          <w:bCs/>
          <w:color w:val="7F7F7F" w:themeColor="text1" w:themeTint="80"/>
          <w:sz w:val="44"/>
          <w:szCs w:val="44"/>
        </w:rPr>
      </w:pPr>
    </w:p>
    <w:p w14:paraId="2B00EC25" w14:textId="77777777" w:rsidR="00DE63DA" w:rsidRDefault="00DE63DA" w:rsidP="00DE63DA">
      <w:pPr>
        <w:spacing w:after="0"/>
        <w:ind w:left="1416"/>
        <w:outlineLvl w:val="0"/>
        <w:rPr>
          <w:rFonts w:ascii="Arial" w:hAnsi="Arial" w:cs="Arial"/>
          <w:b/>
          <w:bCs/>
          <w:color w:val="7F7F7F" w:themeColor="text1" w:themeTint="80"/>
          <w:sz w:val="44"/>
          <w:szCs w:val="44"/>
        </w:rPr>
      </w:pPr>
    </w:p>
    <w:p w14:paraId="5D7005C8" w14:textId="77777777" w:rsidR="00DE63DA" w:rsidRDefault="00DE63DA" w:rsidP="00DE63DA">
      <w:pPr>
        <w:spacing w:after="0"/>
        <w:ind w:left="1416"/>
        <w:outlineLvl w:val="0"/>
        <w:rPr>
          <w:rFonts w:ascii="Arial" w:hAnsi="Arial" w:cs="Arial"/>
          <w:b/>
          <w:bCs/>
          <w:color w:val="7F7F7F" w:themeColor="text1" w:themeTint="80"/>
          <w:sz w:val="44"/>
          <w:szCs w:val="44"/>
        </w:rPr>
      </w:pPr>
    </w:p>
    <w:p w14:paraId="2D9AA84B" w14:textId="77777777" w:rsidR="00DE63DA" w:rsidRDefault="00DE63DA" w:rsidP="00DE63DA">
      <w:pPr>
        <w:spacing w:after="0"/>
        <w:ind w:left="1416"/>
        <w:outlineLvl w:val="0"/>
        <w:rPr>
          <w:rFonts w:ascii="Arial" w:hAnsi="Arial" w:cs="Arial"/>
          <w:b/>
          <w:bCs/>
          <w:color w:val="7F7F7F" w:themeColor="text1" w:themeTint="80"/>
          <w:sz w:val="44"/>
          <w:szCs w:val="44"/>
        </w:rPr>
      </w:pPr>
    </w:p>
    <w:p w14:paraId="21370889" w14:textId="77777777" w:rsidR="00DE63DA" w:rsidRDefault="00DE63DA" w:rsidP="00DE63DA">
      <w:pPr>
        <w:spacing w:after="0"/>
        <w:ind w:left="1416"/>
        <w:outlineLvl w:val="0"/>
        <w:rPr>
          <w:rFonts w:ascii="Arial" w:hAnsi="Arial" w:cs="Arial"/>
          <w:b/>
          <w:bCs/>
          <w:color w:val="7F7F7F" w:themeColor="text1" w:themeTint="80"/>
          <w:sz w:val="44"/>
          <w:szCs w:val="44"/>
        </w:rPr>
      </w:pPr>
    </w:p>
    <w:p w14:paraId="574F2797" w14:textId="77777777" w:rsidR="00DE63DA" w:rsidRDefault="00DE63DA" w:rsidP="00DE63DA">
      <w:pPr>
        <w:spacing w:after="0"/>
        <w:ind w:left="1416"/>
        <w:outlineLvl w:val="0"/>
        <w:rPr>
          <w:rFonts w:ascii="Arial" w:hAnsi="Arial" w:cs="Arial"/>
          <w:b/>
          <w:bCs/>
          <w:color w:val="7F7F7F" w:themeColor="text1" w:themeTint="80"/>
          <w:sz w:val="44"/>
          <w:szCs w:val="44"/>
        </w:rPr>
      </w:pPr>
    </w:p>
    <w:p w14:paraId="12AEB210" w14:textId="77777777" w:rsidR="00DE63DA" w:rsidRDefault="00DE63DA" w:rsidP="00DE63DA">
      <w:pPr>
        <w:spacing w:after="0"/>
        <w:ind w:left="1416"/>
        <w:outlineLvl w:val="0"/>
        <w:rPr>
          <w:rFonts w:ascii="Arial" w:hAnsi="Arial" w:cs="Arial"/>
          <w:b/>
          <w:bCs/>
          <w:color w:val="7F7F7F" w:themeColor="text1" w:themeTint="80"/>
          <w:sz w:val="44"/>
          <w:szCs w:val="44"/>
        </w:rPr>
      </w:pPr>
    </w:p>
    <w:p w14:paraId="52F1B9FF" w14:textId="77777777" w:rsidR="00DE63DA" w:rsidRDefault="00DE63DA" w:rsidP="00DE63DA">
      <w:pPr>
        <w:spacing w:after="0"/>
        <w:outlineLvl w:val="0"/>
        <w:rPr>
          <w:rFonts w:ascii="Arial" w:hAnsi="Arial" w:cs="Arial"/>
          <w:b/>
          <w:bCs/>
          <w:color w:val="7F7F7F" w:themeColor="text1" w:themeTint="80"/>
          <w:sz w:val="44"/>
          <w:szCs w:val="44"/>
        </w:rPr>
      </w:pPr>
    </w:p>
    <w:p w14:paraId="1E794F98" w14:textId="5D445B33" w:rsidR="00BD45A0" w:rsidRDefault="00D136BB" w:rsidP="00DE63DA">
      <w:pPr>
        <w:spacing w:after="0"/>
        <w:outlineLvl w:val="0"/>
        <w:rPr>
          <w:rFonts w:ascii="Arial" w:hAnsi="Arial" w:cs="Arial"/>
          <w:b/>
          <w:bCs/>
          <w:color w:val="00B0F0"/>
          <w:sz w:val="60"/>
          <w:szCs w:val="60"/>
        </w:rPr>
      </w:pPr>
      <w:r w:rsidRPr="00696836">
        <w:rPr>
          <w:rFonts w:ascii="Arial" w:hAnsi="Arial" w:cs="Arial"/>
          <w:b/>
          <w:bCs/>
          <w:color w:val="00B0F0"/>
          <w:sz w:val="60"/>
          <w:szCs w:val="60"/>
        </w:rPr>
        <w:t xml:space="preserve"> </w:t>
      </w:r>
      <w:r w:rsidR="00C353E4" w:rsidRPr="00696836">
        <w:rPr>
          <w:rFonts w:ascii="Arial" w:hAnsi="Arial" w:cs="Arial"/>
          <w:b/>
          <w:bCs/>
          <w:color w:val="00B0F0"/>
          <w:sz w:val="60"/>
          <w:szCs w:val="60"/>
        </w:rPr>
        <w:t>AGENDA</w:t>
      </w:r>
      <w:r w:rsidRPr="00696836">
        <w:rPr>
          <w:rFonts w:ascii="Arial" w:hAnsi="Arial" w:cs="Arial"/>
          <w:b/>
          <w:bCs/>
          <w:color w:val="00B0F0"/>
          <w:sz w:val="60"/>
          <w:szCs w:val="60"/>
        </w:rPr>
        <w:t xml:space="preserve"> </w:t>
      </w:r>
      <w:r w:rsidR="00C353E4" w:rsidRPr="00696836">
        <w:rPr>
          <w:rFonts w:ascii="Arial" w:hAnsi="Arial" w:cs="Arial"/>
          <w:b/>
          <w:bCs/>
          <w:color w:val="00B0F0"/>
          <w:sz w:val="60"/>
          <w:szCs w:val="60"/>
        </w:rPr>
        <w:t>ARCAL</w:t>
      </w:r>
      <w:r w:rsidRPr="00696836">
        <w:rPr>
          <w:rFonts w:ascii="Arial" w:hAnsi="Arial" w:cs="Arial"/>
          <w:b/>
          <w:bCs/>
          <w:color w:val="00B0F0"/>
          <w:sz w:val="60"/>
          <w:szCs w:val="60"/>
        </w:rPr>
        <w:t xml:space="preserve"> </w:t>
      </w:r>
      <w:r w:rsidR="00C353E4" w:rsidRPr="00696836">
        <w:rPr>
          <w:rFonts w:ascii="Arial" w:hAnsi="Arial" w:cs="Arial"/>
          <w:b/>
          <w:bCs/>
          <w:color w:val="00B0F0"/>
          <w:sz w:val="60"/>
          <w:szCs w:val="60"/>
        </w:rPr>
        <w:t>2030</w:t>
      </w:r>
    </w:p>
    <w:p w14:paraId="226B9E14" w14:textId="159C23FC" w:rsidR="00E02102" w:rsidRDefault="00E02102" w:rsidP="00DE63DA">
      <w:pPr>
        <w:spacing w:after="0"/>
        <w:outlineLvl w:val="0"/>
        <w:rPr>
          <w:rFonts w:ascii="Arial" w:hAnsi="Arial" w:cs="Arial"/>
          <w:b/>
          <w:bCs/>
          <w:color w:val="00B0F0"/>
          <w:sz w:val="60"/>
          <w:szCs w:val="60"/>
        </w:rPr>
      </w:pPr>
    </w:p>
    <w:p w14:paraId="758B092F" w14:textId="77777777" w:rsidR="00E02102" w:rsidRDefault="00E02102" w:rsidP="00DE63DA">
      <w:pPr>
        <w:spacing w:after="0"/>
        <w:outlineLvl w:val="0"/>
        <w:rPr>
          <w:rFonts w:ascii="Arial" w:hAnsi="Arial" w:cs="Arial"/>
          <w:b/>
          <w:bCs/>
          <w:color w:val="00B0F0"/>
          <w:sz w:val="44"/>
          <w:szCs w:val="44"/>
        </w:rPr>
      </w:pPr>
      <w:r w:rsidRPr="00E02102">
        <w:rPr>
          <w:rFonts w:ascii="Arial" w:hAnsi="Arial" w:cs="Arial"/>
          <w:b/>
          <w:bCs/>
          <w:color w:val="00B0F0"/>
          <w:sz w:val="44"/>
          <w:szCs w:val="44"/>
        </w:rPr>
        <w:t xml:space="preserve">Perfil Estratégico Regional </w:t>
      </w:r>
    </w:p>
    <w:p w14:paraId="221D2F4C" w14:textId="6702E7FF" w:rsidR="00E02102" w:rsidRPr="00E02102" w:rsidRDefault="00E02102" w:rsidP="00DE63DA">
      <w:pPr>
        <w:spacing w:after="0"/>
        <w:outlineLvl w:val="0"/>
        <w:rPr>
          <w:rFonts w:ascii="Arial" w:hAnsi="Arial" w:cs="Arial"/>
          <w:b/>
          <w:bCs/>
          <w:color w:val="00B0F0"/>
          <w:sz w:val="44"/>
          <w:szCs w:val="44"/>
        </w:rPr>
      </w:pPr>
      <w:r w:rsidRPr="00E02102">
        <w:rPr>
          <w:rFonts w:ascii="Arial" w:hAnsi="Arial" w:cs="Arial"/>
          <w:b/>
          <w:bCs/>
          <w:color w:val="00B0F0"/>
          <w:sz w:val="44"/>
          <w:szCs w:val="44"/>
        </w:rPr>
        <w:t>para América Latina y el Caribe</w:t>
      </w:r>
    </w:p>
    <w:p w14:paraId="2EEF3989" w14:textId="77777777" w:rsidR="00C353E4" w:rsidRDefault="00C353E4" w:rsidP="00C353E4">
      <w:pPr>
        <w:spacing w:after="0"/>
        <w:jc w:val="both"/>
        <w:outlineLvl w:val="0"/>
        <w:rPr>
          <w:rFonts w:ascii="Arial" w:hAnsi="Arial" w:cs="Arial"/>
          <w:b/>
          <w:bCs/>
          <w:color w:val="00B0F0"/>
          <w:sz w:val="44"/>
          <w:szCs w:val="44"/>
        </w:rPr>
      </w:pPr>
    </w:p>
    <w:p w14:paraId="659F325B" w14:textId="77777777" w:rsidR="00BD45A0" w:rsidRPr="00DE63DA" w:rsidRDefault="00BD45A0" w:rsidP="00DE63DA">
      <w:pPr>
        <w:spacing w:after="0" w:line="240" w:lineRule="auto"/>
        <w:ind w:left="1416"/>
        <w:outlineLvl w:val="0"/>
        <w:rPr>
          <w:rFonts w:ascii="Arial" w:hAnsi="Arial" w:cs="Arial"/>
          <w:b/>
          <w:bCs/>
          <w:color w:val="00B050"/>
          <w:sz w:val="28"/>
          <w:szCs w:val="28"/>
        </w:rPr>
      </w:pPr>
    </w:p>
    <w:p w14:paraId="275BB01E" w14:textId="77777777" w:rsidR="00507869" w:rsidRPr="00DE63DA" w:rsidRDefault="00507869" w:rsidP="00BC71A8">
      <w:pPr>
        <w:spacing w:after="0" w:line="240" w:lineRule="auto"/>
        <w:ind w:left="3540"/>
        <w:outlineLvl w:val="0"/>
        <w:rPr>
          <w:rFonts w:ascii="Arial" w:hAnsi="Arial" w:cs="Arial"/>
          <w:bCs/>
          <w:color w:val="FF0066"/>
          <w:sz w:val="36"/>
          <w:szCs w:val="36"/>
        </w:rPr>
      </w:pPr>
    </w:p>
    <w:p w14:paraId="1BD787B5" w14:textId="77777777" w:rsidR="00ED61A6" w:rsidRDefault="00BD45A0" w:rsidP="001F4FCE">
      <w:pPr>
        <w:spacing w:after="0"/>
        <w:jc w:val="center"/>
        <w:rPr>
          <w:rFonts w:ascii="Arial" w:hAnsi="Arial" w:cs="Arial"/>
          <w:b/>
          <w:color w:val="00B0F0"/>
          <w:sz w:val="36"/>
          <w:szCs w:val="36"/>
        </w:rPr>
      </w:pPr>
      <w:r w:rsidRPr="00DE63DA">
        <w:rPr>
          <w:rFonts w:ascii="Arial" w:hAnsi="Arial" w:cs="Arial"/>
          <w:b/>
          <w:color w:val="FF0066"/>
          <w:sz w:val="28"/>
          <w:szCs w:val="28"/>
        </w:rPr>
        <w:br w:type="page"/>
      </w:r>
      <w:r w:rsidR="00DE63DA" w:rsidRPr="00DE63DA">
        <w:rPr>
          <w:rFonts w:ascii="Arial" w:hAnsi="Arial" w:cs="Arial"/>
          <w:b/>
          <w:color w:val="00B0F0"/>
          <w:sz w:val="36"/>
          <w:szCs w:val="36"/>
        </w:rPr>
        <w:lastRenderedPageBreak/>
        <w:t>C</w:t>
      </w:r>
      <w:r w:rsidR="001F4FCE">
        <w:rPr>
          <w:rFonts w:ascii="Arial" w:hAnsi="Arial" w:cs="Arial"/>
          <w:b/>
          <w:color w:val="00B0F0"/>
          <w:sz w:val="36"/>
          <w:szCs w:val="36"/>
        </w:rPr>
        <w:t>ONTENIDO</w:t>
      </w:r>
    </w:p>
    <w:p w14:paraId="367DEDD1" w14:textId="77777777" w:rsidR="003D6B4B" w:rsidRDefault="003D6B4B" w:rsidP="001F4FCE">
      <w:pPr>
        <w:spacing w:after="0"/>
        <w:jc w:val="center"/>
        <w:rPr>
          <w:rFonts w:ascii="Arial" w:hAnsi="Arial" w:cs="Arial"/>
          <w:b/>
          <w:color w:val="00B0F0"/>
          <w:sz w:val="36"/>
          <w:szCs w:val="36"/>
        </w:rPr>
      </w:pPr>
    </w:p>
    <w:p w14:paraId="18193435" w14:textId="7EA19AEA" w:rsidR="003D6B4B" w:rsidRDefault="003D6B4B" w:rsidP="003D6B4B">
      <w:pPr>
        <w:pStyle w:val="TOC1"/>
        <w:rPr>
          <w:rFonts w:asciiTheme="minorHAnsi" w:eastAsiaTheme="minorEastAsia" w:hAnsiTheme="minorHAnsi" w:cstheme="minorBidi"/>
          <w:bCs w:val="0"/>
          <w:iCs w:val="0"/>
          <w:caps w:val="0"/>
          <w:sz w:val="22"/>
          <w:szCs w:val="22"/>
          <w:lang w:val="es-ES" w:eastAsia="es-ES"/>
        </w:rPr>
      </w:pPr>
      <w:r>
        <w:rPr>
          <w:bCs w:val="0"/>
          <w:iCs w:val="0"/>
        </w:rPr>
        <w:fldChar w:fldCharType="begin"/>
      </w:r>
      <w:r>
        <w:rPr>
          <w:bCs w:val="0"/>
          <w:iCs w:val="0"/>
        </w:rPr>
        <w:instrText xml:space="preserve"> TOC \o "1-3" \h \z \u </w:instrText>
      </w:r>
      <w:r>
        <w:rPr>
          <w:bCs w:val="0"/>
          <w:iCs w:val="0"/>
        </w:rPr>
        <w:fldChar w:fldCharType="separate"/>
      </w:r>
      <w:hyperlink w:anchor="_Toc385241539" w:history="1">
        <w:r w:rsidRPr="00905489">
          <w:rPr>
            <w:rStyle w:val="Hyperlink"/>
            <w:lang w:val="es-ES"/>
          </w:rPr>
          <w:t>1.</w:t>
        </w:r>
        <w:r>
          <w:rPr>
            <w:rFonts w:asciiTheme="minorHAnsi" w:eastAsiaTheme="minorEastAsia" w:hAnsiTheme="minorHAnsi" w:cstheme="minorBidi"/>
            <w:bCs w:val="0"/>
            <w:iCs w:val="0"/>
            <w:caps w:val="0"/>
            <w:sz w:val="22"/>
            <w:szCs w:val="22"/>
            <w:lang w:val="es-ES" w:eastAsia="es-ES"/>
          </w:rPr>
          <w:tab/>
        </w:r>
        <w:bookmarkStart w:id="1" w:name="_Hlk31742977"/>
        <w:r w:rsidRPr="00905489">
          <w:rPr>
            <w:rStyle w:val="Hyperlink"/>
            <w:lang w:val="es-ES"/>
          </w:rPr>
          <w:t>PRESENTACIÓN</w:t>
        </w:r>
        <w:r w:rsidR="00D136BB">
          <w:rPr>
            <w:rStyle w:val="Hyperlink"/>
            <w:lang w:val="es-ES"/>
          </w:rPr>
          <w:t xml:space="preserve"> </w:t>
        </w:r>
        <w:r w:rsidRPr="00905489">
          <w:rPr>
            <w:rStyle w:val="Hyperlink"/>
            <w:lang w:val="es-ES"/>
          </w:rPr>
          <w:t>DE</w:t>
        </w:r>
        <w:r w:rsidR="007B1665">
          <w:rPr>
            <w:rStyle w:val="Hyperlink"/>
            <w:lang w:val="es-ES"/>
          </w:rPr>
          <w:t xml:space="preserve"> </w:t>
        </w:r>
        <w:bookmarkEnd w:id="1"/>
        <w:r w:rsidR="007B1665" w:rsidRPr="007B1665">
          <w:rPr>
            <w:rStyle w:val="Hyperlink"/>
            <w:lang w:val="es-ES"/>
          </w:rPr>
          <w:t>LA AGENDA ARCAL 2030</w:t>
        </w:r>
        <w:r>
          <w:rPr>
            <w:webHidden/>
          </w:rPr>
          <w:tab/>
        </w:r>
        <w:r w:rsidR="00F6513B">
          <w:rPr>
            <w:webHidden/>
          </w:rPr>
          <w:t>4</w:t>
        </w:r>
      </w:hyperlink>
    </w:p>
    <w:p w14:paraId="19F4A175" w14:textId="067604DB"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40" w:history="1">
        <w:r w:rsidR="003D6B4B" w:rsidRPr="00905489">
          <w:rPr>
            <w:rStyle w:val="Hyperlink"/>
            <w:lang w:val="es-ES"/>
          </w:rPr>
          <w:t>1.1.</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INTRODUCCIÓN</w:t>
        </w:r>
        <w:r w:rsidR="003D6B4B">
          <w:rPr>
            <w:webHidden/>
          </w:rPr>
          <w:tab/>
        </w:r>
        <w:r w:rsidR="00F6513B">
          <w:rPr>
            <w:webHidden/>
          </w:rPr>
          <w:t>4</w:t>
        </w:r>
      </w:hyperlink>
    </w:p>
    <w:p w14:paraId="110F769F" w14:textId="59E68AFD"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42" w:history="1">
        <w:r w:rsidR="003D6B4B" w:rsidRPr="00905489">
          <w:rPr>
            <w:rStyle w:val="Hyperlink"/>
            <w:lang w:val="es-ES"/>
          </w:rPr>
          <w:t>1.</w:t>
        </w:r>
        <w:r w:rsidR="007714F9">
          <w:rPr>
            <w:rStyle w:val="Hyperlink"/>
            <w:lang w:val="es-ES"/>
          </w:rPr>
          <w:t>2</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OBJETIVO</w:t>
        </w:r>
        <w:r w:rsidR="00D136BB">
          <w:rPr>
            <w:rStyle w:val="Hyperlink"/>
            <w:lang w:val="es-ES"/>
          </w:rPr>
          <w:t xml:space="preserve"> </w:t>
        </w:r>
        <w:r w:rsidR="003D6B4B" w:rsidRPr="00905489">
          <w:rPr>
            <w:rStyle w:val="Hyperlink"/>
            <w:lang w:val="es-ES"/>
          </w:rPr>
          <w:t>DEL</w:t>
        </w:r>
        <w:r w:rsidR="00D136BB">
          <w:rPr>
            <w:rStyle w:val="Hyperlink"/>
            <w:lang w:val="es-ES"/>
          </w:rPr>
          <w:t xml:space="preserve"> </w:t>
        </w:r>
        <w:r w:rsidR="003D6B4B" w:rsidRPr="00905489">
          <w:rPr>
            <w:rStyle w:val="Hyperlink"/>
            <w:lang w:val="es-ES"/>
          </w:rPr>
          <w:t>PERFIL</w:t>
        </w:r>
        <w:r w:rsidR="00D136BB">
          <w:rPr>
            <w:rStyle w:val="Hyperlink"/>
            <w:lang w:val="es-ES"/>
          </w:rPr>
          <w:t xml:space="preserve"> </w:t>
        </w:r>
        <w:r w:rsidR="003D6B4B" w:rsidRPr="00905489">
          <w:rPr>
            <w:rStyle w:val="Hyperlink"/>
            <w:lang w:val="es-ES"/>
          </w:rPr>
          <w:t>ESTRATÉGICO</w:t>
        </w:r>
        <w:r w:rsidR="00D136BB">
          <w:rPr>
            <w:rStyle w:val="Hyperlink"/>
            <w:lang w:val="es-ES"/>
          </w:rPr>
          <w:t xml:space="preserve"> </w:t>
        </w:r>
        <w:r w:rsidR="003D6B4B" w:rsidRPr="00905489">
          <w:rPr>
            <w:rStyle w:val="Hyperlink"/>
            <w:lang w:val="es-ES"/>
          </w:rPr>
          <w:t>REGIONAL</w:t>
        </w:r>
        <w:r w:rsidR="007714F9">
          <w:rPr>
            <w:rStyle w:val="Hyperlink"/>
            <w:lang w:val="es-ES"/>
          </w:rPr>
          <w:t>……………...</w:t>
        </w:r>
        <w:r w:rsidR="00D136BB">
          <w:rPr>
            <w:rStyle w:val="Hyperlink"/>
            <w:lang w:val="es-ES"/>
          </w:rPr>
          <w:t xml:space="preserve"> </w:t>
        </w:r>
        <w:r w:rsidR="007714F9">
          <w:rPr>
            <w:webHidden/>
          </w:rPr>
          <w:t>5</w:t>
        </w:r>
      </w:hyperlink>
    </w:p>
    <w:p w14:paraId="1946622B" w14:textId="5196BFFF"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43" w:history="1">
        <w:r w:rsidR="003D6B4B" w:rsidRPr="00905489">
          <w:rPr>
            <w:rStyle w:val="Hyperlink"/>
            <w:lang w:val="es-ES"/>
          </w:rPr>
          <w:t>1.</w:t>
        </w:r>
        <w:r w:rsidR="007714F9">
          <w:rPr>
            <w:rStyle w:val="Hyperlink"/>
            <w:lang w:val="es-ES"/>
          </w:rPr>
          <w:t>3</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ALCANCE</w:t>
        </w:r>
        <w:r w:rsidR="00D136BB">
          <w:rPr>
            <w:rStyle w:val="Hyperlink"/>
            <w:lang w:val="es-ES"/>
          </w:rPr>
          <w:t xml:space="preserve"> </w:t>
        </w:r>
        <w:r w:rsidR="003D6B4B" w:rsidRPr="00905489">
          <w:rPr>
            <w:rStyle w:val="Hyperlink"/>
            <w:lang w:val="es-ES"/>
          </w:rPr>
          <w:t>DEL</w:t>
        </w:r>
        <w:r w:rsidR="00D136BB">
          <w:rPr>
            <w:rStyle w:val="Hyperlink"/>
            <w:lang w:val="es-ES"/>
          </w:rPr>
          <w:t xml:space="preserve"> </w:t>
        </w:r>
        <w:r w:rsidR="007B1665" w:rsidRPr="007B1665">
          <w:rPr>
            <w:rStyle w:val="Hyperlink"/>
            <w:lang w:val="es-ES"/>
          </w:rPr>
          <w:t>PERFIL ESTRATÉGICO REGIONA</w:t>
        </w:r>
        <w:r>
          <w:rPr>
            <w:rStyle w:val="Hyperlink"/>
            <w:lang w:val="es-ES"/>
          </w:rPr>
          <w:t>L</w:t>
        </w:r>
        <w:r w:rsidR="003D6B4B">
          <w:rPr>
            <w:webHidden/>
          </w:rPr>
          <w:tab/>
        </w:r>
        <w:r w:rsidR="007714F9">
          <w:rPr>
            <w:webHidden/>
          </w:rPr>
          <w:t>5</w:t>
        </w:r>
      </w:hyperlink>
    </w:p>
    <w:p w14:paraId="149B9023" w14:textId="6EDD84CC" w:rsidR="00F6513B" w:rsidRPr="00F6513B" w:rsidRDefault="001D6963" w:rsidP="00A56304">
      <w:pPr>
        <w:pStyle w:val="TOC2"/>
      </w:pPr>
      <w:hyperlink w:anchor="_Toc385241544" w:history="1">
        <w:r w:rsidR="003D6B4B" w:rsidRPr="00905489">
          <w:rPr>
            <w:rStyle w:val="Hyperlink"/>
            <w:lang w:val="es-ES"/>
          </w:rPr>
          <w:t>1.</w:t>
        </w:r>
        <w:r w:rsidR="007714F9">
          <w:rPr>
            <w:rStyle w:val="Hyperlink"/>
            <w:lang w:val="es-ES"/>
          </w:rPr>
          <w:t>4</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CONTENIDO</w:t>
        </w:r>
        <w:r w:rsidR="00D136BB">
          <w:rPr>
            <w:rStyle w:val="Hyperlink"/>
            <w:lang w:val="es-ES"/>
          </w:rPr>
          <w:t xml:space="preserve"> </w:t>
        </w:r>
        <w:r w:rsidR="003D6B4B" w:rsidRPr="00905489">
          <w:rPr>
            <w:rStyle w:val="Hyperlink"/>
            <w:lang w:val="es-ES"/>
          </w:rPr>
          <w:t>DEL</w:t>
        </w:r>
        <w:r w:rsidR="00D136BB">
          <w:rPr>
            <w:rStyle w:val="Hyperlink"/>
            <w:lang w:val="es-ES"/>
          </w:rPr>
          <w:t xml:space="preserve"> </w:t>
        </w:r>
        <w:r w:rsidR="007B1665" w:rsidRPr="007B1665">
          <w:rPr>
            <w:rStyle w:val="Hyperlink"/>
            <w:lang w:val="es-ES"/>
          </w:rPr>
          <w:t>PERFIL ESTRATÉGICO REGIONA</w:t>
        </w:r>
        <w:r>
          <w:rPr>
            <w:rStyle w:val="Hyperlink"/>
            <w:lang w:val="es-ES"/>
          </w:rPr>
          <w:t>L</w:t>
        </w:r>
        <w:r w:rsidR="003D6B4B">
          <w:rPr>
            <w:webHidden/>
          </w:rPr>
          <w:tab/>
        </w:r>
        <w:r w:rsidR="007714F9">
          <w:rPr>
            <w:webHidden/>
          </w:rPr>
          <w:t>6</w:t>
        </w:r>
      </w:hyperlink>
    </w:p>
    <w:p w14:paraId="37141D41" w14:textId="50B2F19C" w:rsidR="003D6B4B" w:rsidRPr="006C45C9" w:rsidRDefault="003D6B4B" w:rsidP="003D6B4B">
      <w:pPr>
        <w:pStyle w:val="BodyText"/>
        <w:spacing w:after="0"/>
        <w:ind w:left="567"/>
        <w:rPr>
          <w:rFonts w:eastAsiaTheme="minorEastAsia"/>
          <w:lang w:val="es-419"/>
        </w:rPr>
      </w:pPr>
      <w:r w:rsidRPr="006C45C9">
        <w:rPr>
          <w:rFonts w:eastAsiaTheme="minorEastAsia"/>
          <w:lang w:val="es-419"/>
        </w:rPr>
        <w:t>1.</w:t>
      </w:r>
      <w:r w:rsidR="007714F9" w:rsidRPr="006C45C9">
        <w:rPr>
          <w:rFonts w:eastAsiaTheme="minorEastAsia"/>
          <w:lang w:val="es-419"/>
        </w:rPr>
        <w:t>5</w:t>
      </w:r>
      <w:r w:rsidR="007F08BA" w:rsidRPr="006C45C9">
        <w:rPr>
          <w:rFonts w:eastAsiaTheme="minorEastAsia"/>
          <w:b/>
          <w:bCs/>
          <w:lang w:val="es-419"/>
        </w:rPr>
        <w:t>.</w:t>
      </w:r>
      <w:r w:rsidR="00D136BB">
        <w:rPr>
          <w:rFonts w:eastAsiaTheme="minorEastAsia"/>
          <w:lang w:val="es-419"/>
        </w:rPr>
        <w:t xml:space="preserve">        </w:t>
      </w:r>
      <w:r w:rsidRPr="006C45C9">
        <w:rPr>
          <w:rFonts w:eastAsiaTheme="minorEastAsia"/>
          <w:lang w:val="es-419"/>
        </w:rPr>
        <w:t>METODOLOGÍA</w:t>
      </w:r>
      <w:r w:rsidR="00D136BB">
        <w:rPr>
          <w:rFonts w:eastAsiaTheme="minorEastAsia"/>
          <w:lang w:val="es-419"/>
        </w:rPr>
        <w:t xml:space="preserve"> </w:t>
      </w:r>
      <w:r w:rsidRPr="006C45C9">
        <w:rPr>
          <w:rFonts w:eastAsiaTheme="minorEastAsia"/>
          <w:lang w:val="es-419"/>
        </w:rPr>
        <w:t>PARA</w:t>
      </w:r>
      <w:r w:rsidR="00D136BB">
        <w:rPr>
          <w:rFonts w:eastAsiaTheme="minorEastAsia"/>
          <w:lang w:val="es-419"/>
        </w:rPr>
        <w:t xml:space="preserve"> </w:t>
      </w:r>
      <w:r w:rsidRPr="006C45C9">
        <w:rPr>
          <w:rFonts w:eastAsiaTheme="minorEastAsia"/>
          <w:lang w:val="es-419"/>
        </w:rPr>
        <w:t>LA</w:t>
      </w:r>
      <w:r w:rsidR="00D136BB">
        <w:rPr>
          <w:rFonts w:eastAsiaTheme="minorEastAsia"/>
          <w:lang w:val="es-419"/>
        </w:rPr>
        <w:t xml:space="preserve"> </w:t>
      </w:r>
      <w:r w:rsidRPr="006C45C9">
        <w:rPr>
          <w:rFonts w:eastAsiaTheme="minorEastAsia"/>
          <w:lang w:val="es-419"/>
        </w:rPr>
        <w:t>FORMULACIÓN</w:t>
      </w:r>
      <w:r w:rsidR="00D136BB">
        <w:rPr>
          <w:rFonts w:eastAsiaTheme="minorEastAsia"/>
          <w:lang w:val="es-419"/>
        </w:rPr>
        <w:t xml:space="preserve"> </w:t>
      </w:r>
      <w:r w:rsidRPr="006C45C9">
        <w:rPr>
          <w:rFonts w:eastAsiaTheme="minorEastAsia"/>
          <w:lang w:val="es-419"/>
        </w:rPr>
        <w:t>DEL</w:t>
      </w:r>
      <w:r w:rsidR="00D136BB">
        <w:rPr>
          <w:rFonts w:eastAsiaTheme="minorEastAsia"/>
          <w:lang w:val="es-419"/>
        </w:rPr>
        <w:t xml:space="preserve"> </w:t>
      </w:r>
      <w:r w:rsidR="001D6963" w:rsidRPr="001D6963">
        <w:rPr>
          <w:rFonts w:eastAsiaTheme="minorEastAsia"/>
          <w:lang w:val="es-419"/>
        </w:rPr>
        <w:t>PERFIL ESTRATÉGICO REGIONA</w:t>
      </w:r>
      <w:r w:rsidR="001D6963">
        <w:rPr>
          <w:rFonts w:eastAsiaTheme="minorEastAsia"/>
          <w:lang w:val="es-419"/>
        </w:rPr>
        <w:t>L</w:t>
      </w:r>
      <w:r w:rsidRPr="006C45C9">
        <w:rPr>
          <w:rFonts w:eastAsiaTheme="minorEastAsia"/>
          <w:lang w:val="es-419"/>
        </w:rPr>
        <w:t>…………….</w:t>
      </w:r>
      <w:r w:rsidR="007714F9" w:rsidRPr="006C45C9">
        <w:rPr>
          <w:rFonts w:eastAsiaTheme="minorEastAsia"/>
          <w:lang w:val="es-419"/>
        </w:rPr>
        <w:t>6</w:t>
      </w:r>
    </w:p>
    <w:p w14:paraId="19B3057B" w14:textId="14657803"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45" w:history="1">
        <w:r w:rsidR="003D6B4B" w:rsidRPr="00905489">
          <w:rPr>
            <w:rStyle w:val="Hyperlink"/>
            <w:lang w:val="es-ES"/>
          </w:rPr>
          <w:t>1.</w:t>
        </w:r>
        <w:r w:rsidR="007714F9" w:rsidRPr="007F08BA">
          <w:rPr>
            <w:rStyle w:val="Hyperlink"/>
            <w:u w:val="none"/>
            <w:lang w:val="es-ES"/>
          </w:rPr>
          <w:t>6</w:t>
        </w:r>
        <w:r w:rsidR="007F08BA">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RESULTADOS</w:t>
        </w:r>
        <w:r w:rsidR="00D136BB">
          <w:rPr>
            <w:rStyle w:val="Hyperlink"/>
            <w:lang w:val="es-ES"/>
          </w:rPr>
          <w:t xml:space="preserve"> </w:t>
        </w:r>
        <w:r w:rsidR="003D6B4B" w:rsidRPr="00905489">
          <w:rPr>
            <w:rStyle w:val="Hyperlink"/>
            <w:lang w:val="es-ES"/>
          </w:rPr>
          <w:t>GENERALES</w:t>
        </w:r>
        <w:r w:rsidR="003D6B4B">
          <w:rPr>
            <w:webHidden/>
          </w:rPr>
          <w:tab/>
        </w:r>
        <w:r w:rsidR="00D337FF">
          <w:rPr>
            <w:webHidden/>
          </w:rPr>
          <w:t>7</w:t>
        </w:r>
      </w:hyperlink>
    </w:p>
    <w:p w14:paraId="03E60260" w14:textId="79DE314E" w:rsidR="003D6B4B" w:rsidRPr="007F08BA" w:rsidRDefault="001D6963" w:rsidP="003D6B4B">
      <w:pPr>
        <w:pStyle w:val="TOC2"/>
        <w:rPr>
          <w:sz w:val="22"/>
          <w:szCs w:val="24"/>
        </w:rPr>
      </w:pPr>
      <w:hyperlink w:anchor="_Toc385241546" w:history="1">
        <w:r w:rsidR="003D6B4B" w:rsidRPr="007F08BA">
          <w:rPr>
            <w:rStyle w:val="Hyperlink"/>
            <w:sz w:val="22"/>
            <w:szCs w:val="24"/>
            <w:lang w:val="es-ES"/>
          </w:rPr>
          <w:t>1.</w:t>
        </w:r>
        <w:r w:rsidR="007714F9" w:rsidRPr="007F08BA">
          <w:rPr>
            <w:rStyle w:val="Hyperlink"/>
            <w:sz w:val="22"/>
            <w:szCs w:val="24"/>
            <w:u w:val="none"/>
            <w:lang w:val="es-ES"/>
          </w:rPr>
          <w:t>7</w:t>
        </w:r>
        <w:r w:rsidR="003D6B4B" w:rsidRPr="007F08BA">
          <w:rPr>
            <w:rStyle w:val="Hyperlink"/>
            <w:sz w:val="22"/>
            <w:szCs w:val="24"/>
            <w:lang w:val="es-ES"/>
          </w:rPr>
          <w:t>.</w:t>
        </w:r>
        <w:r w:rsidR="003D6B4B" w:rsidRPr="007F08BA">
          <w:rPr>
            <w:rFonts w:asciiTheme="minorHAnsi" w:eastAsiaTheme="minorEastAsia" w:hAnsiTheme="minorHAnsi" w:cstheme="minorBidi"/>
            <w:bCs w:val="0"/>
            <w:caps w:val="0"/>
            <w:sz w:val="20"/>
            <w:szCs w:val="20"/>
            <w:lang w:val="es-ES" w:eastAsia="es-ES"/>
          </w:rPr>
          <w:tab/>
        </w:r>
        <w:r w:rsidR="003D6B4B" w:rsidRPr="007F08BA">
          <w:rPr>
            <w:rStyle w:val="Hyperlink"/>
            <w:sz w:val="22"/>
            <w:szCs w:val="24"/>
            <w:lang w:val="es-ES"/>
          </w:rPr>
          <w:t>ESTRATEGIA</w:t>
        </w:r>
        <w:r w:rsidR="00D136BB">
          <w:rPr>
            <w:rStyle w:val="Hyperlink"/>
            <w:sz w:val="22"/>
            <w:szCs w:val="24"/>
            <w:lang w:val="es-ES"/>
          </w:rPr>
          <w:t xml:space="preserve"> </w:t>
        </w:r>
        <w:r w:rsidR="003D6B4B" w:rsidRPr="007F08BA">
          <w:rPr>
            <w:rStyle w:val="Hyperlink"/>
            <w:sz w:val="22"/>
            <w:szCs w:val="24"/>
            <w:lang w:val="es-ES"/>
          </w:rPr>
          <w:t>PARA</w:t>
        </w:r>
        <w:r w:rsidR="00D136BB">
          <w:rPr>
            <w:rStyle w:val="Hyperlink"/>
            <w:sz w:val="22"/>
            <w:szCs w:val="24"/>
            <w:lang w:val="es-ES"/>
          </w:rPr>
          <w:t xml:space="preserve"> </w:t>
        </w:r>
        <w:r w:rsidR="003D6B4B" w:rsidRPr="007F08BA">
          <w:rPr>
            <w:rStyle w:val="Hyperlink"/>
            <w:sz w:val="22"/>
            <w:szCs w:val="24"/>
            <w:lang w:val="es-ES"/>
          </w:rPr>
          <w:t>LA</w:t>
        </w:r>
        <w:r w:rsidR="00D136BB">
          <w:rPr>
            <w:rStyle w:val="Hyperlink"/>
            <w:sz w:val="22"/>
            <w:szCs w:val="24"/>
            <w:lang w:val="es-ES"/>
          </w:rPr>
          <w:t xml:space="preserve"> </w:t>
        </w:r>
        <w:r w:rsidR="003D6B4B" w:rsidRPr="007F08BA">
          <w:rPr>
            <w:rStyle w:val="Hyperlink"/>
            <w:sz w:val="22"/>
            <w:szCs w:val="24"/>
            <w:lang w:val="es-ES"/>
          </w:rPr>
          <w:t>IMPLEMENTACIÓN</w:t>
        </w:r>
        <w:r w:rsidR="00D136BB">
          <w:rPr>
            <w:rStyle w:val="Hyperlink"/>
            <w:sz w:val="22"/>
            <w:szCs w:val="24"/>
            <w:lang w:val="es-ES"/>
          </w:rPr>
          <w:t xml:space="preserve"> </w:t>
        </w:r>
        <w:r w:rsidR="003D6B4B" w:rsidRPr="007F08BA">
          <w:rPr>
            <w:rStyle w:val="Hyperlink"/>
            <w:sz w:val="22"/>
            <w:szCs w:val="24"/>
            <w:lang w:val="es-ES"/>
          </w:rPr>
          <w:t>DEL</w:t>
        </w:r>
        <w:r w:rsidR="00D136BB">
          <w:rPr>
            <w:rStyle w:val="Hyperlink"/>
            <w:sz w:val="22"/>
            <w:szCs w:val="24"/>
            <w:lang w:val="es-ES"/>
          </w:rPr>
          <w:t xml:space="preserve"> </w:t>
        </w:r>
        <w:r w:rsidRPr="001D6963">
          <w:rPr>
            <w:rStyle w:val="Hyperlink"/>
            <w:sz w:val="22"/>
            <w:szCs w:val="24"/>
            <w:lang w:val="es-ES"/>
          </w:rPr>
          <w:t>PERFIL ESTRATÉGICO REGIONA</w:t>
        </w:r>
        <w:r>
          <w:rPr>
            <w:rStyle w:val="Hyperlink"/>
            <w:sz w:val="22"/>
            <w:szCs w:val="24"/>
            <w:lang w:val="es-ES"/>
          </w:rPr>
          <w:t>L</w:t>
        </w:r>
        <w:r w:rsidR="003D6B4B" w:rsidRPr="007F08BA">
          <w:rPr>
            <w:webHidden/>
            <w:sz w:val="22"/>
            <w:szCs w:val="24"/>
          </w:rPr>
          <w:tab/>
        </w:r>
        <w:r w:rsidR="00EE480A" w:rsidRPr="007F08BA">
          <w:rPr>
            <w:webHidden/>
            <w:sz w:val="22"/>
            <w:szCs w:val="24"/>
          </w:rPr>
          <w:t>1</w:t>
        </w:r>
        <w:r w:rsidR="00D337FF" w:rsidRPr="007F08BA">
          <w:rPr>
            <w:webHidden/>
            <w:sz w:val="22"/>
            <w:szCs w:val="24"/>
          </w:rPr>
          <w:t>1</w:t>
        </w:r>
      </w:hyperlink>
    </w:p>
    <w:p w14:paraId="4E728532" w14:textId="57136B00" w:rsidR="007714F9" w:rsidRPr="006C45C9" w:rsidRDefault="007714F9" w:rsidP="007714F9">
      <w:pPr>
        <w:pStyle w:val="BodyText"/>
        <w:ind w:left="567"/>
        <w:rPr>
          <w:rFonts w:eastAsiaTheme="minorEastAsia"/>
          <w:lang w:val="es-419"/>
        </w:rPr>
      </w:pPr>
      <w:r w:rsidRPr="006C45C9">
        <w:rPr>
          <w:rFonts w:eastAsiaTheme="minorEastAsia"/>
          <w:lang w:val="es-419"/>
        </w:rPr>
        <w:t>1.8</w:t>
      </w:r>
      <w:r w:rsidR="007F08BA" w:rsidRPr="006C45C9">
        <w:rPr>
          <w:rFonts w:eastAsiaTheme="minorEastAsia"/>
          <w:lang w:val="es-419"/>
        </w:rPr>
        <w:t>.</w:t>
      </w:r>
      <w:r w:rsidR="00D136BB">
        <w:rPr>
          <w:rFonts w:asciiTheme="minorHAnsi" w:eastAsiaTheme="minorHAnsi" w:hAnsiTheme="minorHAnsi" w:cstheme="minorBidi"/>
          <w:sz w:val="22"/>
          <w:szCs w:val="22"/>
          <w:lang w:val="es-ES_tradnl"/>
        </w:rPr>
        <w:t xml:space="preserve">          </w:t>
      </w:r>
      <w:r w:rsidRPr="006C45C9">
        <w:rPr>
          <w:rFonts w:eastAsiaTheme="minorEastAsia"/>
          <w:lang w:val="es-419"/>
        </w:rPr>
        <w:t>PROCESO</w:t>
      </w:r>
      <w:r w:rsidR="00D136BB">
        <w:rPr>
          <w:rFonts w:eastAsiaTheme="minorEastAsia"/>
          <w:lang w:val="es-419"/>
        </w:rPr>
        <w:t xml:space="preserve"> </w:t>
      </w:r>
      <w:r w:rsidRPr="006C45C9">
        <w:rPr>
          <w:rFonts w:eastAsiaTheme="minorEastAsia"/>
          <w:lang w:val="es-419"/>
        </w:rPr>
        <w:t>DE</w:t>
      </w:r>
      <w:r w:rsidR="00D136BB">
        <w:rPr>
          <w:rFonts w:eastAsiaTheme="minorEastAsia"/>
          <w:lang w:val="es-419"/>
        </w:rPr>
        <w:t xml:space="preserve"> </w:t>
      </w:r>
      <w:r w:rsidRPr="006C45C9">
        <w:rPr>
          <w:rFonts w:eastAsiaTheme="minorEastAsia"/>
          <w:lang w:val="es-419"/>
        </w:rPr>
        <w:t>ELABORACIÓN</w:t>
      </w:r>
      <w:r w:rsidR="00D136BB">
        <w:rPr>
          <w:rFonts w:eastAsiaTheme="minorEastAsia"/>
          <w:lang w:val="es-419"/>
        </w:rPr>
        <w:t xml:space="preserve"> </w:t>
      </w:r>
      <w:r w:rsidRPr="006C45C9">
        <w:rPr>
          <w:rFonts w:eastAsiaTheme="minorEastAsia"/>
          <w:lang w:val="es-419"/>
        </w:rPr>
        <w:t>DEL</w:t>
      </w:r>
      <w:r w:rsidR="00D136BB">
        <w:rPr>
          <w:rFonts w:eastAsiaTheme="minorEastAsia"/>
          <w:lang w:val="es-419"/>
        </w:rPr>
        <w:t xml:space="preserve"> </w:t>
      </w:r>
      <w:r w:rsidR="001D6963" w:rsidRPr="001D6963">
        <w:rPr>
          <w:rFonts w:eastAsiaTheme="minorEastAsia"/>
          <w:lang w:val="es-419"/>
        </w:rPr>
        <w:t>PERFIL ESTRATÉGICO REGIONA</w:t>
      </w:r>
      <w:r w:rsidR="001D6963">
        <w:rPr>
          <w:rFonts w:eastAsiaTheme="minorEastAsia"/>
          <w:lang w:val="es-419"/>
        </w:rPr>
        <w:t xml:space="preserve">L </w:t>
      </w:r>
      <w:bookmarkStart w:id="2" w:name="_GoBack"/>
      <w:bookmarkEnd w:id="2"/>
      <w:r w:rsidRPr="006C45C9">
        <w:rPr>
          <w:rFonts w:eastAsiaTheme="minorEastAsia"/>
          <w:lang w:val="es-419"/>
        </w:rPr>
        <w:t>2022-2029……………….</w:t>
      </w:r>
      <w:r w:rsidR="00D337FF" w:rsidRPr="006C45C9">
        <w:rPr>
          <w:rFonts w:eastAsiaTheme="minorEastAsia"/>
          <w:lang w:val="es-419"/>
        </w:rPr>
        <w:t>11</w:t>
      </w:r>
    </w:p>
    <w:p w14:paraId="5452B4DE" w14:textId="24D8C751" w:rsidR="003D6B4B" w:rsidRPr="00C5287A" w:rsidRDefault="00930AD5" w:rsidP="00C5287A">
      <w:pPr>
        <w:pStyle w:val="TOC1"/>
        <w:rPr>
          <w:rFonts w:asciiTheme="minorHAnsi" w:eastAsiaTheme="minorEastAsia" w:hAnsiTheme="minorHAnsi" w:cstheme="minorBidi"/>
          <w:bCs w:val="0"/>
          <w:iCs w:val="0"/>
          <w:caps w:val="0"/>
          <w:sz w:val="22"/>
          <w:szCs w:val="22"/>
          <w:lang w:val="es-ES" w:eastAsia="es-ES"/>
        </w:rPr>
      </w:pPr>
      <w:hyperlink w:anchor="_Toc385241547" w:history="1">
        <w:r w:rsidR="003D6B4B" w:rsidRPr="00905489">
          <w:rPr>
            <w:rStyle w:val="Hyperlink"/>
            <w:lang w:val="es-ES"/>
          </w:rPr>
          <w:t>2.</w:t>
        </w:r>
        <w:r w:rsidR="003D6B4B">
          <w:rPr>
            <w:rFonts w:asciiTheme="minorHAnsi" w:eastAsiaTheme="minorEastAsia" w:hAnsiTheme="minorHAnsi" w:cstheme="minorBidi"/>
            <w:bCs w:val="0"/>
            <w:iCs w:val="0"/>
            <w:caps w:val="0"/>
            <w:sz w:val="22"/>
            <w:szCs w:val="22"/>
            <w:lang w:val="es-ES" w:eastAsia="es-ES"/>
          </w:rPr>
          <w:tab/>
        </w:r>
        <w:r w:rsidR="003D6B4B" w:rsidRPr="00905489">
          <w:rPr>
            <w:rStyle w:val="Hyperlink"/>
            <w:lang w:val="es-ES"/>
          </w:rPr>
          <w:t>A</w:t>
        </w:r>
        <w:r w:rsidR="003673F4">
          <w:rPr>
            <w:rStyle w:val="Hyperlink"/>
            <w:lang w:val="es-ES"/>
          </w:rPr>
          <w:t>limentación y agricultura</w:t>
        </w:r>
        <w:r w:rsidR="003D6B4B">
          <w:rPr>
            <w:webHidden/>
          </w:rPr>
          <w:tab/>
        </w:r>
        <w:r w:rsidR="00CC1443">
          <w:rPr>
            <w:webHidden/>
          </w:rPr>
          <w:t>13</w:t>
        </w:r>
      </w:hyperlink>
    </w:p>
    <w:p w14:paraId="03F19C91" w14:textId="21EC0C64"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49" w:history="1">
        <w:r w:rsidR="003D6B4B" w:rsidRPr="00905489">
          <w:rPr>
            <w:rStyle w:val="Hyperlink"/>
            <w:lang w:val="es-ES"/>
          </w:rPr>
          <w:t>2.</w:t>
        </w:r>
        <w:r w:rsidR="00C5287A">
          <w:rPr>
            <w:rStyle w:val="Hyperlink"/>
            <w:lang w:val="es-ES"/>
          </w:rPr>
          <w:t>1</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Análisis</w:t>
        </w:r>
        <w:r w:rsidR="00D136BB">
          <w:rPr>
            <w:rStyle w:val="Hyperlink"/>
            <w:lang w:val="es-ES"/>
          </w:rPr>
          <w:t xml:space="preserve"> </w:t>
        </w:r>
        <w:r w:rsidR="003D6B4B" w:rsidRPr="00905489">
          <w:rPr>
            <w:rStyle w:val="Hyperlink"/>
            <w:lang w:val="es-ES"/>
          </w:rPr>
          <w:t>general</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w:t>
        </w:r>
        <w:r w:rsidR="00D136BB">
          <w:rPr>
            <w:rStyle w:val="Hyperlink"/>
            <w:lang w:val="es-ES"/>
          </w:rPr>
          <w:t xml:space="preserve"> </w:t>
        </w:r>
        <w:r w:rsidR="003D6B4B" w:rsidRPr="00905489">
          <w:rPr>
            <w:rStyle w:val="Hyperlink"/>
            <w:lang w:val="es-ES"/>
          </w:rPr>
          <w:t>situación</w:t>
        </w:r>
        <w:r w:rsidR="00D136BB">
          <w:rPr>
            <w:rStyle w:val="Hyperlink"/>
            <w:lang w:val="es-ES"/>
          </w:rPr>
          <w:t xml:space="preserve"> </w:t>
        </w:r>
        <w:r w:rsidR="003D6B4B" w:rsidRPr="00905489">
          <w:rPr>
            <w:rStyle w:val="Hyperlink"/>
            <w:lang w:val="es-ES"/>
          </w:rPr>
          <w:t>regional</w:t>
        </w:r>
        <w:r w:rsidR="003D6B4B">
          <w:rPr>
            <w:webHidden/>
          </w:rPr>
          <w:tab/>
        </w:r>
        <w:r w:rsidR="00C5287A">
          <w:rPr>
            <w:webHidden/>
          </w:rPr>
          <w:t>14</w:t>
        </w:r>
      </w:hyperlink>
    </w:p>
    <w:p w14:paraId="67101A13" w14:textId="6C9F0169"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50" w:history="1">
        <w:r w:rsidR="003D6B4B" w:rsidRPr="00905489">
          <w:rPr>
            <w:rStyle w:val="Hyperlink"/>
            <w:lang w:val="es-ES"/>
          </w:rPr>
          <w:t>2.</w:t>
        </w:r>
        <w:r w:rsidR="00C5287A">
          <w:rPr>
            <w:rStyle w:val="Hyperlink"/>
            <w:lang w:val="es-ES"/>
          </w:rPr>
          <w:t>2</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C5287A">
          <w:rPr>
            <w:rStyle w:val="Hyperlink"/>
            <w:lang w:val="es-ES"/>
          </w:rPr>
          <w:t>ANÁLISIS</w:t>
        </w:r>
        <w:r w:rsidR="00D136BB">
          <w:rPr>
            <w:rStyle w:val="Hyperlink"/>
            <w:lang w:val="es-ES"/>
          </w:rPr>
          <w:t xml:space="preserve"> </w:t>
        </w:r>
        <w:r w:rsidR="003D6B4B" w:rsidRPr="00905489">
          <w:rPr>
            <w:rStyle w:val="Hyperlink"/>
            <w:lang w:val="es-ES"/>
          </w:rPr>
          <w:t>DAFO</w:t>
        </w:r>
        <w:r w:rsidR="003D6B4B">
          <w:rPr>
            <w:webHidden/>
          </w:rPr>
          <w:tab/>
        </w:r>
        <w:r w:rsidR="003D6B4B">
          <w:rPr>
            <w:webHidden/>
          </w:rPr>
          <w:fldChar w:fldCharType="begin"/>
        </w:r>
        <w:r w:rsidR="003D6B4B">
          <w:rPr>
            <w:webHidden/>
          </w:rPr>
          <w:instrText xml:space="preserve"> PAGEREF _Toc385241550 \h </w:instrText>
        </w:r>
        <w:r w:rsidR="003D6B4B">
          <w:rPr>
            <w:webHidden/>
          </w:rPr>
        </w:r>
        <w:r w:rsidR="003D6B4B">
          <w:rPr>
            <w:webHidden/>
          </w:rPr>
          <w:fldChar w:fldCharType="separate"/>
        </w:r>
        <w:r w:rsidR="003D6B4B">
          <w:rPr>
            <w:webHidden/>
          </w:rPr>
          <w:t>1</w:t>
        </w:r>
        <w:r w:rsidR="00C5287A">
          <w:rPr>
            <w:webHidden/>
          </w:rPr>
          <w:t>9</w:t>
        </w:r>
        <w:r w:rsidR="003D6B4B">
          <w:rPr>
            <w:webHidden/>
          </w:rPr>
          <w:fldChar w:fldCharType="end"/>
        </w:r>
      </w:hyperlink>
    </w:p>
    <w:p w14:paraId="6FC53BF7" w14:textId="41A7585B" w:rsidR="003D6B4B" w:rsidRDefault="001D6963" w:rsidP="003D6B4B">
      <w:pPr>
        <w:pStyle w:val="TOC3"/>
        <w:rPr>
          <w:rFonts w:asciiTheme="minorHAnsi" w:eastAsiaTheme="minorEastAsia" w:hAnsiTheme="minorHAnsi" w:cstheme="minorBidi"/>
          <w:sz w:val="22"/>
          <w:szCs w:val="22"/>
          <w:lang w:val="es-ES" w:eastAsia="es-ES"/>
        </w:rPr>
      </w:pPr>
      <w:hyperlink w:anchor="_Toc385241551" w:history="1">
        <w:r w:rsidR="003D6B4B" w:rsidRPr="00905489">
          <w:rPr>
            <w:rStyle w:val="Hyperlink"/>
            <w:lang w:val="es-ES"/>
          </w:rPr>
          <w:t>2.</w:t>
        </w:r>
        <w:r w:rsidR="00C5287A">
          <w:rPr>
            <w:rStyle w:val="Hyperlink"/>
            <w:lang w:val="es-ES"/>
          </w:rPr>
          <w:t>2</w:t>
        </w:r>
        <w:r w:rsidR="003D6B4B" w:rsidRPr="00905489">
          <w:rPr>
            <w:rStyle w:val="Hyperlink"/>
            <w:lang w:val="es-ES"/>
          </w:rPr>
          <w:t>.1.</w:t>
        </w:r>
        <w:r w:rsidR="003D6B4B">
          <w:rPr>
            <w:rFonts w:asciiTheme="minorHAnsi" w:eastAsiaTheme="minorEastAsia" w:hAnsiTheme="minorHAnsi" w:cstheme="minorBidi"/>
            <w:sz w:val="22"/>
            <w:szCs w:val="22"/>
            <w:lang w:val="es-ES" w:eastAsia="es-ES"/>
          </w:rPr>
          <w:tab/>
        </w:r>
        <w:r w:rsidR="003D6B4B" w:rsidRPr="00905489">
          <w:rPr>
            <w:rStyle w:val="Hyperlink"/>
            <w:lang w:val="es-ES"/>
          </w:rPr>
          <w:t>Fortalezas</w:t>
        </w:r>
        <w:r w:rsidR="003D6B4B">
          <w:rPr>
            <w:webHidden/>
          </w:rPr>
          <w:tab/>
        </w:r>
        <w:r w:rsidR="003D6B4B">
          <w:rPr>
            <w:webHidden/>
          </w:rPr>
          <w:fldChar w:fldCharType="begin"/>
        </w:r>
        <w:r w:rsidR="003D6B4B">
          <w:rPr>
            <w:webHidden/>
          </w:rPr>
          <w:instrText xml:space="preserve"> PAGEREF _Toc385241551 \h </w:instrText>
        </w:r>
        <w:r w:rsidR="003D6B4B">
          <w:rPr>
            <w:webHidden/>
          </w:rPr>
        </w:r>
        <w:r w:rsidR="003D6B4B">
          <w:rPr>
            <w:webHidden/>
          </w:rPr>
          <w:fldChar w:fldCharType="separate"/>
        </w:r>
        <w:r w:rsidR="003D6B4B">
          <w:rPr>
            <w:webHidden/>
          </w:rPr>
          <w:t>1</w:t>
        </w:r>
        <w:r w:rsidR="00C5287A">
          <w:rPr>
            <w:webHidden/>
          </w:rPr>
          <w:t>9</w:t>
        </w:r>
        <w:r w:rsidR="003D6B4B">
          <w:rPr>
            <w:webHidden/>
          </w:rPr>
          <w:fldChar w:fldCharType="end"/>
        </w:r>
      </w:hyperlink>
    </w:p>
    <w:p w14:paraId="7C9A769A" w14:textId="33102817" w:rsidR="003D6B4B" w:rsidRDefault="001D6963" w:rsidP="003D6B4B">
      <w:pPr>
        <w:pStyle w:val="TOC3"/>
        <w:rPr>
          <w:rFonts w:asciiTheme="minorHAnsi" w:eastAsiaTheme="minorEastAsia" w:hAnsiTheme="minorHAnsi" w:cstheme="minorBidi"/>
          <w:sz w:val="22"/>
          <w:szCs w:val="22"/>
          <w:lang w:val="es-ES" w:eastAsia="es-ES"/>
        </w:rPr>
      </w:pPr>
      <w:hyperlink w:anchor="_Toc385241552" w:history="1">
        <w:r w:rsidR="003D6B4B" w:rsidRPr="00905489">
          <w:rPr>
            <w:rStyle w:val="Hyperlink"/>
            <w:lang w:val="es-ES"/>
          </w:rPr>
          <w:t>2.</w:t>
        </w:r>
        <w:r w:rsidR="00C5287A">
          <w:rPr>
            <w:rStyle w:val="Hyperlink"/>
            <w:lang w:val="es-ES"/>
          </w:rPr>
          <w:t>2</w:t>
        </w:r>
        <w:r w:rsidR="003D6B4B" w:rsidRPr="00905489">
          <w:rPr>
            <w:rStyle w:val="Hyperlink"/>
            <w:lang w:val="es-ES"/>
          </w:rPr>
          <w:t>.2.</w:t>
        </w:r>
        <w:r w:rsidR="003D6B4B">
          <w:rPr>
            <w:rFonts w:asciiTheme="minorHAnsi" w:eastAsiaTheme="minorEastAsia" w:hAnsiTheme="minorHAnsi" w:cstheme="minorBidi"/>
            <w:sz w:val="22"/>
            <w:szCs w:val="22"/>
            <w:lang w:val="es-ES" w:eastAsia="es-ES"/>
          </w:rPr>
          <w:tab/>
        </w:r>
        <w:r w:rsidR="003D6B4B" w:rsidRPr="00905489">
          <w:rPr>
            <w:rStyle w:val="Hyperlink"/>
            <w:lang w:val="es-ES"/>
          </w:rPr>
          <w:t>Debilidades</w:t>
        </w:r>
        <w:r w:rsidR="003D6B4B">
          <w:rPr>
            <w:webHidden/>
          </w:rPr>
          <w:tab/>
        </w:r>
        <w:r w:rsidR="00C5287A">
          <w:rPr>
            <w:webHidden/>
          </w:rPr>
          <w:t>20</w:t>
        </w:r>
      </w:hyperlink>
    </w:p>
    <w:p w14:paraId="4CC4E629" w14:textId="35514435" w:rsidR="003D6B4B" w:rsidRDefault="001D6963" w:rsidP="003D6B4B">
      <w:pPr>
        <w:pStyle w:val="TOC3"/>
        <w:rPr>
          <w:rFonts w:asciiTheme="minorHAnsi" w:eastAsiaTheme="minorEastAsia" w:hAnsiTheme="minorHAnsi" w:cstheme="minorBidi"/>
          <w:sz w:val="22"/>
          <w:szCs w:val="22"/>
          <w:lang w:val="es-ES" w:eastAsia="es-ES"/>
        </w:rPr>
      </w:pPr>
      <w:hyperlink w:anchor="_Toc385241553" w:history="1">
        <w:r w:rsidR="003D6B4B" w:rsidRPr="00905489">
          <w:rPr>
            <w:rStyle w:val="Hyperlink"/>
            <w:lang w:val="es-ES"/>
          </w:rPr>
          <w:t>2.</w:t>
        </w:r>
        <w:r w:rsidR="00C5287A">
          <w:rPr>
            <w:rStyle w:val="Hyperlink"/>
            <w:lang w:val="es-ES"/>
          </w:rPr>
          <w:t>3</w:t>
        </w:r>
        <w:r w:rsidR="003D6B4B" w:rsidRPr="00905489">
          <w:rPr>
            <w:rStyle w:val="Hyperlink"/>
            <w:lang w:val="es-ES"/>
          </w:rPr>
          <w:t>.3.</w:t>
        </w:r>
        <w:r w:rsidR="003D6B4B">
          <w:rPr>
            <w:rFonts w:asciiTheme="minorHAnsi" w:eastAsiaTheme="minorEastAsia" w:hAnsiTheme="minorHAnsi" w:cstheme="minorBidi"/>
            <w:sz w:val="22"/>
            <w:szCs w:val="22"/>
            <w:lang w:val="es-ES" w:eastAsia="es-ES"/>
          </w:rPr>
          <w:tab/>
        </w:r>
        <w:r w:rsidR="003D6B4B" w:rsidRPr="00905489">
          <w:rPr>
            <w:rStyle w:val="Hyperlink"/>
            <w:lang w:val="es-ES"/>
          </w:rPr>
          <w:t>Amenazas</w:t>
        </w:r>
        <w:r w:rsidR="003D6B4B">
          <w:rPr>
            <w:webHidden/>
          </w:rPr>
          <w:tab/>
        </w:r>
        <w:r w:rsidR="00C5287A">
          <w:rPr>
            <w:webHidden/>
          </w:rPr>
          <w:t>21</w:t>
        </w:r>
      </w:hyperlink>
    </w:p>
    <w:p w14:paraId="38BE823F" w14:textId="31BEB40C" w:rsidR="003D6B4B" w:rsidRDefault="001D6963" w:rsidP="003D6B4B">
      <w:pPr>
        <w:pStyle w:val="TOC3"/>
        <w:rPr>
          <w:rFonts w:asciiTheme="minorHAnsi" w:eastAsiaTheme="minorEastAsia" w:hAnsiTheme="minorHAnsi" w:cstheme="minorBidi"/>
          <w:sz w:val="22"/>
          <w:szCs w:val="22"/>
          <w:lang w:val="es-ES" w:eastAsia="es-ES"/>
        </w:rPr>
      </w:pPr>
      <w:hyperlink w:anchor="_Toc385241554" w:history="1">
        <w:r w:rsidR="003D6B4B" w:rsidRPr="00905489">
          <w:rPr>
            <w:rStyle w:val="Hyperlink"/>
            <w:lang w:val="es-ES"/>
          </w:rPr>
          <w:t>2.</w:t>
        </w:r>
        <w:r w:rsidR="00C5287A">
          <w:rPr>
            <w:rStyle w:val="Hyperlink"/>
            <w:lang w:val="es-ES"/>
          </w:rPr>
          <w:t>4</w:t>
        </w:r>
        <w:r w:rsidR="003D6B4B" w:rsidRPr="00905489">
          <w:rPr>
            <w:rStyle w:val="Hyperlink"/>
            <w:lang w:val="es-ES"/>
          </w:rPr>
          <w:t>.4.</w:t>
        </w:r>
        <w:r w:rsidR="003D6B4B">
          <w:rPr>
            <w:rFonts w:asciiTheme="minorHAnsi" w:eastAsiaTheme="minorEastAsia" w:hAnsiTheme="minorHAnsi" w:cstheme="minorBidi"/>
            <w:sz w:val="22"/>
            <w:szCs w:val="22"/>
            <w:lang w:val="es-ES" w:eastAsia="es-ES"/>
          </w:rPr>
          <w:tab/>
        </w:r>
        <w:r w:rsidR="003D6B4B" w:rsidRPr="00905489">
          <w:rPr>
            <w:rStyle w:val="Hyperlink"/>
            <w:lang w:val="es-ES"/>
          </w:rPr>
          <w:t>Oportunidades</w:t>
        </w:r>
        <w:r w:rsidR="003D6B4B">
          <w:rPr>
            <w:webHidden/>
          </w:rPr>
          <w:tab/>
        </w:r>
        <w:r w:rsidR="00C5287A">
          <w:rPr>
            <w:webHidden/>
          </w:rPr>
          <w:t>22</w:t>
        </w:r>
      </w:hyperlink>
    </w:p>
    <w:p w14:paraId="7F976C12" w14:textId="3207619D"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55" w:history="1">
        <w:r w:rsidR="003D6B4B" w:rsidRPr="00905489">
          <w:rPr>
            <w:rStyle w:val="Hyperlink"/>
            <w:lang w:val="es-ES"/>
          </w:rPr>
          <w:t>2.</w:t>
        </w:r>
        <w:r w:rsidR="00C5287A">
          <w:rPr>
            <w:rStyle w:val="Hyperlink"/>
            <w:lang w:val="es-ES"/>
          </w:rPr>
          <w:t>3</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Necesidades</w:t>
        </w:r>
        <w:r w:rsidR="00D136BB">
          <w:rPr>
            <w:rStyle w:val="Hyperlink"/>
            <w:lang w:val="es-ES"/>
          </w:rPr>
          <w:t xml:space="preserve"> </w:t>
        </w:r>
        <w:r w:rsidR="00132971">
          <w:rPr>
            <w:rStyle w:val="Hyperlink"/>
            <w:lang w:val="es-ES"/>
          </w:rPr>
          <w:t>O</w:t>
        </w:r>
        <w:r w:rsidR="00D136BB">
          <w:rPr>
            <w:rStyle w:val="Hyperlink"/>
            <w:lang w:val="es-ES"/>
          </w:rPr>
          <w:t xml:space="preserve"> </w:t>
        </w:r>
        <w:r w:rsidR="003D6B4B" w:rsidRPr="00905489">
          <w:rPr>
            <w:rStyle w:val="Hyperlink"/>
            <w:lang w:val="es-ES"/>
          </w:rPr>
          <w:t>problemas</w:t>
        </w:r>
        <w:r w:rsidR="003D6B4B">
          <w:rPr>
            <w:webHidden/>
          </w:rPr>
          <w:tab/>
        </w:r>
        <w:r w:rsidR="00C5287A">
          <w:rPr>
            <w:webHidden/>
          </w:rPr>
          <w:t>22</w:t>
        </w:r>
      </w:hyperlink>
    </w:p>
    <w:p w14:paraId="6F19EFCA" w14:textId="22AC57C3"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56" w:history="1">
        <w:r w:rsidR="003D6B4B" w:rsidRPr="00905489">
          <w:rPr>
            <w:rStyle w:val="Hyperlink"/>
            <w:lang w:val="es-ES"/>
          </w:rPr>
          <w:t>2.</w:t>
        </w:r>
        <w:r w:rsidR="00C5287A">
          <w:rPr>
            <w:rStyle w:val="Hyperlink"/>
            <w:lang w:val="es-ES"/>
          </w:rPr>
          <w:t>4</w:t>
        </w:r>
        <w:r w:rsidR="007F08BA">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Priorización</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las</w:t>
        </w:r>
        <w:r w:rsidR="00D136BB">
          <w:rPr>
            <w:rStyle w:val="Hyperlink"/>
            <w:lang w:val="es-ES"/>
          </w:rPr>
          <w:t xml:space="preserve"> </w:t>
        </w:r>
        <w:r w:rsidR="003D6B4B" w:rsidRPr="00905489">
          <w:rPr>
            <w:rStyle w:val="Hyperlink"/>
            <w:lang w:val="es-ES"/>
          </w:rPr>
          <w:t>necesidades/problemas</w:t>
        </w:r>
        <w:r w:rsidR="003D6B4B">
          <w:rPr>
            <w:webHidden/>
          </w:rPr>
          <w:tab/>
        </w:r>
        <w:r w:rsidR="00C5287A">
          <w:rPr>
            <w:webHidden/>
          </w:rPr>
          <w:t>3</w:t>
        </w:r>
        <w:r w:rsidR="00E763DB">
          <w:rPr>
            <w:webHidden/>
          </w:rPr>
          <w:t>5</w:t>
        </w:r>
      </w:hyperlink>
    </w:p>
    <w:p w14:paraId="5110FEF5" w14:textId="3A4ADF32" w:rsidR="003D6B4B" w:rsidRDefault="001D6963" w:rsidP="003D6B4B">
      <w:pPr>
        <w:pStyle w:val="TOC1"/>
        <w:rPr>
          <w:rFonts w:asciiTheme="minorHAnsi" w:eastAsiaTheme="minorEastAsia" w:hAnsiTheme="minorHAnsi" w:cstheme="minorBidi"/>
          <w:bCs w:val="0"/>
          <w:iCs w:val="0"/>
          <w:caps w:val="0"/>
          <w:sz w:val="22"/>
          <w:szCs w:val="22"/>
          <w:lang w:val="es-ES" w:eastAsia="es-ES"/>
        </w:rPr>
      </w:pPr>
      <w:hyperlink w:anchor="_Toc385241557" w:history="1">
        <w:r w:rsidR="003D6B4B" w:rsidRPr="00905489">
          <w:rPr>
            <w:rStyle w:val="Hyperlink"/>
            <w:lang w:val="es-ES"/>
          </w:rPr>
          <w:t>3.</w:t>
        </w:r>
        <w:r w:rsidR="003D6B4B">
          <w:rPr>
            <w:rFonts w:asciiTheme="minorHAnsi" w:eastAsiaTheme="minorEastAsia" w:hAnsiTheme="minorHAnsi" w:cstheme="minorBidi"/>
            <w:bCs w:val="0"/>
            <w:iCs w:val="0"/>
            <w:caps w:val="0"/>
            <w:sz w:val="22"/>
            <w:szCs w:val="22"/>
            <w:lang w:val="es-ES" w:eastAsia="es-ES"/>
          </w:rPr>
          <w:tab/>
        </w:r>
        <w:r w:rsidR="003D6B4B" w:rsidRPr="00905489">
          <w:rPr>
            <w:rStyle w:val="Hyperlink"/>
            <w:lang w:val="es-ES"/>
          </w:rPr>
          <w:t>SALUD</w:t>
        </w:r>
        <w:r w:rsidR="00D136BB">
          <w:rPr>
            <w:rStyle w:val="Hyperlink"/>
            <w:lang w:val="es-ES"/>
          </w:rPr>
          <w:t xml:space="preserve"> </w:t>
        </w:r>
        <w:r w:rsidR="003D6B4B" w:rsidRPr="00905489">
          <w:rPr>
            <w:rStyle w:val="Hyperlink"/>
            <w:lang w:val="es-ES"/>
          </w:rPr>
          <w:t>HUMANA</w:t>
        </w:r>
        <w:r w:rsidR="003D6B4B">
          <w:rPr>
            <w:webHidden/>
          </w:rPr>
          <w:tab/>
        </w:r>
        <w:r w:rsidR="003879C8">
          <w:rPr>
            <w:webHidden/>
          </w:rPr>
          <w:t>39</w:t>
        </w:r>
      </w:hyperlink>
    </w:p>
    <w:p w14:paraId="0F4301EA" w14:textId="5794E65D"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59" w:history="1">
        <w:r w:rsidR="003D6B4B" w:rsidRPr="00905489">
          <w:rPr>
            <w:rStyle w:val="Hyperlink"/>
            <w:lang w:val="es-ES"/>
          </w:rPr>
          <w:t>3.</w:t>
        </w:r>
        <w:r w:rsidR="00C5287A">
          <w:rPr>
            <w:rStyle w:val="Hyperlink"/>
            <w:lang w:val="es-ES"/>
          </w:rPr>
          <w:t>1</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Análisis</w:t>
        </w:r>
        <w:r w:rsidR="00D136BB">
          <w:rPr>
            <w:rStyle w:val="Hyperlink"/>
            <w:lang w:val="es-ES"/>
          </w:rPr>
          <w:t xml:space="preserve"> </w:t>
        </w:r>
        <w:r w:rsidR="003D6B4B" w:rsidRPr="00905489">
          <w:rPr>
            <w:rStyle w:val="Hyperlink"/>
            <w:lang w:val="es-ES"/>
          </w:rPr>
          <w:t>general</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w:t>
        </w:r>
        <w:r w:rsidR="00D136BB">
          <w:rPr>
            <w:rStyle w:val="Hyperlink"/>
            <w:lang w:val="es-ES"/>
          </w:rPr>
          <w:t xml:space="preserve"> </w:t>
        </w:r>
        <w:r w:rsidR="003D6B4B" w:rsidRPr="00905489">
          <w:rPr>
            <w:rStyle w:val="Hyperlink"/>
            <w:lang w:val="es-ES"/>
          </w:rPr>
          <w:t>situación</w:t>
        </w:r>
        <w:r w:rsidR="00D136BB">
          <w:rPr>
            <w:rStyle w:val="Hyperlink"/>
            <w:lang w:val="es-ES"/>
          </w:rPr>
          <w:t xml:space="preserve"> </w:t>
        </w:r>
        <w:r w:rsidR="003D6B4B" w:rsidRPr="00905489">
          <w:rPr>
            <w:rStyle w:val="Hyperlink"/>
            <w:lang w:val="es-ES"/>
          </w:rPr>
          <w:t>regional</w:t>
        </w:r>
        <w:r w:rsidR="003D6B4B">
          <w:rPr>
            <w:webHidden/>
          </w:rPr>
          <w:tab/>
        </w:r>
        <w:r w:rsidR="003879C8">
          <w:rPr>
            <w:webHidden/>
          </w:rPr>
          <w:t>40</w:t>
        </w:r>
      </w:hyperlink>
    </w:p>
    <w:p w14:paraId="18AD2B14" w14:textId="5CF427FA"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60" w:history="1">
        <w:r w:rsidR="003D6B4B" w:rsidRPr="00905489">
          <w:rPr>
            <w:rStyle w:val="Hyperlink"/>
            <w:lang w:val="es-ES"/>
          </w:rPr>
          <w:t>3.</w:t>
        </w:r>
        <w:r w:rsidR="00C5287A">
          <w:rPr>
            <w:rStyle w:val="Hyperlink"/>
            <w:lang w:val="es-ES"/>
          </w:rPr>
          <w:t>2</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C5287A">
          <w:rPr>
            <w:rStyle w:val="Hyperlink"/>
            <w:lang w:val="es-ES"/>
          </w:rPr>
          <w:t>ANÁLISIS</w:t>
        </w:r>
        <w:r w:rsidR="00D136BB">
          <w:rPr>
            <w:rStyle w:val="Hyperlink"/>
            <w:lang w:val="es-ES"/>
          </w:rPr>
          <w:t xml:space="preserve"> </w:t>
        </w:r>
        <w:r w:rsidR="003D6B4B" w:rsidRPr="00905489">
          <w:rPr>
            <w:rStyle w:val="Hyperlink"/>
            <w:lang w:val="es-ES"/>
          </w:rPr>
          <w:t>DAFO</w:t>
        </w:r>
        <w:r w:rsidR="003D6B4B">
          <w:rPr>
            <w:webHidden/>
          </w:rPr>
          <w:tab/>
        </w:r>
        <w:r w:rsidR="003879C8">
          <w:rPr>
            <w:webHidden/>
          </w:rPr>
          <w:t>43</w:t>
        </w:r>
      </w:hyperlink>
    </w:p>
    <w:p w14:paraId="465A532A" w14:textId="74620148" w:rsidR="003D6B4B" w:rsidRDefault="001D6963" w:rsidP="003D6B4B">
      <w:pPr>
        <w:pStyle w:val="TOC3"/>
        <w:rPr>
          <w:rFonts w:asciiTheme="minorHAnsi" w:eastAsiaTheme="minorEastAsia" w:hAnsiTheme="minorHAnsi" w:cstheme="minorBidi"/>
          <w:sz w:val="22"/>
          <w:szCs w:val="22"/>
          <w:lang w:val="es-ES" w:eastAsia="es-ES"/>
        </w:rPr>
      </w:pPr>
      <w:hyperlink w:anchor="_Toc385241561" w:history="1">
        <w:r w:rsidR="003D6B4B" w:rsidRPr="00905489">
          <w:rPr>
            <w:rStyle w:val="Hyperlink"/>
            <w:lang w:val="es-ES"/>
          </w:rPr>
          <w:t>3.</w:t>
        </w:r>
        <w:r w:rsidR="00C5287A">
          <w:rPr>
            <w:rStyle w:val="Hyperlink"/>
            <w:lang w:val="es-ES"/>
          </w:rPr>
          <w:t>2</w:t>
        </w:r>
        <w:r w:rsidR="003D6B4B" w:rsidRPr="00905489">
          <w:rPr>
            <w:rStyle w:val="Hyperlink"/>
            <w:lang w:val="es-ES"/>
          </w:rPr>
          <w:t>.1.</w:t>
        </w:r>
        <w:r w:rsidR="003D6B4B">
          <w:rPr>
            <w:rFonts w:asciiTheme="minorHAnsi" w:eastAsiaTheme="minorEastAsia" w:hAnsiTheme="minorHAnsi" w:cstheme="minorBidi"/>
            <w:sz w:val="22"/>
            <w:szCs w:val="22"/>
            <w:lang w:val="es-ES" w:eastAsia="es-ES"/>
          </w:rPr>
          <w:tab/>
        </w:r>
        <w:r w:rsidR="003D6B4B" w:rsidRPr="00905489">
          <w:rPr>
            <w:rStyle w:val="Hyperlink"/>
            <w:lang w:val="es-ES"/>
          </w:rPr>
          <w:t>Fortalezas</w:t>
        </w:r>
        <w:r w:rsidR="003D6B4B">
          <w:rPr>
            <w:webHidden/>
          </w:rPr>
          <w:tab/>
        </w:r>
        <w:r w:rsidR="00E94D03">
          <w:rPr>
            <w:webHidden/>
          </w:rPr>
          <w:t>43</w:t>
        </w:r>
      </w:hyperlink>
    </w:p>
    <w:p w14:paraId="1235553E" w14:textId="0497A36A" w:rsidR="003D6B4B" w:rsidRDefault="001D6963" w:rsidP="003D6B4B">
      <w:pPr>
        <w:pStyle w:val="TOC3"/>
        <w:rPr>
          <w:rFonts w:asciiTheme="minorHAnsi" w:eastAsiaTheme="minorEastAsia" w:hAnsiTheme="minorHAnsi" w:cstheme="minorBidi"/>
          <w:sz w:val="22"/>
          <w:szCs w:val="22"/>
          <w:lang w:val="es-ES" w:eastAsia="es-ES"/>
        </w:rPr>
      </w:pPr>
      <w:hyperlink w:anchor="_Toc385241562" w:history="1">
        <w:r w:rsidR="003D6B4B" w:rsidRPr="00905489">
          <w:rPr>
            <w:rStyle w:val="Hyperlink"/>
            <w:lang w:val="es-ES"/>
          </w:rPr>
          <w:t>3.</w:t>
        </w:r>
        <w:r w:rsidR="00C5287A">
          <w:rPr>
            <w:rStyle w:val="Hyperlink"/>
            <w:lang w:val="es-ES"/>
          </w:rPr>
          <w:t>2</w:t>
        </w:r>
        <w:r w:rsidR="003D6B4B" w:rsidRPr="00905489">
          <w:rPr>
            <w:rStyle w:val="Hyperlink"/>
            <w:lang w:val="es-ES"/>
          </w:rPr>
          <w:t>.2.</w:t>
        </w:r>
        <w:r w:rsidR="003D6B4B">
          <w:rPr>
            <w:rFonts w:asciiTheme="minorHAnsi" w:eastAsiaTheme="minorEastAsia" w:hAnsiTheme="minorHAnsi" w:cstheme="minorBidi"/>
            <w:sz w:val="22"/>
            <w:szCs w:val="22"/>
            <w:lang w:val="es-ES" w:eastAsia="es-ES"/>
          </w:rPr>
          <w:tab/>
        </w:r>
        <w:r w:rsidR="003D6B4B" w:rsidRPr="00905489">
          <w:rPr>
            <w:rStyle w:val="Hyperlink"/>
            <w:lang w:val="es-ES"/>
          </w:rPr>
          <w:t>Debilidades</w:t>
        </w:r>
        <w:r w:rsidR="003D6B4B">
          <w:rPr>
            <w:webHidden/>
          </w:rPr>
          <w:tab/>
        </w:r>
        <w:r w:rsidR="00E94D03">
          <w:rPr>
            <w:webHidden/>
          </w:rPr>
          <w:t>45</w:t>
        </w:r>
      </w:hyperlink>
    </w:p>
    <w:p w14:paraId="2313DCFA" w14:textId="54EC60DB" w:rsidR="003D6B4B" w:rsidRDefault="001D6963" w:rsidP="003D6B4B">
      <w:pPr>
        <w:pStyle w:val="TOC3"/>
        <w:rPr>
          <w:rFonts w:asciiTheme="minorHAnsi" w:eastAsiaTheme="minorEastAsia" w:hAnsiTheme="minorHAnsi" w:cstheme="minorBidi"/>
          <w:sz w:val="22"/>
          <w:szCs w:val="22"/>
          <w:lang w:val="es-ES" w:eastAsia="es-ES"/>
        </w:rPr>
      </w:pPr>
      <w:hyperlink w:anchor="_Toc385241563" w:history="1">
        <w:r w:rsidR="003D6B4B" w:rsidRPr="00905489">
          <w:rPr>
            <w:rStyle w:val="Hyperlink"/>
            <w:lang w:val="es-ES"/>
          </w:rPr>
          <w:t>3.</w:t>
        </w:r>
        <w:r w:rsidR="00C5287A">
          <w:rPr>
            <w:rStyle w:val="Hyperlink"/>
            <w:lang w:val="es-ES"/>
          </w:rPr>
          <w:t>2</w:t>
        </w:r>
        <w:r w:rsidR="003D6B4B" w:rsidRPr="00905489">
          <w:rPr>
            <w:rStyle w:val="Hyperlink"/>
            <w:lang w:val="es-ES"/>
          </w:rPr>
          <w:t>.3.</w:t>
        </w:r>
        <w:r w:rsidR="003D6B4B">
          <w:rPr>
            <w:rFonts w:asciiTheme="minorHAnsi" w:eastAsiaTheme="minorEastAsia" w:hAnsiTheme="minorHAnsi" w:cstheme="minorBidi"/>
            <w:sz w:val="22"/>
            <w:szCs w:val="22"/>
            <w:lang w:val="es-ES" w:eastAsia="es-ES"/>
          </w:rPr>
          <w:tab/>
        </w:r>
        <w:r w:rsidR="003D6B4B" w:rsidRPr="00905489">
          <w:rPr>
            <w:rStyle w:val="Hyperlink"/>
            <w:lang w:val="es-ES"/>
          </w:rPr>
          <w:t>Amenazas</w:t>
        </w:r>
        <w:r w:rsidR="003D6B4B">
          <w:rPr>
            <w:webHidden/>
          </w:rPr>
          <w:tab/>
        </w:r>
        <w:r w:rsidR="00E94D03">
          <w:rPr>
            <w:webHidden/>
          </w:rPr>
          <w:t>46</w:t>
        </w:r>
      </w:hyperlink>
    </w:p>
    <w:p w14:paraId="4C11382A" w14:textId="6220278A" w:rsidR="003D6B4B" w:rsidRDefault="001D6963" w:rsidP="003D6B4B">
      <w:pPr>
        <w:pStyle w:val="TOC3"/>
        <w:rPr>
          <w:rFonts w:asciiTheme="minorHAnsi" w:eastAsiaTheme="minorEastAsia" w:hAnsiTheme="minorHAnsi" w:cstheme="minorBidi"/>
          <w:sz w:val="22"/>
          <w:szCs w:val="22"/>
          <w:lang w:val="es-ES" w:eastAsia="es-ES"/>
        </w:rPr>
      </w:pPr>
      <w:hyperlink w:anchor="_Toc385241564" w:history="1">
        <w:r w:rsidR="003D6B4B" w:rsidRPr="00905489">
          <w:rPr>
            <w:rStyle w:val="Hyperlink"/>
            <w:lang w:val="es-ES"/>
          </w:rPr>
          <w:t>3.</w:t>
        </w:r>
        <w:r w:rsidR="00C5287A">
          <w:rPr>
            <w:rStyle w:val="Hyperlink"/>
            <w:lang w:val="es-ES"/>
          </w:rPr>
          <w:t>2</w:t>
        </w:r>
        <w:r w:rsidR="003D6B4B" w:rsidRPr="00905489">
          <w:rPr>
            <w:rStyle w:val="Hyperlink"/>
            <w:lang w:val="es-ES"/>
          </w:rPr>
          <w:t>.4.</w:t>
        </w:r>
        <w:r w:rsidR="003D6B4B">
          <w:rPr>
            <w:rFonts w:asciiTheme="minorHAnsi" w:eastAsiaTheme="minorEastAsia" w:hAnsiTheme="minorHAnsi" w:cstheme="minorBidi"/>
            <w:sz w:val="22"/>
            <w:szCs w:val="22"/>
            <w:lang w:val="es-ES" w:eastAsia="es-ES"/>
          </w:rPr>
          <w:tab/>
        </w:r>
        <w:r w:rsidR="003D6B4B" w:rsidRPr="00905489">
          <w:rPr>
            <w:rStyle w:val="Hyperlink"/>
            <w:lang w:val="es-ES"/>
          </w:rPr>
          <w:t>Oportunidades</w:t>
        </w:r>
        <w:r w:rsidR="003D6B4B">
          <w:rPr>
            <w:webHidden/>
          </w:rPr>
          <w:tab/>
        </w:r>
        <w:r w:rsidR="00E94D03">
          <w:rPr>
            <w:webHidden/>
          </w:rPr>
          <w:t>47</w:t>
        </w:r>
      </w:hyperlink>
    </w:p>
    <w:p w14:paraId="4BA478D3" w14:textId="2E3F24DF"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65" w:history="1">
        <w:r w:rsidR="003D6B4B" w:rsidRPr="00905489">
          <w:rPr>
            <w:rStyle w:val="Hyperlink"/>
            <w:lang w:val="es-ES"/>
          </w:rPr>
          <w:t>3.</w:t>
        </w:r>
        <w:r w:rsidR="00C5287A">
          <w:rPr>
            <w:rStyle w:val="Hyperlink"/>
            <w:lang w:val="es-ES"/>
          </w:rPr>
          <w:t>3</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Necesidades</w:t>
        </w:r>
        <w:r w:rsidR="00D136BB">
          <w:rPr>
            <w:rStyle w:val="Hyperlink"/>
            <w:lang w:val="es-ES"/>
          </w:rPr>
          <w:t xml:space="preserve"> </w:t>
        </w:r>
        <w:r w:rsidR="00132971">
          <w:rPr>
            <w:rStyle w:val="Hyperlink"/>
            <w:lang w:val="es-ES"/>
          </w:rPr>
          <w:t>O</w:t>
        </w:r>
        <w:r w:rsidR="00D136BB">
          <w:rPr>
            <w:rStyle w:val="Hyperlink"/>
            <w:lang w:val="es-ES"/>
          </w:rPr>
          <w:t xml:space="preserve"> </w:t>
        </w:r>
        <w:r w:rsidR="003D6B4B" w:rsidRPr="00905489">
          <w:rPr>
            <w:rStyle w:val="Hyperlink"/>
            <w:lang w:val="es-ES"/>
          </w:rPr>
          <w:t>Problemas</w:t>
        </w:r>
        <w:r w:rsidR="003D6B4B">
          <w:rPr>
            <w:webHidden/>
          </w:rPr>
          <w:tab/>
        </w:r>
        <w:r w:rsidR="003879C8">
          <w:rPr>
            <w:webHidden/>
          </w:rPr>
          <w:t>48</w:t>
        </w:r>
      </w:hyperlink>
    </w:p>
    <w:p w14:paraId="7FBC211F" w14:textId="0ACE49E0"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66" w:history="1">
        <w:r w:rsidR="003D6B4B" w:rsidRPr="00905489">
          <w:rPr>
            <w:rStyle w:val="Hyperlink"/>
            <w:lang w:val="es-ES"/>
          </w:rPr>
          <w:t>3.</w:t>
        </w:r>
        <w:r w:rsidR="00C5287A">
          <w:rPr>
            <w:rStyle w:val="Hyperlink"/>
            <w:lang w:val="es-ES"/>
          </w:rPr>
          <w:t>4</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Priorización</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las</w:t>
        </w:r>
        <w:r w:rsidR="00D136BB">
          <w:rPr>
            <w:rStyle w:val="Hyperlink"/>
            <w:lang w:val="es-ES"/>
          </w:rPr>
          <w:t xml:space="preserve"> </w:t>
        </w:r>
        <w:r w:rsidR="003D6B4B" w:rsidRPr="00905489">
          <w:rPr>
            <w:rStyle w:val="Hyperlink"/>
            <w:lang w:val="es-ES"/>
          </w:rPr>
          <w:t>necesidades/problemas</w:t>
        </w:r>
        <w:r w:rsidR="003D6B4B">
          <w:rPr>
            <w:webHidden/>
          </w:rPr>
          <w:tab/>
        </w:r>
        <w:r w:rsidR="00AD30CA">
          <w:rPr>
            <w:webHidden/>
          </w:rPr>
          <w:t>52</w:t>
        </w:r>
      </w:hyperlink>
    </w:p>
    <w:p w14:paraId="6F4FA6BB" w14:textId="6E638AB4" w:rsidR="003D6B4B" w:rsidRDefault="001D6963" w:rsidP="003D6B4B">
      <w:pPr>
        <w:pStyle w:val="TOC1"/>
        <w:rPr>
          <w:rFonts w:asciiTheme="minorHAnsi" w:eastAsiaTheme="minorEastAsia" w:hAnsiTheme="minorHAnsi" w:cstheme="minorBidi"/>
          <w:bCs w:val="0"/>
          <w:iCs w:val="0"/>
          <w:caps w:val="0"/>
          <w:sz w:val="22"/>
          <w:szCs w:val="22"/>
          <w:lang w:val="es-ES" w:eastAsia="es-ES"/>
        </w:rPr>
      </w:pPr>
      <w:hyperlink w:anchor="_Toc385241567" w:history="1">
        <w:r w:rsidR="003D6B4B" w:rsidRPr="00905489">
          <w:rPr>
            <w:rStyle w:val="Hyperlink"/>
            <w:lang w:val="es-ES"/>
          </w:rPr>
          <w:t>4.</w:t>
        </w:r>
        <w:r w:rsidR="003D6B4B">
          <w:rPr>
            <w:rFonts w:asciiTheme="minorHAnsi" w:eastAsiaTheme="minorEastAsia" w:hAnsiTheme="minorHAnsi" w:cstheme="minorBidi"/>
            <w:bCs w:val="0"/>
            <w:iCs w:val="0"/>
            <w:caps w:val="0"/>
            <w:sz w:val="22"/>
            <w:szCs w:val="22"/>
            <w:lang w:val="es-ES" w:eastAsia="es-ES"/>
          </w:rPr>
          <w:tab/>
        </w:r>
        <w:r w:rsidR="003D6B4B" w:rsidRPr="00905489">
          <w:rPr>
            <w:rStyle w:val="Hyperlink"/>
            <w:lang w:val="es-ES"/>
          </w:rPr>
          <w:t>AMBIENTE</w:t>
        </w:r>
        <w:r w:rsidR="003D6B4B">
          <w:rPr>
            <w:webHidden/>
          </w:rPr>
          <w:tab/>
        </w:r>
        <w:r w:rsidR="00B37D5B">
          <w:rPr>
            <w:webHidden/>
          </w:rPr>
          <w:t>5</w:t>
        </w:r>
        <w:r w:rsidR="00E763DB">
          <w:rPr>
            <w:webHidden/>
          </w:rPr>
          <w:t>7</w:t>
        </w:r>
      </w:hyperlink>
    </w:p>
    <w:p w14:paraId="1DC38B27" w14:textId="10881AC7"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69" w:history="1">
        <w:r w:rsidR="003D6B4B" w:rsidRPr="00905489">
          <w:rPr>
            <w:rStyle w:val="Hyperlink"/>
            <w:lang w:val="es-ES"/>
          </w:rPr>
          <w:t>4.</w:t>
        </w:r>
        <w:r w:rsidR="00B37D5B">
          <w:rPr>
            <w:rStyle w:val="Hyperlink"/>
            <w:lang w:val="es-ES"/>
          </w:rPr>
          <w:t>1</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Análisis</w:t>
        </w:r>
        <w:r w:rsidR="00D136BB">
          <w:rPr>
            <w:rStyle w:val="Hyperlink"/>
            <w:lang w:val="es-ES"/>
          </w:rPr>
          <w:t xml:space="preserve"> </w:t>
        </w:r>
        <w:r w:rsidR="003D6B4B" w:rsidRPr="00905489">
          <w:rPr>
            <w:rStyle w:val="Hyperlink"/>
            <w:lang w:val="es-ES"/>
          </w:rPr>
          <w:t>general</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w:t>
        </w:r>
        <w:r w:rsidR="00D136BB">
          <w:rPr>
            <w:rStyle w:val="Hyperlink"/>
            <w:lang w:val="es-ES"/>
          </w:rPr>
          <w:t xml:space="preserve"> </w:t>
        </w:r>
        <w:r w:rsidR="003D6B4B" w:rsidRPr="00905489">
          <w:rPr>
            <w:rStyle w:val="Hyperlink"/>
            <w:lang w:val="es-ES"/>
          </w:rPr>
          <w:t>situación</w:t>
        </w:r>
        <w:r w:rsidR="00D136BB">
          <w:rPr>
            <w:rStyle w:val="Hyperlink"/>
            <w:lang w:val="es-ES"/>
          </w:rPr>
          <w:t xml:space="preserve"> </w:t>
        </w:r>
        <w:r w:rsidR="003D6B4B" w:rsidRPr="00905489">
          <w:rPr>
            <w:rStyle w:val="Hyperlink"/>
            <w:lang w:val="es-ES"/>
          </w:rPr>
          <w:t>regional</w:t>
        </w:r>
        <w:r w:rsidR="003D6B4B">
          <w:rPr>
            <w:webHidden/>
          </w:rPr>
          <w:tab/>
        </w:r>
        <w:r w:rsidR="00B37D5B">
          <w:rPr>
            <w:webHidden/>
          </w:rPr>
          <w:t>5</w:t>
        </w:r>
        <w:r w:rsidR="00E763DB">
          <w:rPr>
            <w:webHidden/>
          </w:rPr>
          <w:t>8</w:t>
        </w:r>
      </w:hyperlink>
    </w:p>
    <w:p w14:paraId="71BE1B5A" w14:textId="0C98C7DA"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70" w:history="1">
        <w:r w:rsidR="003D6B4B" w:rsidRPr="00905489">
          <w:rPr>
            <w:rStyle w:val="Hyperlink"/>
            <w:lang w:val="es-ES"/>
          </w:rPr>
          <w:t>4.</w:t>
        </w:r>
        <w:r w:rsidR="00B37D5B">
          <w:rPr>
            <w:rStyle w:val="Hyperlink"/>
            <w:lang w:val="es-ES"/>
          </w:rPr>
          <w:t>2</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B37D5B">
          <w:rPr>
            <w:rStyle w:val="Hyperlink"/>
            <w:lang w:val="es-ES"/>
          </w:rPr>
          <w:t>ANÁLISIS</w:t>
        </w:r>
        <w:r w:rsidR="00D136BB">
          <w:rPr>
            <w:rStyle w:val="Hyperlink"/>
            <w:lang w:val="es-ES"/>
          </w:rPr>
          <w:t xml:space="preserve"> </w:t>
        </w:r>
        <w:r w:rsidR="003D6B4B" w:rsidRPr="00905489">
          <w:rPr>
            <w:rStyle w:val="Hyperlink"/>
            <w:lang w:val="es-ES"/>
          </w:rPr>
          <w:t>DAFO</w:t>
        </w:r>
        <w:r w:rsidR="003D6B4B">
          <w:rPr>
            <w:webHidden/>
          </w:rPr>
          <w:tab/>
        </w:r>
        <w:r w:rsidR="00AD30CA">
          <w:rPr>
            <w:webHidden/>
          </w:rPr>
          <w:t>64</w:t>
        </w:r>
      </w:hyperlink>
    </w:p>
    <w:p w14:paraId="252C30C7" w14:textId="4CCF6BF1" w:rsidR="003D6B4B" w:rsidRDefault="001D6963" w:rsidP="003D6B4B">
      <w:pPr>
        <w:pStyle w:val="TOC3"/>
        <w:rPr>
          <w:rFonts w:asciiTheme="minorHAnsi" w:eastAsiaTheme="minorEastAsia" w:hAnsiTheme="minorHAnsi" w:cstheme="minorBidi"/>
          <w:sz w:val="22"/>
          <w:szCs w:val="22"/>
          <w:lang w:val="es-ES" w:eastAsia="es-ES"/>
        </w:rPr>
      </w:pPr>
      <w:hyperlink w:anchor="_Toc385241571" w:history="1">
        <w:r w:rsidR="003D6B4B" w:rsidRPr="00905489">
          <w:rPr>
            <w:rStyle w:val="Hyperlink"/>
            <w:lang w:val="es-ES"/>
          </w:rPr>
          <w:t>4.</w:t>
        </w:r>
        <w:r w:rsidR="00B37D5B">
          <w:rPr>
            <w:rStyle w:val="Hyperlink"/>
            <w:lang w:val="es-ES"/>
          </w:rPr>
          <w:t>2</w:t>
        </w:r>
        <w:r w:rsidR="003D6B4B" w:rsidRPr="00905489">
          <w:rPr>
            <w:rStyle w:val="Hyperlink"/>
            <w:lang w:val="es-ES"/>
          </w:rPr>
          <w:t>.1.</w:t>
        </w:r>
        <w:r w:rsidR="003D6B4B">
          <w:rPr>
            <w:rFonts w:asciiTheme="minorHAnsi" w:eastAsiaTheme="minorEastAsia" w:hAnsiTheme="minorHAnsi" w:cstheme="minorBidi"/>
            <w:sz w:val="22"/>
            <w:szCs w:val="22"/>
            <w:lang w:val="es-ES" w:eastAsia="es-ES"/>
          </w:rPr>
          <w:tab/>
        </w:r>
        <w:r w:rsidR="003D6B4B" w:rsidRPr="00905489">
          <w:rPr>
            <w:rStyle w:val="Hyperlink"/>
            <w:lang w:val="es-ES"/>
          </w:rPr>
          <w:t>Fortalezas</w:t>
        </w:r>
        <w:r w:rsidR="003D6B4B">
          <w:rPr>
            <w:webHidden/>
          </w:rPr>
          <w:tab/>
        </w:r>
        <w:r w:rsidR="00AD30CA">
          <w:rPr>
            <w:webHidden/>
          </w:rPr>
          <w:t>64</w:t>
        </w:r>
      </w:hyperlink>
    </w:p>
    <w:p w14:paraId="2B57F71E" w14:textId="5B20276C" w:rsidR="003D6B4B" w:rsidRDefault="001D6963" w:rsidP="003D6B4B">
      <w:pPr>
        <w:pStyle w:val="TOC3"/>
        <w:rPr>
          <w:rFonts w:asciiTheme="minorHAnsi" w:eastAsiaTheme="minorEastAsia" w:hAnsiTheme="minorHAnsi" w:cstheme="minorBidi"/>
          <w:sz w:val="22"/>
          <w:szCs w:val="22"/>
          <w:lang w:val="es-ES" w:eastAsia="es-ES"/>
        </w:rPr>
      </w:pPr>
      <w:hyperlink w:anchor="_Toc385241572" w:history="1">
        <w:r w:rsidR="003D6B4B" w:rsidRPr="00905489">
          <w:rPr>
            <w:rStyle w:val="Hyperlink"/>
            <w:lang w:val="es-ES"/>
          </w:rPr>
          <w:t>4.</w:t>
        </w:r>
        <w:r w:rsidR="00B37D5B">
          <w:rPr>
            <w:rStyle w:val="Hyperlink"/>
            <w:lang w:val="es-ES"/>
          </w:rPr>
          <w:t>2</w:t>
        </w:r>
        <w:r w:rsidR="003D6B4B" w:rsidRPr="00905489">
          <w:rPr>
            <w:rStyle w:val="Hyperlink"/>
            <w:lang w:val="es-ES"/>
          </w:rPr>
          <w:t>.2.</w:t>
        </w:r>
        <w:r w:rsidR="003D6B4B">
          <w:rPr>
            <w:rFonts w:asciiTheme="minorHAnsi" w:eastAsiaTheme="minorEastAsia" w:hAnsiTheme="minorHAnsi" w:cstheme="minorBidi"/>
            <w:sz w:val="22"/>
            <w:szCs w:val="22"/>
            <w:lang w:val="es-ES" w:eastAsia="es-ES"/>
          </w:rPr>
          <w:tab/>
        </w:r>
        <w:r w:rsidR="003D6B4B" w:rsidRPr="00905489">
          <w:rPr>
            <w:rStyle w:val="Hyperlink"/>
            <w:lang w:val="es-ES"/>
          </w:rPr>
          <w:t>Debilidades</w:t>
        </w:r>
        <w:r w:rsidR="003D6B4B">
          <w:rPr>
            <w:webHidden/>
          </w:rPr>
          <w:tab/>
        </w:r>
        <w:r w:rsidR="00AD30CA">
          <w:rPr>
            <w:webHidden/>
          </w:rPr>
          <w:t>65</w:t>
        </w:r>
      </w:hyperlink>
    </w:p>
    <w:p w14:paraId="68B015E9" w14:textId="3EB893F9" w:rsidR="003D6B4B" w:rsidRDefault="001D6963" w:rsidP="003D6B4B">
      <w:pPr>
        <w:pStyle w:val="TOC3"/>
        <w:rPr>
          <w:rFonts w:asciiTheme="minorHAnsi" w:eastAsiaTheme="minorEastAsia" w:hAnsiTheme="minorHAnsi" w:cstheme="minorBidi"/>
          <w:sz w:val="22"/>
          <w:szCs w:val="22"/>
          <w:lang w:val="es-ES" w:eastAsia="es-ES"/>
        </w:rPr>
      </w:pPr>
      <w:hyperlink w:anchor="_Toc385241573" w:history="1">
        <w:r w:rsidR="003D6B4B" w:rsidRPr="00905489">
          <w:rPr>
            <w:rStyle w:val="Hyperlink"/>
            <w:lang w:val="es-ES"/>
          </w:rPr>
          <w:t>4</w:t>
        </w:r>
        <w:r w:rsidR="00B37D5B">
          <w:rPr>
            <w:rStyle w:val="Hyperlink"/>
            <w:lang w:val="es-ES"/>
          </w:rPr>
          <w:t>,2</w:t>
        </w:r>
        <w:r w:rsidR="003D6B4B" w:rsidRPr="00905489">
          <w:rPr>
            <w:rStyle w:val="Hyperlink"/>
            <w:lang w:val="es-ES"/>
          </w:rPr>
          <w:t>.3.</w:t>
        </w:r>
        <w:r w:rsidR="003D6B4B">
          <w:rPr>
            <w:rFonts w:asciiTheme="minorHAnsi" w:eastAsiaTheme="minorEastAsia" w:hAnsiTheme="minorHAnsi" w:cstheme="minorBidi"/>
            <w:sz w:val="22"/>
            <w:szCs w:val="22"/>
            <w:lang w:val="es-ES" w:eastAsia="es-ES"/>
          </w:rPr>
          <w:tab/>
        </w:r>
        <w:r w:rsidR="003D6B4B" w:rsidRPr="00905489">
          <w:rPr>
            <w:rStyle w:val="Hyperlink"/>
            <w:lang w:val="es-ES"/>
          </w:rPr>
          <w:t>Amenazas</w:t>
        </w:r>
        <w:r w:rsidR="003D6B4B">
          <w:rPr>
            <w:webHidden/>
          </w:rPr>
          <w:tab/>
        </w:r>
        <w:r w:rsidR="00AD30CA">
          <w:rPr>
            <w:webHidden/>
          </w:rPr>
          <w:t>66</w:t>
        </w:r>
      </w:hyperlink>
    </w:p>
    <w:p w14:paraId="46456795" w14:textId="31FA71E1" w:rsidR="003D6B4B" w:rsidRDefault="001D6963" w:rsidP="003D6B4B">
      <w:pPr>
        <w:pStyle w:val="TOC3"/>
        <w:rPr>
          <w:rFonts w:asciiTheme="minorHAnsi" w:eastAsiaTheme="minorEastAsia" w:hAnsiTheme="minorHAnsi" w:cstheme="minorBidi"/>
          <w:sz w:val="22"/>
          <w:szCs w:val="22"/>
          <w:lang w:val="es-ES" w:eastAsia="es-ES"/>
        </w:rPr>
      </w:pPr>
      <w:hyperlink w:anchor="_Toc385241574" w:history="1">
        <w:r w:rsidR="003D6B4B" w:rsidRPr="00905489">
          <w:rPr>
            <w:rStyle w:val="Hyperlink"/>
            <w:lang w:val="es-ES"/>
          </w:rPr>
          <w:t>4.</w:t>
        </w:r>
        <w:r w:rsidR="00B37D5B">
          <w:rPr>
            <w:rStyle w:val="Hyperlink"/>
            <w:lang w:val="es-ES"/>
          </w:rPr>
          <w:t>2</w:t>
        </w:r>
        <w:r w:rsidR="003D6B4B" w:rsidRPr="00905489">
          <w:rPr>
            <w:rStyle w:val="Hyperlink"/>
            <w:lang w:val="es-ES"/>
          </w:rPr>
          <w:t>.4.</w:t>
        </w:r>
        <w:r w:rsidR="003D6B4B">
          <w:rPr>
            <w:rFonts w:asciiTheme="minorHAnsi" w:eastAsiaTheme="minorEastAsia" w:hAnsiTheme="minorHAnsi" w:cstheme="minorBidi"/>
            <w:sz w:val="22"/>
            <w:szCs w:val="22"/>
            <w:lang w:val="es-ES" w:eastAsia="es-ES"/>
          </w:rPr>
          <w:tab/>
        </w:r>
        <w:r w:rsidR="003D6B4B" w:rsidRPr="00905489">
          <w:rPr>
            <w:rStyle w:val="Hyperlink"/>
            <w:lang w:val="es-ES"/>
          </w:rPr>
          <w:t>Oportunidades</w:t>
        </w:r>
        <w:r w:rsidR="003D6B4B">
          <w:rPr>
            <w:webHidden/>
          </w:rPr>
          <w:tab/>
        </w:r>
        <w:r w:rsidR="00AD30CA">
          <w:rPr>
            <w:webHidden/>
          </w:rPr>
          <w:t>66</w:t>
        </w:r>
      </w:hyperlink>
    </w:p>
    <w:p w14:paraId="6FA39418" w14:textId="3DE9F3AB"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75" w:history="1">
        <w:r w:rsidR="003D6B4B" w:rsidRPr="00905489">
          <w:rPr>
            <w:rStyle w:val="Hyperlink"/>
            <w:lang w:val="es-ES"/>
          </w:rPr>
          <w:t>4.</w:t>
        </w:r>
        <w:r w:rsidR="00B37D5B">
          <w:rPr>
            <w:rStyle w:val="Hyperlink"/>
            <w:lang w:val="es-ES"/>
          </w:rPr>
          <w:t>3</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Necesidades</w:t>
        </w:r>
        <w:r w:rsidR="00D136BB">
          <w:rPr>
            <w:rStyle w:val="Hyperlink"/>
            <w:lang w:val="es-ES"/>
          </w:rPr>
          <w:t xml:space="preserve"> </w:t>
        </w:r>
        <w:r w:rsidR="003F59C4">
          <w:rPr>
            <w:rStyle w:val="Hyperlink"/>
            <w:lang w:val="es-ES"/>
          </w:rPr>
          <w:t>o</w:t>
        </w:r>
        <w:r w:rsidR="00D136BB">
          <w:rPr>
            <w:rStyle w:val="Hyperlink"/>
            <w:lang w:val="es-ES"/>
          </w:rPr>
          <w:t xml:space="preserve"> </w:t>
        </w:r>
        <w:r w:rsidR="003D6B4B" w:rsidRPr="00905489">
          <w:rPr>
            <w:rStyle w:val="Hyperlink"/>
            <w:lang w:val="es-ES"/>
          </w:rPr>
          <w:t>problemas</w:t>
        </w:r>
        <w:r w:rsidR="003D6B4B">
          <w:rPr>
            <w:webHidden/>
          </w:rPr>
          <w:tab/>
        </w:r>
        <w:r w:rsidR="00AD30CA">
          <w:rPr>
            <w:webHidden/>
          </w:rPr>
          <w:t>67</w:t>
        </w:r>
      </w:hyperlink>
    </w:p>
    <w:p w14:paraId="71755C2B" w14:textId="727779F2"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76" w:history="1">
        <w:r w:rsidR="003D6B4B" w:rsidRPr="00905489">
          <w:rPr>
            <w:rStyle w:val="Hyperlink"/>
            <w:lang w:val="es-ES"/>
          </w:rPr>
          <w:t>4.</w:t>
        </w:r>
        <w:r w:rsidR="00B37D5B">
          <w:rPr>
            <w:rStyle w:val="Hyperlink"/>
            <w:lang w:val="es-ES"/>
          </w:rPr>
          <w:t>4</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Priorización</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las</w:t>
        </w:r>
        <w:r w:rsidR="00D136BB">
          <w:rPr>
            <w:rStyle w:val="Hyperlink"/>
            <w:lang w:val="es-ES"/>
          </w:rPr>
          <w:t xml:space="preserve"> </w:t>
        </w:r>
        <w:r w:rsidR="003D6B4B" w:rsidRPr="00905489">
          <w:rPr>
            <w:rStyle w:val="Hyperlink"/>
            <w:lang w:val="es-ES"/>
          </w:rPr>
          <w:t>necesidades/problemas</w:t>
        </w:r>
        <w:r w:rsidR="003D6B4B">
          <w:rPr>
            <w:webHidden/>
          </w:rPr>
          <w:tab/>
        </w:r>
        <w:r w:rsidR="00AD30CA">
          <w:rPr>
            <w:webHidden/>
          </w:rPr>
          <w:t>70</w:t>
        </w:r>
      </w:hyperlink>
    </w:p>
    <w:p w14:paraId="3E5DDCC6" w14:textId="0FC38BF1" w:rsidR="003D6B4B" w:rsidRDefault="001D6963" w:rsidP="003D6B4B">
      <w:pPr>
        <w:pStyle w:val="TOC1"/>
        <w:rPr>
          <w:rFonts w:asciiTheme="minorHAnsi" w:eastAsiaTheme="minorEastAsia" w:hAnsiTheme="minorHAnsi" w:cstheme="minorBidi"/>
          <w:bCs w:val="0"/>
          <w:iCs w:val="0"/>
          <w:caps w:val="0"/>
          <w:sz w:val="22"/>
          <w:szCs w:val="22"/>
          <w:lang w:val="es-ES" w:eastAsia="es-ES"/>
        </w:rPr>
      </w:pPr>
      <w:hyperlink w:anchor="_Toc385241577" w:history="1">
        <w:r w:rsidR="003D6B4B" w:rsidRPr="00905489">
          <w:rPr>
            <w:rStyle w:val="Hyperlink"/>
            <w:lang w:val="es-ES"/>
          </w:rPr>
          <w:t>5.</w:t>
        </w:r>
        <w:r w:rsidR="003D6B4B">
          <w:rPr>
            <w:rFonts w:asciiTheme="minorHAnsi" w:eastAsiaTheme="minorEastAsia" w:hAnsiTheme="minorHAnsi" w:cstheme="minorBidi"/>
            <w:bCs w:val="0"/>
            <w:iCs w:val="0"/>
            <w:caps w:val="0"/>
            <w:sz w:val="22"/>
            <w:szCs w:val="22"/>
            <w:lang w:val="es-ES" w:eastAsia="es-ES"/>
          </w:rPr>
          <w:tab/>
        </w:r>
        <w:r w:rsidR="003D6B4B" w:rsidRPr="00905489">
          <w:rPr>
            <w:rStyle w:val="Hyperlink"/>
            <w:lang w:val="es-ES"/>
          </w:rPr>
          <w:t>ENERGíA</w:t>
        </w:r>
        <w:r w:rsidR="003D6B4B">
          <w:rPr>
            <w:webHidden/>
          </w:rPr>
          <w:tab/>
        </w:r>
        <w:r w:rsidR="00AD30CA">
          <w:rPr>
            <w:webHidden/>
          </w:rPr>
          <w:t>74</w:t>
        </w:r>
      </w:hyperlink>
    </w:p>
    <w:p w14:paraId="31E293F2" w14:textId="0473CAFE"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79" w:history="1">
        <w:r w:rsidR="003D6B4B" w:rsidRPr="00905489">
          <w:rPr>
            <w:rStyle w:val="Hyperlink"/>
            <w:lang w:val="es-ES"/>
          </w:rPr>
          <w:t>5.</w:t>
        </w:r>
        <w:r w:rsidR="004A0459">
          <w:rPr>
            <w:rStyle w:val="Hyperlink"/>
            <w:lang w:val="es-ES"/>
          </w:rPr>
          <w:t>1</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Análisis</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w:t>
        </w:r>
        <w:r w:rsidR="00D136BB">
          <w:rPr>
            <w:rStyle w:val="Hyperlink"/>
            <w:lang w:val="es-ES"/>
          </w:rPr>
          <w:t xml:space="preserve"> </w:t>
        </w:r>
        <w:r w:rsidR="003D6B4B" w:rsidRPr="00905489">
          <w:rPr>
            <w:rStyle w:val="Hyperlink"/>
            <w:lang w:val="es-ES"/>
          </w:rPr>
          <w:t>situación</w:t>
        </w:r>
        <w:r w:rsidR="00D136BB">
          <w:rPr>
            <w:rStyle w:val="Hyperlink"/>
            <w:lang w:val="es-ES"/>
          </w:rPr>
          <w:t xml:space="preserve"> </w:t>
        </w:r>
        <w:r w:rsidR="003D6B4B" w:rsidRPr="00905489">
          <w:rPr>
            <w:rStyle w:val="Hyperlink"/>
            <w:lang w:val="es-ES"/>
          </w:rPr>
          <w:t>regional</w:t>
        </w:r>
        <w:r w:rsidR="003D6B4B">
          <w:rPr>
            <w:webHidden/>
          </w:rPr>
          <w:tab/>
        </w:r>
        <w:r w:rsidR="00AD30CA">
          <w:rPr>
            <w:webHidden/>
          </w:rPr>
          <w:t>75</w:t>
        </w:r>
      </w:hyperlink>
    </w:p>
    <w:p w14:paraId="5C526FC6" w14:textId="6FED779E"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80" w:history="1">
        <w:r w:rsidR="003D6B4B" w:rsidRPr="00905489">
          <w:rPr>
            <w:rStyle w:val="Hyperlink"/>
            <w:lang w:val="es-ES"/>
          </w:rPr>
          <w:t>5.</w:t>
        </w:r>
        <w:r w:rsidR="004A0459">
          <w:rPr>
            <w:rStyle w:val="Hyperlink"/>
            <w:lang w:val="es-ES"/>
          </w:rPr>
          <w:t>2</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132971">
          <w:rPr>
            <w:rStyle w:val="Hyperlink"/>
            <w:lang w:val="es-ES"/>
          </w:rPr>
          <w:t>ANÁLISIS</w:t>
        </w:r>
        <w:r w:rsidR="00D136BB">
          <w:rPr>
            <w:rStyle w:val="Hyperlink"/>
            <w:lang w:val="es-ES"/>
          </w:rPr>
          <w:t xml:space="preserve"> </w:t>
        </w:r>
        <w:r w:rsidR="003D6B4B" w:rsidRPr="00905489">
          <w:rPr>
            <w:rStyle w:val="Hyperlink"/>
            <w:lang w:val="es-ES"/>
          </w:rPr>
          <w:t>DAFO.</w:t>
        </w:r>
        <w:r w:rsidR="003D6B4B">
          <w:rPr>
            <w:webHidden/>
          </w:rPr>
          <w:tab/>
        </w:r>
        <w:r w:rsidR="00AD30CA">
          <w:rPr>
            <w:webHidden/>
          </w:rPr>
          <w:t>80</w:t>
        </w:r>
      </w:hyperlink>
    </w:p>
    <w:p w14:paraId="6196D5FF" w14:textId="7B7A2DBD" w:rsidR="003D6B4B" w:rsidRDefault="001D6963" w:rsidP="003D6B4B">
      <w:pPr>
        <w:pStyle w:val="TOC3"/>
        <w:rPr>
          <w:rFonts w:asciiTheme="minorHAnsi" w:eastAsiaTheme="minorEastAsia" w:hAnsiTheme="minorHAnsi" w:cstheme="minorBidi"/>
          <w:sz w:val="22"/>
          <w:szCs w:val="22"/>
          <w:lang w:val="es-ES" w:eastAsia="es-ES"/>
        </w:rPr>
      </w:pPr>
      <w:hyperlink w:anchor="_Toc385241581" w:history="1">
        <w:r w:rsidR="003D6B4B" w:rsidRPr="00905489">
          <w:rPr>
            <w:rStyle w:val="Hyperlink"/>
            <w:lang w:val="es-ES"/>
          </w:rPr>
          <w:t>5.</w:t>
        </w:r>
        <w:r w:rsidR="004A0459">
          <w:rPr>
            <w:rStyle w:val="Hyperlink"/>
            <w:lang w:val="es-ES"/>
          </w:rPr>
          <w:t>2</w:t>
        </w:r>
        <w:r w:rsidR="003D6B4B" w:rsidRPr="00905489">
          <w:rPr>
            <w:rStyle w:val="Hyperlink"/>
            <w:lang w:val="es-ES"/>
          </w:rPr>
          <w:t>.1.</w:t>
        </w:r>
        <w:r w:rsidR="003D6B4B">
          <w:rPr>
            <w:rFonts w:asciiTheme="minorHAnsi" w:eastAsiaTheme="minorEastAsia" w:hAnsiTheme="minorHAnsi" w:cstheme="minorBidi"/>
            <w:sz w:val="22"/>
            <w:szCs w:val="22"/>
            <w:lang w:val="es-ES" w:eastAsia="es-ES"/>
          </w:rPr>
          <w:tab/>
        </w:r>
        <w:r w:rsidR="003D6B4B" w:rsidRPr="00905489">
          <w:rPr>
            <w:rStyle w:val="Hyperlink"/>
            <w:lang w:val="es-ES"/>
          </w:rPr>
          <w:t>Fortalezas</w:t>
        </w:r>
        <w:r w:rsidR="003D6B4B">
          <w:rPr>
            <w:webHidden/>
          </w:rPr>
          <w:tab/>
        </w:r>
        <w:r w:rsidR="00AD30CA">
          <w:rPr>
            <w:webHidden/>
          </w:rPr>
          <w:t>80</w:t>
        </w:r>
      </w:hyperlink>
    </w:p>
    <w:p w14:paraId="729C7405" w14:textId="2F24EEFC" w:rsidR="003D6B4B" w:rsidRDefault="001D6963" w:rsidP="003D6B4B">
      <w:pPr>
        <w:pStyle w:val="TOC3"/>
        <w:rPr>
          <w:rFonts w:asciiTheme="minorHAnsi" w:eastAsiaTheme="minorEastAsia" w:hAnsiTheme="minorHAnsi" w:cstheme="minorBidi"/>
          <w:sz w:val="22"/>
          <w:szCs w:val="22"/>
          <w:lang w:val="es-ES" w:eastAsia="es-ES"/>
        </w:rPr>
      </w:pPr>
      <w:hyperlink w:anchor="_Toc385241582" w:history="1">
        <w:r w:rsidR="003D6B4B" w:rsidRPr="00905489">
          <w:rPr>
            <w:rStyle w:val="Hyperlink"/>
            <w:lang w:val="es-ES"/>
          </w:rPr>
          <w:t>5.</w:t>
        </w:r>
        <w:r w:rsidR="004A0459">
          <w:rPr>
            <w:rStyle w:val="Hyperlink"/>
            <w:lang w:val="es-ES"/>
          </w:rPr>
          <w:t>2</w:t>
        </w:r>
        <w:r w:rsidR="003D6B4B" w:rsidRPr="00905489">
          <w:rPr>
            <w:rStyle w:val="Hyperlink"/>
            <w:lang w:val="es-ES"/>
          </w:rPr>
          <w:t>.2.</w:t>
        </w:r>
        <w:r w:rsidR="003D6B4B">
          <w:rPr>
            <w:rFonts w:asciiTheme="minorHAnsi" w:eastAsiaTheme="minorEastAsia" w:hAnsiTheme="minorHAnsi" w:cstheme="minorBidi"/>
            <w:sz w:val="22"/>
            <w:szCs w:val="22"/>
            <w:lang w:val="es-ES" w:eastAsia="es-ES"/>
          </w:rPr>
          <w:tab/>
        </w:r>
        <w:r w:rsidR="003D6B4B" w:rsidRPr="00905489">
          <w:rPr>
            <w:rStyle w:val="Hyperlink"/>
            <w:lang w:val="es-ES"/>
          </w:rPr>
          <w:t>Debilidades</w:t>
        </w:r>
        <w:r w:rsidR="003D6B4B">
          <w:rPr>
            <w:webHidden/>
          </w:rPr>
          <w:tab/>
        </w:r>
        <w:r w:rsidR="00AD30CA">
          <w:rPr>
            <w:webHidden/>
          </w:rPr>
          <w:t>81</w:t>
        </w:r>
      </w:hyperlink>
    </w:p>
    <w:p w14:paraId="771BE298" w14:textId="578D2401" w:rsidR="003D6B4B" w:rsidRDefault="001D6963" w:rsidP="003D6B4B">
      <w:pPr>
        <w:pStyle w:val="TOC3"/>
        <w:rPr>
          <w:rFonts w:asciiTheme="minorHAnsi" w:eastAsiaTheme="minorEastAsia" w:hAnsiTheme="minorHAnsi" w:cstheme="minorBidi"/>
          <w:sz w:val="22"/>
          <w:szCs w:val="22"/>
          <w:lang w:val="es-ES" w:eastAsia="es-ES"/>
        </w:rPr>
      </w:pPr>
      <w:hyperlink w:anchor="_Toc385241583" w:history="1">
        <w:r w:rsidR="003D6B4B" w:rsidRPr="00905489">
          <w:rPr>
            <w:rStyle w:val="Hyperlink"/>
            <w:lang w:val="es-ES"/>
          </w:rPr>
          <w:t>5.</w:t>
        </w:r>
        <w:r w:rsidR="004A0459">
          <w:rPr>
            <w:rStyle w:val="Hyperlink"/>
            <w:lang w:val="es-ES"/>
          </w:rPr>
          <w:t>2</w:t>
        </w:r>
        <w:r w:rsidR="003D6B4B" w:rsidRPr="00905489">
          <w:rPr>
            <w:rStyle w:val="Hyperlink"/>
            <w:lang w:val="es-ES"/>
          </w:rPr>
          <w:t>.3.</w:t>
        </w:r>
        <w:r w:rsidR="003D6B4B">
          <w:rPr>
            <w:rFonts w:asciiTheme="minorHAnsi" w:eastAsiaTheme="minorEastAsia" w:hAnsiTheme="minorHAnsi" w:cstheme="minorBidi"/>
            <w:sz w:val="22"/>
            <w:szCs w:val="22"/>
            <w:lang w:val="es-ES" w:eastAsia="es-ES"/>
          </w:rPr>
          <w:tab/>
        </w:r>
        <w:r w:rsidR="003D6B4B" w:rsidRPr="00905489">
          <w:rPr>
            <w:rStyle w:val="Hyperlink"/>
            <w:lang w:val="es-ES"/>
          </w:rPr>
          <w:t>Amenazas</w:t>
        </w:r>
        <w:r w:rsidR="003D6B4B">
          <w:rPr>
            <w:webHidden/>
          </w:rPr>
          <w:tab/>
        </w:r>
        <w:r w:rsidR="00853115">
          <w:rPr>
            <w:webHidden/>
          </w:rPr>
          <w:t>82</w:t>
        </w:r>
      </w:hyperlink>
    </w:p>
    <w:p w14:paraId="03D0C7F3" w14:textId="07D9D406" w:rsidR="003D6B4B" w:rsidRDefault="001D6963" w:rsidP="003D6B4B">
      <w:pPr>
        <w:pStyle w:val="TOC3"/>
        <w:rPr>
          <w:rFonts w:asciiTheme="minorHAnsi" w:eastAsiaTheme="minorEastAsia" w:hAnsiTheme="minorHAnsi" w:cstheme="minorBidi"/>
          <w:sz w:val="22"/>
          <w:szCs w:val="22"/>
          <w:lang w:val="es-ES" w:eastAsia="es-ES"/>
        </w:rPr>
      </w:pPr>
      <w:hyperlink w:anchor="_Toc385241584" w:history="1">
        <w:r w:rsidR="003D6B4B" w:rsidRPr="00905489">
          <w:rPr>
            <w:rStyle w:val="Hyperlink"/>
            <w:lang w:val="es-ES"/>
          </w:rPr>
          <w:t>5.</w:t>
        </w:r>
        <w:r w:rsidR="004A0459">
          <w:rPr>
            <w:rStyle w:val="Hyperlink"/>
            <w:lang w:val="es-ES"/>
          </w:rPr>
          <w:t>2</w:t>
        </w:r>
        <w:r w:rsidR="003D6B4B" w:rsidRPr="00905489">
          <w:rPr>
            <w:rStyle w:val="Hyperlink"/>
            <w:lang w:val="es-ES"/>
          </w:rPr>
          <w:t>.4.</w:t>
        </w:r>
        <w:r w:rsidR="003D6B4B">
          <w:rPr>
            <w:rFonts w:asciiTheme="minorHAnsi" w:eastAsiaTheme="minorEastAsia" w:hAnsiTheme="minorHAnsi" w:cstheme="minorBidi"/>
            <w:sz w:val="22"/>
            <w:szCs w:val="22"/>
            <w:lang w:val="es-ES" w:eastAsia="es-ES"/>
          </w:rPr>
          <w:tab/>
        </w:r>
        <w:r w:rsidR="003D6B4B" w:rsidRPr="00905489">
          <w:rPr>
            <w:rStyle w:val="Hyperlink"/>
            <w:lang w:val="es-ES"/>
          </w:rPr>
          <w:t>Oportunidades</w:t>
        </w:r>
        <w:r w:rsidR="003D6B4B">
          <w:rPr>
            <w:webHidden/>
          </w:rPr>
          <w:tab/>
        </w:r>
        <w:r w:rsidR="00853115">
          <w:rPr>
            <w:webHidden/>
          </w:rPr>
          <w:t>83</w:t>
        </w:r>
      </w:hyperlink>
    </w:p>
    <w:p w14:paraId="7B9369F3" w14:textId="5BE19599"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85" w:history="1">
        <w:r w:rsidR="003D6B4B" w:rsidRPr="00905489">
          <w:rPr>
            <w:rStyle w:val="Hyperlink"/>
            <w:lang w:val="es-ES"/>
          </w:rPr>
          <w:t>5</w:t>
        </w:r>
        <w:r w:rsidR="004A0459">
          <w:rPr>
            <w:rStyle w:val="Hyperlink"/>
            <w:lang w:val="es-ES"/>
          </w:rPr>
          <w:t>.3</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Necesidades</w:t>
        </w:r>
        <w:r w:rsidR="00D136BB">
          <w:rPr>
            <w:rStyle w:val="Hyperlink"/>
            <w:lang w:val="es-ES"/>
          </w:rPr>
          <w:t xml:space="preserve"> </w:t>
        </w:r>
        <w:r w:rsidR="00132971">
          <w:rPr>
            <w:rStyle w:val="Hyperlink"/>
            <w:lang w:val="es-ES"/>
          </w:rPr>
          <w:t>O</w:t>
        </w:r>
        <w:r w:rsidR="00D136BB">
          <w:rPr>
            <w:rStyle w:val="Hyperlink"/>
            <w:lang w:val="es-ES"/>
          </w:rPr>
          <w:t xml:space="preserve"> </w:t>
        </w:r>
        <w:r w:rsidR="003D6B4B" w:rsidRPr="00905489">
          <w:rPr>
            <w:rStyle w:val="Hyperlink"/>
            <w:lang w:val="es-ES"/>
          </w:rPr>
          <w:t>problemas</w:t>
        </w:r>
        <w:r w:rsidR="003D6B4B">
          <w:rPr>
            <w:webHidden/>
          </w:rPr>
          <w:tab/>
        </w:r>
        <w:r w:rsidR="00853115">
          <w:rPr>
            <w:webHidden/>
          </w:rPr>
          <w:t>83</w:t>
        </w:r>
      </w:hyperlink>
    </w:p>
    <w:p w14:paraId="615483B7" w14:textId="3D9EF7C4"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86" w:history="1">
        <w:r w:rsidR="003D6B4B" w:rsidRPr="00905489">
          <w:rPr>
            <w:rStyle w:val="Hyperlink"/>
            <w:lang w:val="es-ES"/>
          </w:rPr>
          <w:t>5.</w:t>
        </w:r>
        <w:r w:rsidR="004A0459">
          <w:rPr>
            <w:rStyle w:val="Hyperlink"/>
            <w:lang w:val="es-ES"/>
          </w:rPr>
          <w:t>4</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Priorización</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Necesidades/Problemas</w:t>
        </w:r>
        <w:r w:rsidR="003D6B4B">
          <w:rPr>
            <w:webHidden/>
          </w:rPr>
          <w:tab/>
        </w:r>
        <w:r w:rsidR="00853115">
          <w:rPr>
            <w:webHidden/>
          </w:rPr>
          <w:t>87</w:t>
        </w:r>
      </w:hyperlink>
    </w:p>
    <w:p w14:paraId="024DE7D0" w14:textId="0EE3D55E" w:rsidR="003D6B4B" w:rsidRDefault="001D6963" w:rsidP="003D6B4B">
      <w:pPr>
        <w:pStyle w:val="TOC1"/>
        <w:rPr>
          <w:rFonts w:asciiTheme="minorHAnsi" w:eastAsiaTheme="minorEastAsia" w:hAnsiTheme="minorHAnsi" w:cstheme="minorBidi"/>
          <w:bCs w:val="0"/>
          <w:iCs w:val="0"/>
          <w:caps w:val="0"/>
          <w:sz w:val="22"/>
          <w:szCs w:val="22"/>
          <w:lang w:val="es-ES" w:eastAsia="es-ES"/>
        </w:rPr>
      </w:pPr>
      <w:hyperlink w:anchor="_Toc385241587" w:history="1">
        <w:r w:rsidR="003D6B4B" w:rsidRPr="00905489">
          <w:rPr>
            <w:rStyle w:val="Hyperlink"/>
            <w:lang w:val="es-ES"/>
          </w:rPr>
          <w:t>6.</w:t>
        </w:r>
        <w:r w:rsidR="003D6B4B">
          <w:rPr>
            <w:rFonts w:asciiTheme="minorHAnsi" w:eastAsiaTheme="minorEastAsia" w:hAnsiTheme="minorHAnsi" w:cstheme="minorBidi"/>
            <w:bCs w:val="0"/>
            <w:iCs w:val="0"/>
            <w:caps w:val="0"/>
            <w:sz w:val="22"/>
            <w:szCs w:val="22"/>
            <w:lang w:val="es-ES" w:eastAsia="es-ES"/>
          </w:rPr>
          <w:tab/>
        </w:r>
        <w:r w:rsidR="003D6B4B" w:rsidRPr="00905489">
          <w:rPr>
            <w:rStyle w:val="Hyperlink"/>
            <w:lang w:val="es-ES"/>
          </w:rPr>
          <w:t>SEGURIDAD</w:t>
        </w:r>
        <w:r w:rsidR="00D136BB">
          <w:rPr>
            <w:rStyle w:val="Hyperlink"/>
            <w:lang w:val="es-ES"/>
          </w:rPr>
          <w:t xml:space="preserve"> </w:t>
        </w:r>
        <w:r w:rsidR="003D6B4B" w:rsidRPr="00905489">
          <w:rPr>
            <w:rStyle w:val="Hyperlink"/>
            <w:lang w:val="es-ES"/>
          </w:rPr>
          <w:t>RADIOLÓGICA</w:t>
        </w:r>
        <w:r w:rsidR="003D6B4B">
          <w:rPr>
            <w:webHidden/>
          </w:rPr>
          <w:tab/>
        </w:r>
        <w:r w:rsidR="00853115">
          <w:rPr>
            <w:webHidden/>
          </w:rPr>
          <w:t>90</w:t>
        </w:r>
      </w:hyperlink>
    </w:p>
    <w:p w14:paraId="2A0CC4F4" w14:textId="7A8A57BD"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89" w:history="1">
        <w:r w:rsidR="003D6B4B" w:rsidRPr="00905489">
          <w:rPr>
            <w:rStyle w:val="Hyperlink"/>
            <w:lang w:val="es-ES"/>
          </w:rPr>
          <w:t>6.</w:t>
        </w:r>
        <w:r w:rsidR="00344128">
          <w:rPr>
            <w:rStyle w:val="Hyperlink"/>
            <w:lang w:val="es-ES"/>
          </w:rPr>
          <w:t>1</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Análisis</w:t>
        </w:r>
        <w:r w:rsidR="00D136BB">
          <w:rPr>
            <w:rStyle w:val="Hyperlink"/>
            <w:lang w:val="es-ES"/>
          </w:rPr>
          <w:t xml:space="preserve"> </w:t>
        </w:r>
        <w:r w:rsidR="003D6B4B" w:rsidRPr="00905489">
          <w:rPr>
            <w:rStyle w:val="Hyperlink"/>
            <w:lang w:val="es-ES"/>
          </w:rPr>
          <w:t>general</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w:t>
        </w:r>
        <w:r w:rsidR="00D136BB">
          <w:rPr>
            <w:rStyle w:val="Hyperlink"/>
            <w:lang w:val="es-ES"/>
          </w:rPr>
          <w:t xml:space="preserve"> </w:t>
        </w:r>
        <w:r w:rsidR="003D6B4B" w:rsidRPr="00905489">
          <w:rPr>
            <w:rStyle w:val="Hyperlink"/>
            <w:lang w:val="es-ES"/>
          </w:rPr>
          <w:t>situación</w:t>
        </w:r>
        <w:r w:rsidR="00D136BB">
          <w:rPr>
            <w:rStyle w:val="Hyperlink"/>
            <w:lang w:val="es-ES"/>
          </w:rPr>
          <w:t xml:space="preserve"> </w:t>
        </w:r>
        <w:r w:rsidR="003D6B4B" w:rsidRPr="00905489">
          <w:rPr>
            <w:rStyle w:val="Hyperlink"/>
            <w:lang w:val="es-ES"/>
          </w:rPr>
          <w:t>regional</w:t>
        </w:r>
        <w:r w:rsidR="003D6B4B">
          <w:rPr>
            <w:webHidden/>
          </w:rPr>
          <w:tab/>
        </w:r>
        <w:r w:rsidR="00853115">
          <w:rPr>
            <w:webHidden/>
          </w:rPr>
          <w:t>91</w:t>
        </w:r>
      </w:hyperlink>
    </w:p>
    <w:p w14:paraId="46EC9196" w14:textId="076F54EA"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90" w:history="1">
        <w:r w:rsidR="003D6B4B" w:rsidRPr="00905489">
          <w:rPr>
            <w:rStyle w:val="Hyperlink"/>
            <w:lang w:val="es-ES"/>
          </w:rPr>
          <w:t>6.</w:t>
        </w:r>
        <w:r w:rsidR="00344128">
          <w:rPr>
            <w:rStyle w:val="Hyperlink"/>
            <w:lang w:val="es-ES"/>
          </w:rPr>
          <w:t>2</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44128">
          <w:rPr>
            <w:rStyle w:val="Hyperlink"/>
            <w:lang w:val="es-ES"/>
          </w:rPr>
          <w:t>ANÁLISIS</w:t>
        </w:r>
        <w:r w:rsidR="00D136BB">
          <w:rPr>
            <w:rStyle w:val="Hyperlink"/>
            <w:lang w:val="es-ES"/>
          </w:rPr>
          <w:t xml:space="preserve"> </w:t>
        </w:r>
        <w:r w:rsidR="003D6B4B" w:rsidRPr="00905489">
          <w:rPr>
            <w:rStyle w:val="Hyperlink"/>
            <w:lang w:val="es-ES"/>
          </w:rPr>
          <w:t>DAFO</w:t>
        </w:r>
        <w:r w:rsidR="003D6B4B">
          <w:rPr>
            <w:webHidden/>
          </w:rPr>
          <w:tab/>
        </w:r>
        <w:r w:rsidR="00344128">
          <w:rPr>
            <w:webHidden/>
          </w:rPr>
          <w:t>98</w:t>
        </w:r>
      </w:hyperlink>
    </w:p>
    <w:p w14:paraId="7C9A0E97" w14:textId="51D9B9EB" w:rsidR="003D6B4B" w:rsidRDefault="001D6963" w:rsidP="003D6B4B">
      <w:pPr>
        <w:pStyle w:val="TOC3"/>
        <w:rPr>
          <w:rFonts w:asciiTheme="minorHAnsi" w:eastAsiaTheme="minorEastAsia" w:hAnsiTheme="minorHAnsi" w:cstheme="minorBidi"/>
          <w:sz w:val="22"/>
          <w:szCs w:val="22"/>
          <w:lang w:val="es-ES" w:eastAsia="es-ES"/>
        </w:rPr>
      </w:pPr>
      <w:hyperlink w:anchor="_Toc385241591" w:history="1">
        <w:r w:rsidR="003D6B4B" w:rsidRPr="00905489">
          <w:rPr>
            <w:rStyle w:val="Hyperlink"/>
            <w:lang w:val="es-ES"/>
          </w:rPr>
          <w:t>6.</w:t>
        </w:r>
        <w:r w:rsidR="00344128">
          <w:rPr>
            <w:rStyle w:val="Hyperlink"/>
            <w:lang w:val="es-ES"/>
          </w:rPr>
          <w:t>2</w:t>
        </w:r>
        <w:r w:rsidR="003D6B4B" w:rsidRPr="00905489">
          <w:rPr>
            <w:rStyle w:val="Hyperlink"/>
            <w:lang w:val="es-ES"/>
          </w:rPr>
          <w:t>.1.</w:t>
        </w:r>
        <w:r w:rsidR="003D6B4B">
          <w:rPr>
            <w:rFonts w:asciiTheme="minorHAnsi" w:eastAsiaTheme="minorEastAsia" w:hAnsiTheme="minorHAnsi" w:cstheme="minorBidi"/>
            <w:sz w:val="22"/>
            <w:szCs w:val="22"/>
            <w:lang w:val="es-ES" w:eastAsia="es-ES"/>
          </w:rPr>
          <w:tab/>
        </w:r>
        <w:r w:rsidR="003D6B4B" w:rsidRPr="00905489">
          <w:rPr>
            <w:rStyle w:val="Hyperlink"/>
            <w:lang w:val="es-ES"/>
          </w:rPr>
          <w:t>Fortalezas</w:t>
        </w:r>
        <w:r w:rsidR="003D6B4B">
          <w:rPr>
            <w:webHidden/>
          </w:rPr>
          <w:tab/>
        </w:r>
        <w:r w:rsidR="00344128">
          <w:rPr>
            <w:webHidden/>
          </w:rPr>
          <w:t>98</w:t>
        </w:r>
      </w:hyperlink>
    </w:p>
    <w:p w14:paraId="3D2EB4A9" w14:textId="3FFBEB99" w:rsidR="003D6B4B" w:rsidRDefault="001D6963" w:rsidP="003D6B4B">
      <w:pPr>
        <w:pStyle w:val="TOC3"/>
        <w:rPr>
          <w:rFonts w:asciiTheme="minorHAnsi" w:eastAsiaTheme="minorEastAsia" w:hAnsiTheme="minorHAnsi" w:cstheme="minorBidi"/>
          <w:sz w:val="22"/>
          <w:szCs w:val="22"/>
          <w:lang w:val="es-ES" w:eastAsia="es-ES"/>
        </w:rPr>
      </w:pPr>
      <w:hyperlink w:anchor="_Toc385241592" w:history="1">
        <w:r w:rsidR="003D6B4B" w:rsidRPr="00905489">
          <w:rPr>
            <w:rStyle w:val="Hyperlink"/>
            <w:lang w:val="es-ES"/>
          </w:rPr>
          <w:t>6.</w:t>
        </w:r>
        <w:r w:rsidR="00344128">
          <w:rPr>
            <w:rStyle w:val="Hyperlink"/>
            <w:lang w:val="es-ES"/>
          </w:rPr>
          <w:t>2</w:t>
        </w:r>
        <w:r w:rsidR="003D6B4B" w:rsidRPr="00905489">
          <w:rPr>
            <w:rStyle w:val="Hyperlink"/>
            <w:lang w:val="es-ES"/>
          </w:rPr>
          <w:t>.2.</w:t>
        </w:r>
        <w:r w:rsidR="003D6B4B">
          <w:rPr>
            <w:rFonts w:asciiTheme="minorHAnsi" w:eastAsiaTheme="minorEastAsia" w:hAnsiTheme="minorHAnsi" w:cstheme="minorBidi"/>
            <w:sz w:val="22"/>
            <w:szCs w:val="22"/>
            <w:lang w:val="es-ES" w:eastAsia="es-ES"/>
          </w:rPr>
          <w:tab/>
        </w:r>
        <w:r w:rsidR="003D6B4B" w:rsidRPr="00905489">
          <w:rPr>
            <w:rStyle w:val="Hyperlink"/>
            <w:lang w:val="es-ES"/>
          </w:rPr>
          <w:t>Debilidades</w:t>
        </w:r>
        <w:r w:rsidR="003D6B4B">
          <w:rPr>
            <w:webHidden/>
          </w:rPr>
          <w:tab/>
        </w:r>
        <w:r w:rsidR="00853115">
          <w:rPr>
            <w:webHidden/>
          </w:rPr>
          <w:t>98</w:t>
        </w:r>
      </w:hyperlink>
    </w:p>
    <w:p w14:paraId="43D59056" w14:textId="287B743B" w:rsidR="003D6B4B" w:rsidRDefault="001D6963" w:rsidP="003D6B4B">
      <w:pPr>
        <w:pStyle w:val="TOC3"/>
        <w:rPr>
          <w:rFonts w:asciiTheme="minorHAnsi" w:eastAsiaTheme="minorEastAsia" w:hAnsiTheme="minorHAnsi" w:cstheme="minorBidi"/>
          <w:sz w:val="22"/>
          <w:szCs w:val="22"/>
          <w:lang w:val="es-ES" w:eastAsia="es-ES"/>
        </w:rPr>
      </w:pPr>
      <w:hyperlink w:anchor="_Toc385241593" w:history="1">
        <w:r w:rsidR="003D6B4B" w:rsidRPr="00905489">
          <w:rPr>
            <w:rStyle w:val="Hyperlink"/>
            <w:lang w:val="es-ES"/>
          </w:rPr>
          <w:t>6.</w:t>
        </w:r>
        <w:r w:rsidR="00344128">
          <w:rPr>
            <w:rStyle w:val="Hyperlink"/>
            <w:lang w:val="es-ES"/>
          </w:rPr>
          <w:t>2</w:t>
        </w:r>
        <w:r w:rsidR="003D6B4B" w:rsidRPr="00905489">
          <w:rPr>
            <w:rStyle w:val="Hyperlink"/>
            <w:lang w:val="es-ES"/>
          </w:rPr>
          <w:t>.3.</w:t>
        </w:r>
        <w:r w:rsidR="003D6B4B">
          <w:rPr>
            <w:rFonts w:asciiTheme="minorHAnsi" w:eastAsiaTheme="minorEastAsia" w:hAnsiTheme="minorHAnsi" w:cstheme="minorBidi"/>
            <w:sz w:val="22"/>
            <w:szCs w:val="22"/>
            <w:lang w:val="es-ES" w:eastAsia="es-ES"/>
          </w:rPr>
          <w:tab/>
        </w:r>
        <w:r w:rsidR="003D6B4B" w:rsidRPr="00905489">
          <w:rPr>
            <w:rStyle w:val="Hyperlink"/>
            <w:lang w:val="es-ES"/>
          </w:rPr>
          <w:t>Amenazas</w:t>
        </w:r>
        <w:r w:rsidR="003D6B4B">
          <w:rPr>
            <w:webHidden/>
          </w:rPr>
          <w:tab/>
        </w:r>
        <w:r w:rsidR="00344128">
          <w:rPr>
            <w:webHidden/>
          </w:rPr>
          <w:t>101</w:t>
        </w:r>
      </w:hyperlink>
    </w:p>
    <w:p w14:paraId="730EFE05" w14:textId="034E9122" w:rsidR="003D6B4B" w:rsidRDefault="001D6963" w:rsidP="003D6B4B">
      <w:pPr>
        <w:pStyle w:val="TOC3"/>
        <w:rPr>
          <w:rFonts w:asciiTheme="minorHAnsi" w:eastAsiaTheme="minorEastAsia" w:hAnsiTheme="minorHAnsi" w:cstheme="minorBidi"/>
          <w:sz w:val="22"/>
          <w:szCs w:val="22"/>
          <w:lang w:val="es-ES" w:eastAsia="es-ES"/>
        </w:rPr>
      </w:pPr>
      <w:hyperlink w:anchor="_Toc385241594" w:history="1">
        <w:r w:rsidR="003D6B4B" w:rsidRPr="00905489">
          <w:rPr>
            <w:rStyle w:val="Hyperlink"/>
            <w:lang w:val="es-ES"/>
          </w:rPr>
          <w:t>6.</w:t>
        </w:r>
        <w:r w:rsidR="00344128">
          <w:rPr>
            <w:rStyle w:val="Hyperlink"/>
            <w:lang w:val="es-ES"/>
          </w:rPr>
          <w:t>2</w:t>
        </w:r>
        <w:r w:rsidR="003D6B4B" w:rsidRPr="00905489">
          <w:rPr>
            <w:rStyle w:val="Hyperlink"/>
            <w:lang w:val="es-ES"/>
          </w:rPr>
          <w:t>.4.</w:t>
        </w:r>
        <w:r w:rsidR="003D6B4B">
          <w:rPr>
            <w:rFonts w:asciiTheme="minorHAnsi" w:eastAsiaTheme="minorEastAsia" w:hAnsiTheme="minorHAnsi" w:cstheme="minorBidi"/>
            <w:sz w:val="22"/>
            <w:szCs w:val="22"/>
            <w:lang w:val="es-ES" w:eastAsia="es-ES"/>
          </w:rPr>
          <w:tab/>
        </w:r>
        <w:r w:rsidR="003D6B4B" w:rsidRPr="00905489">
          <w:rPr>
            <w:rStyle w:val="Hyperlink"/>
            <w:lang w:val="es-ES"/>
          </w:rPr>
          <w:t>Oportunidades</w:t>
        </w:r>
        <w:r w:rsidR="003D6B4B">
          <w:rPr>
            <w:webHidden/>
          </w:rPr>
          <w:tab/>
        </w:r>
        <w:r w:rsidR="00853115">
          <w:rPr>
            <w:webHidden/>
          </w:rPr>
          <w:t>101</w:t>
        </w:r>
      </w:hyperlink>
    </w:p>
    <w:p w14:paraId="2133EA4C" w14:textId="0FBA2696"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95" w:history="1">
        <w:r w:rsidR="003D6B4B" w:rsidRPr="00905489">
          <w:rPr>
            <w:rStyle w:val="Hyperlink"/>
            <w:lang w:val="es-ES"/>
          </w:rPr>
          <w:t>6.</w:t>
        </w:r>
        <w:r w:rsidR="00344128">
          <w:rPr>
            <w:rStyle w:val="Hyperlink"/>
            <w:lang w:val="es-ES"/>
          </w:rPr>
          <w:t>3</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Necesidade</w:t>
        </w:r>
        <w:r w:rsidR="00D136BB">
          <w:rPr>
            <w:rStyle w:val="Hyperlink"/>
            <w:lang w:val="es-ES"/>
          </w:rPr>
          <w:t xml:space="preserve"> </w:t>
        </w:r>
        <w:r w:rsidR="00132971">
          <w:rPr>
            <w:rStyle w:val="Hyperlink"/>
            <w:lang w:val="es-ES"/>
          </w:rPr>
          <w:t>O</w:t>
        </w:r>
        <w:r w:rsidR="00D136BB">
          <w:rPr>
            <w:rStyle w:val="Hyperlink"/>
            <w:lang w:val="es-ES"/>
          </w:rPr>
          <w:t xml:space="preserve"> </w:t>
        </w:r>
        <w:r w:rsidR="003D6B4B" w:rsidRPr="00905489">
          <w:rPr>
            <w:rStyle w:val="Hyperlink"/>
            <w:lang w:val="es-ES"/>
          </w:rPr>
          <w:t>/problemas</w:t>
        </w:r>
        <w:r w:rsidR="003D6B4B">
          <w:rPr>
            <w:webHidden/>
          </w:rPr>
          <w:tab/>
        </w:r>
        <w:r w:rsidR="00853115">
          <w:rPr>
            <w:webHidden/>
          </w:rPr>
          <w:t>102</w:t>
        </w:r>
      </w:hyperlink>
    </w:p>
    <w:p w14:paraId="5FB02F6A" w14:textId="5444EF84"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96" w:history="1">
        <w:r w:rsidR="003D6B4B" w:rsidRPr="00905489">
          <w:rPr>
            <w:rStyle w:val="Hyperlink"/>
            <w:lang w:val="es-ES"/>
          </w:rPr>
          <w:t>6.</w:t>
        </w:r>
        <w:r w:rsidR="00344128">
          <w:rPr>
            <w:rStyle w:val="Hyperlink"/>
            <w:lang w:val="es-ES"/>
          </w:rPr>
          <w:t>4</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Priorización</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las</w:t>
        </w:r>
        <w:r w:rsidR="00D136BB">
          <w:rPr>
            <w:rStyle w:val="Hyperlink"/>
            <w:lang w:val="es-ES"/>
          </w:rPr>
          <w:t xml:space="preserve"> </w:t>
        </w:r>
        <w:r w:rsidR="003D6B4B" w:rsidRPr="00905489">
          <w:rPr>
            <w:rStyle w:val="Hyperlink"/>
            <w:lang w:val="es-ES"/>
          </w:rPr>
          <w:t>necesidades/problemas</w:t>
        </w:r>
        <w:r w:rsidR="003D6B4B">
          <w:rPr>
            <w:webHidden/>
          </w:rPr>
          <w:tab/>
        </w:r>
        <w:r w:rsidR="00853115">
          <w:rPr>
            <w:webHidden/>
          </w:rPr>
          <w:t>109</w:t>
        </w:r>
      </w:hyperlink>
    </w:p>
    <w:p w14:paraId="0517CC21" w14:textId="4EA28F79" w:rsidR="003D6B4B" w:rsidRDefault="001D6963" w:rsidP="003D6B4B">
      <w:pPr>
        <w:pStyle w:val="TOC1"/>
        <w:rPr>
          <w:rFonts w:asciiTheme="minorHAnsi" w:eastAsiaTheme="minorEastAsia" w:hAnsiTheme="minorHAnsi" w:cstheme="minorBidi"/>
          <w:bCs w:val="0"/>
          <w:iCs w:val="0"/>
          <w:caps w:val="0"/>
          <w:sz w:val="22"/>
          <w:szCs w:val="22"/>
          <w:lang w:val="es-ES" w:eastAsia="es-ES"/>
        </w:rPr>
      </w:pPr>
      <w:hyperlink w:anchor="_Toc385241597" w:history="1">
        <w:r w:rsidR="003D6B4B" w:rsidRPr="00905489">
          <w:rPr>
            <w:rStyle w:val="Hyperlink"/>
            <w:lang w:val="es-ES"/>
          </w:rPr>
          <w:t>7.</w:t>
        </w:r>
        <w:r w:rsidR="003D6B4B">
          <w:rPr>
            <w:rFonts w:asciiTheme="minorHAnsi" w:eastAsiaTheme="minorEastAsia" w:hAnsiTheme="minorHAnsi" w:cstheme="minorBidi"/>
            <w:bCs w:val="0"/>
            <w:iCs w:val="0"/>
            <w:caps w:val="0"/>
            <w:sz w:val="22"/>
            <w:szCs w:val="22"/>
            <w:lang w:val="es-ES" w:eastAsia="es-ES"/>
          </w:rPr>
          <w:tab/>
        </w:r>
        <w:r w:rsidR="003D6B4B" w:rsidRPr="00905489">
          <w:rPr>
            <w:rStyle w:val="Hyperlink"/>
            <w:lang w:val="es-ES"/>
          </w:rPr>
          <w:t>TECNOLOGÍAS</w:t>
        </w:r>
        <w:r w:rsidR="00D136BB">
          <w:rPr>
            <w:rStyle w:val="Hyperlink"/>
            <w:lang w:val="es-ES"/>
          </w:rPr>
          <w:t xml:space="preserve"> </w:t>
        </w:r>
        <w:r w:rsidR="003D6B4B" w:rsidRPr="00905489">
          <w:rPr>
            <w:rStyle w:val="Hyperlink"/>
            <w:lang w:val="es-ES"/>
          </w:rPr>
          <w:t>CON</w:t>
        </w:r>
        <w:r w:rsidR="00D136BB">
          <w:rPr>
            <w:rStyle w:val="Hyperlink"/>
            <w:lang w:val="es-ES"/>
          </w:rPr>
          <w:t xml:space="preserve"> </w:t>
        </w:r>
        <w:r w:rsidR="003D6B4B" w:rsidRPr="00905489">
          <w:rPr>
            <w:rStyle w:val="Hyperlink"/>
            <w:lang w:val="es-ES"/>
          </w:rPr>
          <w:t>RADIACIÓN</w:t>
        </w:r>
        <w:r w:rsidR="003D6B4B">
          <w:rPr>
            <w:webHidden/>
          </w:rPr>
          <w:tab/>
        </w:r>
        <w:r w:rsidR="00344128">
          <w:rPr>
            <w:webHidden/>
          </w:rPr>
          <w:t>115</w:t>
        </w:r>
      </w:hyperlink>
    </w:p>
    <w:p w14:paraId="542E4574" w14:textId="1ACD85AA"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599" w:history="1">
        <w:r w:rsidR="003D6B4B" w:rsidRPr="00905489">
          <w:rPr>
            <w:rStyle w:val="Hyperlink"/>
            <w:lang w:val="es-ES"/>
          </w:rPr>
          <w:t>7.</w:t>
        </w:r>
        <w:r w:rsidR="00344128">
          <w:rPr>
            <w:rStyle w:val="Hyperlink"/>
            <w:lang w:val="es-ES"/>
          </w:rPr>
          <w:t>1</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Análisis</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w:t>
        </w:r>
        <w:r w:rsidR="00D136BB">
          <w:rPr>
            <w:rStyle w:val="Hyperlink"/>
            <w:lang w:val="es-ES"/>
          </w:rPr>
          <w:t xml:space="preserve"> </w:t>
        </w:r>
        <w:r w:rsidR="003D6B4B" w:rsidRPr="00905489">
          <w:rPr>
            <w:rStyle w:val="Hyperlink"/>
            <w:lang w:val="es-ES"/>
          </w:rPr>
          <w:t>situación</w:t>
        </w:r>
        <w:r w:rsidR="00D136BB">
          <w:rPr>
            <w:rStyle w:val="Hyperlink"/>
            <w:lang w:val="es-ES"/>
          </w:rPr>
          <w:t xml:space="preserve"> </w:t>
        </w:r>
        <w:r w:rsidR="003D6B4B" w:rsidRPr="00905489">
          <w:rPr>
            <w:rStyle w:val="Hyperlink"/>
            <w:lang w:val="es-ES"/>
          </w:rPr>
          <w:t>regional</w:t>
        </w:r>
        <w:r w:rsidR="003D6B4B">
          <w:rPr>
            <w:webHidden/>
          </w:rPr>
          <w:tab/>
        </w:r>
        <w:r w:rsidR="00344128">
          <w:rPr>
            <w:webHidden/>
          </w:rPr>
          <w:t>116</w:t>
        </w:r>
      </w:hyperlink>
    </w:p>
    <w:p w14:paraId="0E2B57C6" w14:textId="3A890BF9"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600" w:history="1">
        <w:r w:rsidR="003D6B4B" w:rsidRPr="00905489">
          <w:rPr>
            <w:rStyle w:val="Hyperlink"/>
            <w:lang w:val="es-ES"/>
          </w:rPr>
          <w:t>7.</w:t>
        </w:r>
        <w:r w:rsidR="00344128">
          <w:rPr>
            <w:rStyle w:val="Hyperlink"/>
            <w:lang w:val="es-ES"/>
          </w:rPr>
          <w:t>2</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Matriz</w:t>
        </w:r>
        <w:r w:rsidR="00D136BB">
          <w:rPr>
            <w:rStyle w:val="Hyperlink"/>
            <w:lang w:val="es-ES"/>
          </w:rPr>
          <w:t xml:space="preserve"> </w:t>
        </w:r>
        <w:r w:rsidR="003D6B4B" w:rsidRPr="00905489">
          <w:rPr>
            <w:rStyle w:val="Hyperlink"/>
            <w:lang w:val="es-ES"/>
          </w:rPr>
          <w:t>DAFO</w:t>
        </w:r>
        <w:r w:rsidR="003D6B4B">
          <w:rPr>
            <w:webHidden/>
          </w:rPr>
          <w:tab/>
        </w:r>
        <w:r w:rsidR="00853115">
          <w:rPr>
            <w:webHidden/>
          </w:rPr>
          <w:t>126</w:t>
        </w:r>
      </w:hyperlink>
    </w:p>
    <w:p w14:paraId="2FD2F83C" w14:textId="3D8C0A6B" w:rsidR="003D6B4B" w:rsidRDefault="001D6963" w:rsidP="003D6B4B">
      <w:pPr>
        <w:pStyle w:val="TOC3"/>
        <w:rPr>
          <w:rFonts w:asciiTheme="minorHAnsi" w:eastAsiaTheme="minorEastAsia" w:hAnsiTheme="minorHAnsi" w:cstheme="minorBidi"/>
          <w:sz w:val="22"/>
          <w:szCs w:val="22"/>
          <w:lang w:val="es-ES" w:eastAsia="es-ES"/>
        </w:rPr>
      </w:pPr>
      <w:hyperlink w:anchor="_Toc385241601" w:history="1">
        <w:r w:rsidR="003D6B4B" w:rsidRPr="00905489">
          <w:rPr>
            <w:rStyle w:val="Hyperlink"/>
            <w:lang w:val="es-ES"/>
          </w:rPr>
          <w:t>7.</w:t>
        </w:r>
        <w:r w:rsidR="00344128">
          <w:rPr>
            <w:rStyle w:val="Hyperlink"/>
            <w:lang w:val="es-ES"/>
          </w:rPr>
          <w:t>2</w:t>
        </w:r>
        <w:r w:rsidR="003D6B4B" w:rsidRPr="00905489">
          <w:rPr>
            <w:rStyle w:val="Hyperlink"/>
            <w:lang w:val="es-ES"/>
          </w:rPr>
          <w:t>.1.</w:t>
        </w:r>
        <w:r w:rsidR="003D6B4B">
          <w:rPr>
            <w:rFonts w:asciiTheme="minorHAnsi" w:eastAsiaTheme="minorEastAsia" w:hAnsiTheme="minorHAnsi" w:cstheme="minorBidi"/>
            <w:sz w:val="22"/>
            <w:szCs w:val="22"/>
            <w:lang w:val="es-ES" w:eastAsia="es-ES"/>
          </w:rPr>
          <w:tab/>
        </w:r>
        <w:r w:rsidR="003D6B4B" w:rsidRPr="00905489">
          <w:rPr>
            <w:rStyle w:val="Hyperlink"/>
            <w:lang w:val="es-ES"/>
          </w:rPr>
          <w:t>Fortalezas</w:t>
        </w:r>
        <w:r w:rsidR="003D6B4B">
          <w:rPr>
            <w:webHidden/>
          </w:rPr>
          <w:tab/>
        </w:r>
        <w:r w:rsidR="00853115">
          <w:rPr>
            <w:webHidden/>
          </w:rPr>
          <w:t>126</w:t>
        </w:r>
      </w:hyperlink>
    </w:p>
    <w:p w14:paraId="4B89DD34" w14:textId="328D7344" w:rsidR="003D6B4B" w:rsidRDefault="001D6963" w:rsidP="003D6B4B">
      <w:pPr>
        <w:pStyle w:val="TOC3"/>
        <w:rPr>
          <w:rFonts w:asciiTheme="minorHAnsi" w:eastAsiaTheme="minorEastAsia" w:hAnsiTheme="minorHAnsi" w:cstheme="minorBidi"/>
          <w:sz w:val="22"/>
          <w:szCs w:val="22"/>
          <w:lang w:val="es-ES" w:eastAsia="es-ES"/>
        </w:rPr>
      </w:pPr>
      <w:hyperlink w:anchor="_Toc385241602" w:history="1">
        <w:r w:rsidR="003D6B4B" w:rsidRPr="00905489">
          <w:rPr>
            <w:rStyle w:val="Hyperlink"/>
          </w:rPr>
          <w:t>7.</w:t>
        </w:r>
        <w:r w:rsidR="00344128">
          <w:rPr>
            <w:rStyle w:val="Hyperlink"/>
          </w:rPr>
          <w:t>2</w:t>
        </w:r>
        <w:r w:rsidR="003D6B4B" w:rsidRPr="00905489">
          <w:rPr>
            <w:rStyle w:val="Hyperlink"/>
          </w:rPr>
          <w:t>.2.</w:t>
        </w:r>
        <w:r w:rsidR="003D6B4B">
          <w:rPr>
            <w:rFonts w:asciiTheme="minorHAnsi" w:eastAsiaTheme="minorEastAsia" w:hAnsiTheme="minorHAnsi" w:cstheme="minorBidi"/>
            <w:sz w:val="22"/>
            <w:szCs w:val="22"/>
            <w:lang w:val="es-ES" w:eastAsia="es-ES"/>
          </w:rPr>
          <w:tab/>
        </w:r>
        <w:r w:rsidR="003D6B4B" w:rsidRPr="00905489">
          <w:rPr>
            <w:rStyle w:val="Hyperlink"/>
          </w:rPr>
          <w:t>Debilidades</w:t>
        </w:r>
        <w:r w:rsidR="003D6B4B">
          <w:rPr>
            <w:webHidden/>
          </w:rPr>
          <w:tab/>
        </w:r>
        <w:r w:rsidR="00344128">
          <w:rPr>
            <w:webHidden/>
          </w:rPr>
          <w:t>128</w:t>
        </w:r>
      </w:hyperlink>
    </w:p>
    <w:p w14:paraId="02F7F1B4" w14:textId="23F7AE02" w:rsidR="003D6B4B" w:rsidRDefault="001D6963" w:rsidP="003D6B4B">
      <w:pPr>
        <w:pStyle w:val="TOC3"/>
        <w:rPr>
          <w:rFonts w:asciiTheme="minorHAnsi" w:eastAsiaTheme="minorEastAsia" w:hAnsiTheme="minorHAnsi" w:cstheme="minorBidi"/>
          <w:sz w:val="22"/>
          <w:szCs w:val="22"/>
          <w:lang w:val="es-ES" w:eastAsia="es-ES"/>
        </w:rPr>
      </w:pPr>
      <w:hyperlink w:anchor="_Toc385241603" w:history="1">
        <w:r w:rsidR="003D6B4B" w:rsidRPr="00905489">
          <w:rPr>
            <w:rStyle w:val="Hyperlink"/>
            <w:lang w:val="es-ES"/>
          </w:rPr>
          <w:t>7.</w:t>
        </w:r>
        <w:r w:rsidR="00344128">
          <w:rPr>
            <w:rStyle w:val="Hyperlink"/>
            <w:lang w:val="es-ES"/>
          </w:rPr>
          <w:t>2</w:t>
        </w:r>
        <w:r w:rsidR="003D6B4B" w:rsidRPr="00905489">
          <w:rPr>
            <w:rStyle w:val="Hyperlink"/>
            <w:lang w:val="es-ES"/>
          </w:rPr>
          <w:t>.3.</w:t>
        </w:r>
        <w:r w:rsidR="003D6B4B">
          <w:rPr>
            <w:rFonts w:asciiTheme="minorHAnsi" w:eastAsiaTheme="minorEastAsia" w:hAnsiTheme="minorHAnsi" w:cstheme="minorBidi"/>
            <w:sz w:val="22"/>
            <w:szCs w:val="22"/>
            <w:lang w:val="es-ES" w:eastAsia="es-ES"/>
          </w:rPr>
          <w:tab/>
        </w:r>
        <w:r w:rsidR="00853115">
          <w:rPr>
            <w:rStyle w:val="Hyperlink"/>
          </w:rPr>
          <w:t>Amenazas</w:t>
        </w:r>
        <w:r w:rsidR="003D6B4B">
          <w:rPr>
            <w:webHidden/>
          </w:rPr>
          <w:tab/>
        </w:r>
        <w:r w:rsidR="00853115">
          <w:rPr>
            <w:webHidden/>
          </w:rPr>
          <w:t>130</w:t>
        </w:r>
      </w:hyperlink>
    </w:p>
    <w:p w14:paraId="7D0049BF" w14:textId="71445304" w:rsidR="003D6B4B" w:rsidRDefault="001D6963" w:rsidP="003D6B4B">
      <w:pPr>
        <w:pStyle w:val="TOC3"/>
        <w:rPr>
          <w:rFonts w:asciiTheme="minorHAnsi" w:eastAsiaTheme="minorEastAsia" w:hAnsiTheme="minorHAnsi" w:cstheme="minorBidi"/>
          <w:sz w:val="22"/>
          <w:szCs w:val="22"/>
          <w:lang w:val="es-ES" w:eastAsia="es-ES"/>
        </w:rPr>
      </w:pPr>
      <w:hyperlink w:anchor="_Toc385241604" w:history="1">
        <w:r w:rsidR="003D6B4B" w:rsidRPr="00905489">
          <w:rPr>
            <w:rStyle w:val="Hyperlink"/>
          </w:rPr>
          <w:t>7.</w:t>
        </w:r>
        <w:r w:rsidR="00344128">
          <w:rPr>
            <w:rStyle w:val="Hyperlink"/>
          </w:rPr>
          <w:t>2</w:t>
        </w:r>
        <w:r w:rsidR="003D6B4B" w:rsidRPr="00905489">
          <w:rPr>
            <w:rStyle w:val="Hyperlink"/>
          </w:rPr>
          <w:t>.4.</w:t>
        </w:r>
        <w:r w:rsidR="003D6B4B">
          <w:rPr>
            <w:rFonts w:asciiTheme="minorHAnsi" w:eastAsiaTheme="minorEastAsia" w:hAnsiTheme="minorHAnsi" w:cstheme="minorBidi"/>
            <w:sz w:val="22"/>
            <w:szCs w:val="22"/>
            <w:lang w:val="es-ES" w:eastAsia="es-ES"/>
          </w:rPr>
          <w:tab/>
        </w:r>
        <w:r w:rsidR="00853115">
          <w:rPr>
            <w:rStyle w:val="Hyperlink"/>
          </w:rPr>
          <w:t>Oportunidades</w:t>
        </w:r>
        <w:r w:rsidR="003D6B4B">
          <w:rPr>
            <w:webHidden/>
          </w:rPr>
          <w:tab/>
        </w:r>
        <w:r w:rsidR="003D5081">
          <w:rPr>
            <w:webHidden/>
          </w:rPr>
          <w:t>130</w:t>
        </w:r>
      </w:hyperlink>
    </w:p>
    <w:p w14:paraId="0F1A2FE9" w14:textId="16536F6A" w:rsidR="003D6B4B" w:rsidRDefault="001D6963" w:rsidP="003D6B4B">
      <w:pPr>
        <w:pStyle w:val="TOC2"/>
        <w:rPr>
          <w:rFonts w:asciiTheme="minorHAnsi" w:eastAsiaTheme="minorEastAsia" w:hAnsiTheme="minorHAnsi" w:cstheme="minorBidi"/>
          <w:bCs w:val="0"/>
          <w:caps w:val="0"/>
          <w:sz w:val="22"/>
          <w:szCs w:val="22"/>
          <w:lang w:val="es-ES" w:eastAsia="es-ES"/>
        </w:rPr>
      </w:pPr>
      <w:hyperlink w:anchor="_Toc385241605" w:history="1">
        <w:r w:rsidR="003D6B4B" w:rsidRPr="00905489">
          <w:rPr>
            <w:rStyle w:val="Hyperlink"/>
            <w:lang w:val="es-ES"/>
          </w:rPr>
          <w:t>7.</w:t>
        </w:r>
        <w:r w:rsidR="00344128">
          <w:rPr>
            <w:rStyle w:val="Hyperlink"/>
            <w:lang w:val="es-ES"/>
          </w:rPr>
          <w:t>3</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Necesidades</w:t>
        </w:r>
        <w:r w:rsidR="00D136BB">
          <w:rPr>
            <w:rStyle w:val="Hyperlink"/>
            <w:lang w:val="es-ES"/>
          </w:rPr>
          <w:t xml:space="preserve"> </w:t>
        </w:r>
        <w:r w:rsidR="00132971">
          <w:rPr>
            <w:rStyle w:val="Hyperlink"/>
            <w:lang w:val="es-ES"/>
          </w:rPr>
          <w:t>O</w:t>
        </w:r>
        <w:r w:rsidR="00D136BB">
          <w:rPr>
            <w:rStyle w:val="Hyperlink"/>
            <w:lang w:val="es-ES"/>
          </w:rPr>
          <w:t xml:space="preserve"> </w:t>
        </w:r>
        <w:r w:rsidR="003D6B4B" w:rsidRPr="00905489">
          <w:rPr>
            <w:rStyle w:val="Hyperlink"/>
            <w:lang w:val="es-ES"/>
          </w:rPr>
          <w:t>Problemas</w:t>
        </w:r>
        <w:r w:rsidR="003D6B4B">
          <w:rPr>
            <w:webHidden/>
          </w:rPr>
          <w:tab/>
        </w:r>
        <w:r w:rsidR="003D5081">
          <w:rPr>
            <w:webHidden/>
          </w:rPr>
          <w:t>133</w:t>
        </w:r>
      </w:hyperlink>
    </w:p>
    <w:p w14:paraId="7AACAA13" w14:textId="0A0B93BC" w:rsidR="003D6B4B" w:rsidRDefault="001D6963" w:rsidP="00436D72">
      <w:pPr>
        <w:pStyle w:val="TOC2"/>
      </w:pPr>
      <w:hyperlink w:anchor="_Toc385241606" w:history="1">
        <w:r w:rsidR="003D6B4B" w:rsidRPr="00905489">
          <w:rPr>
            <w:rStyle w:val="Hyperlink"/>
            <w:lang w:val="es-ES"/>
          </w:rPr>
          <w:t>7.</w:t>
        </w:r>
        <w:r w:rsidR="00344128">
          <w:rPr>
            <w:rStyle w:val="Hyperlink"/>
            <w:lang w:val="es-ES"/>
          </w:rPr>
          <w:t>4</w:t>
        </w:r>
        <w:r w:rsidR="003D6B4B" w:rsidRPr="00905489">
          <w:rPr>
            <w:rStyle w:val="Hyperlink"/>
            <w:lang w:val="es-ES"/>
          </w:rPr>
          <w:t>.</w:t>
        </w:r>
        <w:r w:rsidR="003D6B4B">
          <w:rPr>
            <w:rFonts w:asciiTheme="minorHAnsi" w:eastAsiaTheme="minorEastAsia" w:hAnsiTheme="minorHAnsi" w:cstheme="minorBidi"/>
            <w:bCs w:val="0"/>
            <w:caps w:val="0"/>
            <w:sz w:val="22"/>
            <w:szCs w:val="22"/>
            <w:lang w:val="es-ES" w:eastAsia="es-ES"/>
          </w:rPr>
          <w:tab/>
        </w:r>
        <w:r w:rsidR="003D6B4B" w:rsidRPr="00905489">
          <w:rPr>
            <w:rStyle w:val="Hyperlink"/>
            <w:lang w:val="es-ES"/>
          </w:rPr>
          <w:t>Priorización</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las</w:t>
        </w:r>
        <w:r w:rsidR="00D136BB">
          <w:rPr>
            <w:rStyle w:val="Hyperlink"/>
            <w:lang w:val="es-ES"/>
          </w:rPr>
          <w:t xml:space="preserve"> </w:t>
        </w:r>
        <w:r w:rsidR="003D6B4B" w:rsidRPr="00905489">
          <w:rPr>
            <w:rStyle w:val="Hyperlink"/>
            <w:lang w:val="es-ES"/>
          </w:rPr>
          <w:t>Necesidades/Problemas</w:t>
        </w:r>
        <w:r w:rsidR="003D6B4B">
          <w:rPr>
            <w:webHidden/>
          </w:rPr>
          <w:tab/>
        </w:r>
        <w:r w:rsidR="003D6B4B">
          <w:rPr>
            <w:webHidden/>
          </w:rPr>
          <w:fldChar w:fldCharType="begin"/>
        </w:r>
        <w:r w:rsidR="003D6B4B">
          <w:rPr>
            <w:webHidden/>
          </w:rPr>
          <w:instrText xml:space="preserve"> PAGEREF _Toc385241606 \h </w:instrText>
        </w:r>
        <w:r w:rsidR="003D6B4B">
          <w:rPr>
            <w:webHidden/>
          </w:rPr>
        </w:r>
        <w:r w:rsidR="003D6B4B">
          <w:rPr>
            <w:webHidden/>
          </w:rPr>
          <w:fldChar w:fldCharType="separate"/>
        </w:r>
        <w:r w:rsidR="003D6B4B">
          <w:rPr>
            <w:webHidden/>
          </w:rPr>
          <w:t>1</w:t>
        </w:r>
        <w:r w:rsidR="00344128">
          <w:rPr>
            <w:webHidden/>
          </w:rPr>
          <w:t>37</w:t>
        </w:r>
        <w:r w:rsidR="003D6B4B">
          <w:rPr>
            <w:webHidden/>
          </w:rPr>
          <w:fldChar w:fldCharType="end"/>
        </w:r>
      </w:hyperlink>
    </w:p>
    <w:p w14:paraId="792F3B4E" w14:textId="77777777" w:rsidR="00343454" w:rsidRPr="00343454" w:rsidRDefault="00343454" w:rsidP="00343454">
      <w:pPr>
        <w:pStyle w:val="BodyText"/>
        <w:rPr>
          <w:lang w:val="en-GB"/>
        </w:rPr>
      </w:pPr>
    </w:p>
    <w:p w14:paraId="25D5B057" w14:textId="5E817171" w:rsidR="00343454" w:rsidRPr="002B2EE7" w:rsidRDefault="00343454" w:rsidP="00343454">
      <w:pPr>
        <w:pStyle w:val="BodyText"/>
        <w:rPr>
          <w:rFonts w:eastAsiaTheme="minorEastAsia"/>
          <w:lang w:val="es-ES_tradnl"/>
        </w:rPr>
      </w:pPr>
      <w:r w:rsidRPr="002B2EE7">
        <w:rPr>
          <w:rFonts w:eastAsiaTheme="minorEastAsia"/>
          <w:lang w:val="es-ES_tradnl"/>
        </w:rPr>
        <w:t>8.       COMENTARIOS FINALES………………………………………….……</w:t>
      </w:r>
      <w:r w:rsidR="002B2EE7">
        <w:rPr>
          <w:rFonts w:eastAsiaTheme="minorEastAsia"/>
          <w:lang w:val="es-ES_tradnl"/>
        </w:rPr>
        <w:t>…</w:t>
      </w:r>
      <w:r w:rsidR="003D5081">
        <w:rPr>
          <w:rFonts w:eastAsiaTheme="minorEastAsia"/>
          <w:lang w:val="es-ES_tradnl"/>
        </w:rPr>
        <w:t>141</w:t>
      </w:r>
    </w:p>
    <w:p w14:paraId="62B16349" w14:textId="53314FF8" w:rsidR="00343454" w:rsidRPr="00343454" w:rsidRDefault="00343454" w:rsidP="00343454">
      <w:pPr>
        <w:pStyle w:val="BodyText"/>
        <w:rPr>
          <w:rFonts w:eastAsiaTheme="minorEastAsia"/>
          <w:color w:val="C00000"/>
          <w:lang w:val="es-ES_tradnl"/>
        </w:rPr>
      </w:pPr>
      <w:r w:rsidRPr="00343454">
        <w:rPr>
          <w:rFonts w:eastAsiaTheme="minorEastAsia"/>
          <w:color w:val="C00000"/>
          <w:lang w:val="es-ES_tradnl"/>
        </w:rPr>
        <w:t xml:space="preserve"> </w:t>
      </w:r>
    </w:p>
    <w:p w14:paraId="4D059017" w14:textId="2D63C6C5" w:rsidR="003D6B4B" w:rsidRDefault="001D6963" w:rsidP="003D6B4B">
      <w:pPr>
        <w:pStyle w:val="TOC1"/>
        <w:rPr>
          <w:rFonts w:asciiTheme="minorHAnsi" w:eastAsiaTheme="minorEastAsia" w:hAnsiTheme="minorHAnsi" w:cstheme="minorBidi"/>
          <w:bCs w:val="0"/>
          <w:iCs w:val="0"/>
          <w:caps w:val="0"/>
          <w:sz w:val="22"/>
          <w:szCs w:val="22"/>
          <w:lang w:val="es-ES" w:eastAsia="es-ES"/>
        </w:rPr>
      </w:pPr>
      <w:hyperlink w:anchor="_Toc385241608" w:history="1">
        <w:r w:rsidR="003D6B4B" w:rsidRPr="00905489">
          <w:rPr>
            <w:rStyle w:val="Hyperlink"/>
            <w:lang w:val="es-ES"/>
          </w:rPr>
          <w:t>BIBLIOGRAFÍA</w:t>
        </w:r>
        <w:r w:rsidR="003D6B4B">
          <w:rPr>
            <w:webHidden/>
          </w:rPr>
          <w:tab/>
        </w:r>
        <w:r w:rsidR="003D5081">
          <w:rPr>
            <w:webHidden/>
          </w:rPr>
          <w:t>142</w:t>
        </w:r>
      </w:hyperlink>
    </w:p>
    <w:bookmarkStart w:id="3" w:name="_Hlk31804813"/>
    <w:p w14:paraId="69759F7D" w14:textId="11CF418A" w:rsidR="003D6B4B" w:rsidRDefault="00E763DB" w:rsidP="003D6B4B">
      <w:pPr>
        <w:pStyle w:val="TOC1"/>
        <w:rPr>
          <w:rFonts w:asciiTheme="minorHAnsi" w:eastAsiaTheme="minorEastAsia" w:hAnsiTheme="minorHAnsi" w:cstheme="minorBidi"/>
          <w:bCs w:val="0"/>
          <w:iCs w:val="0"/>
          <w:caps w:val="0"/>
          <w:sz w:val="22"/>
          <w:szCs w:val="22"/>
          <w:lang w:val="es-ES" w:eastAsia="es-ES"/>
        </w:rPr>
      </w:pPr>
      <w:r>
        <w:fldChar w:fldCharType="begin"/>
      </w:r>
      <w:r>
        <w:instrText xml:space="preserve"> HYPERLINK \l "_Toc385241609" </w:instrText>
      </w:r>
      <w:r>
        <w:fldChar w:fldCharType="separate"/>
      </w:r>
      <w:r w:rsidR="003D6B4B" w:rsidRPr="00905489">
        <w:rPr>
          <w:rStyle w:val="Hyperlink"/>
          <w:lang w:val="es-ES"/>
        </w:rPr>
        <w:t>Anexo</w:t>
      </w:r>
      <w:r w:rsidR="00D136BB">
        <w:rPr>
          <w:rStyle w:val="Hyperlink"/>
          <w:lang w:val="es-ES"/>
        </w:rPr>
        <w:t xml:space="preserve"> </w:t>
      </w:r>
      <w:r w:rsidR="003D6B4B" w:rsidRPr="00905489">
        <w:rPr>
          <w:rStyle w:val="Hyperlink"/>
          <w:lang w:val="es-ES"/>
        </w:rPr>
        <w:t>1.</w:t>
      </w:r>
      <w:r w:rsidR="00D136BB">
        <w:rPr>
          <w:rStyle w:val="Hyperlink"/>
          <w:lang w:val="es-ES"/>
        </w:rPr>
        <w:t xml:space="preserve"> </w:t>
      </w:r>
      <w:r w:rsidR="003D6B4B" w:rsidRPr="00905489">
        <w:rPr>
          <w:rStyle w:val="Hyperlink"/>
          <w:lang w:val="es-ES"/>
        </w:rPr>
        <w:t>PER</w:t>
      </w:r>
      <w:r w:rsidR="00D136BB">
        <w:rPr>
          <w:rStyle w:val="Hyperlink"/>
          <w:lang w:val="es-ES"/>
        </w:rPr>
        <w:t xml:space="preserve"> </w:t>
      </w:r>
      <w:r w:rsidR="003D6B4B" w:rsidRPr="00905489">
        <w:rPr>
          <w:rStyle w:val="Hyperlink"/>
          <w:lang w:val="es-ES"/>
        </w:rPr>
        <w:t>2016/2012.</w:t>
      </w:r>
      <w:r w:rsidR="00D136BB">
        <w:rPr>
          <w:rStyle w:val="Hyperlink"/>
          <w:lang w:val="es-ES"/>
        </w:rPr>
        <w:t xml:space="preserve"> </w:t>
      </w:r>
      <w:r w:rsidR="003D6B4B" w:rsidRPr="00905489">
        <w:rPr>
          <w:rStyle w:val="Hyperlink"/>
          <w:lang w:val="es-ES"/>
        </w:rPr>
        <w:t>Metodología</w:t>
      </w:r>
      <w:r w:rsidR="00D136BB">
        <w:rPr>
          <w:rStyle w:val="Hyperlink"/>
          <w:lang w:val="es-ES"/>
        </w:rPr>
        <w:t xml:space="preserve"> </w:t>
      </w:r>
      <w:r w:rsidR="003D6B4B" w:rsidRPr="00905489">
        <w:rPr>
          <w:rStyle w:val="Hyperlink"/>
          <w:lang w:val="es-ES"/>
        </w:rPr>
        <w:t>para</w:t>
      </w:r>
      <w:r w:rsidR="00D136BB">
        <w:rPr>
          <w:rStyle w:val="Hyperlink"/>
          <w:lang w:val="es-ES"/>
        </w:rPr>
        <w:t xml:space="preserve"> </w:t>
      </w:r>
      <w:r w:rsidR="003D6B4B" w:rsidRPr="00905489">
        <w:rPr>
          <w:rStyle w:val="Hyperlink"/>
          <w:lang w:val="es-ES"/>
        </w:rPr>
        <w:t>la</w:t>
      </w:r>
      <w:r w:rsidR="00D136BB">
        <w:rPr>
          <w:rStyle w:val="Hyperlink"/>
          <w:lang w:val="es-ES"/>
        </w:rPr>
        <w:t xml:space="preserve"> </w:t>
      </w:r>
      <w:r w:rsidR="003D6B4B" w:rsidRPr="00905489">
        <w:rPr>
          <w:rStyle w:val="Hyperlink"/>
          <w:lang w:val="es-ES"/>
        </w:rPr>
        <w:t>Priorización</w:t>
      </w:r>
      <w:r w:rsidR="003D6B4B">
        <w:rPr>
          <w:webHidden/>
        </w:rPr>
        <w:tab/>
      </w:r>
      <w:r w:rsidR="003D5081">
        <w:rPr>
          <w:webHidden/>
        </w:rPr>
        <w:t>154</w:t>
      </w:r>
      <w:r>
        <w:fldChar w:fldCharType="end"/>
      </w:r>
    </w:p>
    <w:bookmarkEnd w:id="3"/>
    <w:p w14:paraId="6EE54D51" w14:textId="66AC4EF8" w:rsidR="003D6B4B" w:rsidRDefault="00E763DB" w:rsidP="00253325">
      <w:pPr>
        <w:pStyle w:val="TOC1"/>
        <w:rPr>
          <w:rFonts w:asciiTheme="minorHAnsi" w:eastAsiaTheme="minorEastAsia" w:hAnsiTheme="minorHAnsi" w:cstheme="minorBidi"/>
          <w:bCs w:val="0"/>
          <w:iCs w:val="0"/>
          <w:caps w:val="0"/>
          <w:sz w:val="22"/>
          <w:szCs w:val="22"/>
          <w:lang w:val="es-ES" w:eastAsia="es-ES"/>
        </w:rPr>
      </w:pPr>
      <w:r>
        <w:fldChar w:fldCharType="begin"/>
      </w:r>
      <w:r>
        <w:instrText xml:space="preserve"> HYPERLINK \l "_Toc385241610" </w:instrText>
      </w:r>
      <w:r>
        <w:fldChar w:fldCharType="separate"/>
      </w:r>
      <w:r w:rsidR="003D6B4B" w:rsidRPr="00905489">
        <w:rPr>
          <w:rStyle w:val="Hyperlink"/>
        </w:rPr>
        <w:t>GLOSARIO</w:t>
      </w:r>
      <w:r w:rsidR="003D6B4B">
        <w:rPr>
          <w:webHidden/>
        </w:rPr>
        <w:tab/>
      </w:r>
      <w:r w:rsidR="003D5081">
        <w:rPr>
          <w:webHidden/>
        </w:rPr>
        <w:t>160</w:t>
      </w:r>
      <w:r>
        <w:fldChar w:fldCharType="end"/>
      </w:r>
    </w:p>
    <w:p w14:paraId="6DD4217F" w14:textId="54667D03" w:rsidR="003D6B4B" w:rsidRDefault="001D6963" w:rsidP="003D6B4B">
      <w:pPr>
        <w:pStyle w:val="TOC1"/>
        <w:rPr>
          <w:rFonts w:asciiTheme="minorHAnsi" w:eastAsiaTheme="minorEastAsia" w:hAnsiTheme="minorHAnsi" w:cstheme="minorBidi"/>
          <w:bCs w:val="0"/>
          <w:iCs w:val="0"/>
          <w:caps w:val="0"/>
          <w:sz w:val="22"/>
          <w:szCs w:val="22"/>
          <w:lang w:val="es-ES" w:eastAsia="es-ES"/>
        </w:rPr>
      </w:pPr>
      <w:hyperlink w:anchor="_Toc385241612" w:history="1">
        <w:r w:rsidR="003D6B4B" w:rsidRPr="00905489">
          <w:rPr>
            <w:rStyle w:val="Hyperlink"/>
            <w:lang w:val="es-ES"/>
          </w:rPr>
          <w:t>LISTA</w:t>
        </w:r>
        <w:r w:rsidR="00D136BB">
          <w:rPr>
            <w:rStyle w:val="Hyperlink"/>
            <w:lang w:val="es-ES"/>
          </w:rPr>
          <w:t xml:space="preserve"> </w:t>
        </w:r>
        <w:r w:rsidR="003D6B4B" w:rsidRPr="00905489">
          <w:rPr>
            <w:rStyle w:val="Hyperlink"/>
            <w:lang w:val="es-ES"/>
          </w:rPr>
          <w:t>DE</w:t>
        </w:r>
        <w:r w:rsidR="00D136BB">
          <w:rPr>
            <w:rStyle w:val="Hyperlink"/>
            <w:lang w:val="es-ES"/>
          </w:rPr>
          <w:t xml:space="preserve"> </w:t>
        </w:r>
        <w:r w:rsidR="003D6B4B" w:rsidRPr="00905489">
          <w:rPr>
            <w:rStyle w:val="Hyperlink"/>
            <w:lang w:val="es-ES"/>
          </w:rPr>
          <w:t>AUTORES</w:t>
        </w:r>
        <w:r w:rsidR="00D136BB">
          <w:rPr>
            <w:rStyle w:val="Hyperlink"/>
            <w:lang w:val="es-ES"/>
          </w:rPr>
          <w:t xml:space="preserve"> </w:t>
        </w:r>
        <w:r w:rsidR="003D6B4B" w:rsidRPr="00905489">
          <w:rPr>
            <w:rStyle w:val="Hyperlink"/>
            <w:lang w:val="es-ES"/>
          </w:rPr>
          <w:t>Y</w:t>
        </w:r>
        <w:r w:rsidR="00D136BB">
          <w:rPr>
            <w:rStyle w:val="Hyperlink"/>
            <w:lang w:val="es-ES"/>
          </w:rPr>
          <w:t xml:space="preserve"> </w:t>
        </w:r>
        <w:r w:rsidR="003D6B4B" w:rsidRPr="00905489">
          <w:rPr>
            <w:rStyle w:val="Hyperlink"/>
            <w:lang w:val="es-ES"/>
          </w:rPr>
          <w:t>REVISORES</w:t>
        </w:r>
        <w:r w:rsidR="003D6B4B">
          <w:rPr>
            <w:webHidden/>
          </w:rPr>
          <w:tab/>
        </w:r>
        <w:r w:rsidR="00FE1AEE">
          <w:rPr>
            <w:webHidden/>
          </w:rPr>
          <w:t>165</w:t>
        </w:r>
      </w:hyperlink>
    </w:p>
    <w:p w14:paraId="7E15F5C0" w14:textId="77777777" w:rsidR="003D6B4B" w:rsidRDefault="003D6B4B" w:rsidP="003D6B4B">
      <w:pPr>
        <w:pStyle w:val="TOC3"/>
        <w:sectPr w:rsidR="003D6B4B" w:rsidSect="00364D81">
          <w:footerReference w:type="default" r:id="rId9"/>
          <w:headerReference w:type="first" r:id="rId10"/>
          <w:footerReference w:type="first" r:id="rId11"/>
          <w:pgSz w:w="11907" w:h="16840" w:code="9"/>
          <w:pgMar w:top="1134" w:right="1418" w:bottom="1531" w:left="1418" w:header="709" w:footer="709" w:gutter="0"/>
          <w:cols w:space="720"/>
          <w:titlePg/>
          <w:docGrid w:linePitch="360"/>
        </w:sectPr>
      </w:pPr>
      <w:r>
        <w:rPr>
          <w:bCs/>
          <w:iCs/>
          <w:szCs w:val="28"/>
        </w:rPr>
        <w:fldChar w:fldCharType="end"/>
      </w:r>
    </w:p>
    <w:p w14:paraId="2B81C741" w14:textId="7FD33EDA" w:rsidR="001E6F51" w:rsidRPr="00F6513B" w:rsidRDefault="00F6513B" w:rsidP="00BC71A8">
      <w:pPr>
        <w:spacing w:after="0"/>
        <w:jc w:val="both"/>
        <w:rPr>
          <w:rFonts w:asciiTheme="majorHAnsi" w:hAnsiTheme="majorHAnsi" w:cs="Arial"/>
          <w:color w:val="365F91" w:themeColor="accent1" w:themeShade="BF"/>
          <w:sz w:val="32"/>
          <w:szCs w:val="32"/>
          <w:shd w:val="clear" w:color="auto" w:fill="FFFFFF"/>
        </w:rPr>
      </w:pPr>
      <w:r w:rsidRPr="00F6513B">
        <w:rPr>
          <w:rFonts w:asciiTheme="majorHAnsi" w:hAnsiTheme="majorHAnsi" w:cs="Arial"/>
          <w:color w:val="365F91" w:themeColor="accent1" w:themeShade="BF"/>
          <w:sz w:val="32"/>
          <w:szCs w:val="32"/>
          <w:shd w:val="clear" w:color="auto" w:fill="FFFFFF"/>
        </w:rPr>
        <w:lastRenderedPageBreak/>
        <w:t>1</w:t>
      </w:r>
      <w:r w:rsidR="00D136BB">
        <w:rPr>
          <w:rFonts w:asciiTheme="majorHAnsi" w:hAnsiTheme="majorHAnsi" w:cs="Arial"/>
          <w:color w:val="365F91" w:themeColor="accent1" w:themeShade="BF"/>
          <w:sz w:val="32"/>
          <w:szCs w:val="32"/>
          <w:shd w:val="clear" w:color="auto" w:fill="FFFFFF"/>
        </w:rPr>
        <w:t xml:space="preserve"> </w:t>
      </w:r>
      <w:r w:rsidRPr="00F6513B">
        <w:rPr>
          <w:rFonts w:asciiTheme="majorHAnsi" w:hAnsiTheme="majorHAnsi" w:cs="Arial"/>
          <w:color w:val="365F91" w:themeColor="accent1" w:themeShade="BF"/>
          <w:sz w:val="32"/>
          <w:szCs w:val="32"/>
          <w:shd w:val="clear" w:color="auto" w:fill="FFFFFF"/>
        </w:rPr>
        <w:t>PRESENTACIÓN</w:t>
      </w:r>
      <w:r w:rsidR="00D136BB">
        <w:rPr>
          <w:rFonts w:asciiTheme="majorHAnsi" w:hAnsiTheme="majorHAnsi" w:cs="Arial"/>
          <w:color w:val="365F91" w:themeColor="accent1" w:themeShade="BF"/>
          <w:sz w:val="32"/>
          <w:szCs w:val="32"/>
          <w:shd w:val="clear" w:color="auto" w:fill="FFFFFF"/>
        </w:rPr>
        <w:t xml:space="preserve"> </w:t>
      </w:r>
      <w:r w:rsidRPr="00F6513B">
        <w:rPr>
          <w:rFonts w:asciiTheme="majorHAnsi" w:hAnsiTheme="majorHAnsi" w:cs="Arial"/>
          <w:color w:val="365F91" w:themeColor="accent1" w:themeShade="BF"/>
          <w:sz w:val="32"/>
          <w:szCs w:val="32"/>
          <w:shd w:val="clear" w:color="auto" w:fill="FFFFFF"/>
        </w:rPr>
        <w:t>DE</w:t>
      </w:r>
      <w:r w:rsidR="004664E1">
        <w:rPr>
          <w:rFonts w:asciiTheme="majorHAnsi" w:hAnsiTheme="majorHAnsi" w:cs="Arial"/>
          <w:color w:val="365F91" w:themeColor="accent1" w:themeShade="BF"/>
          <w:sz w:val="32"/>
          <w:szCs w:val="32"/>
          <w:shd w:val="clear" w:color="auto" w:fill="FFFFFF"/>
        </w:rPr>
        <w:t xml:space="preserve"> </w:t>
      </w:r>
      <w:bookmarkStart w:id="4" w:name="_Hlk50978590"/>
      <w:r w:rsidR="004664E1">
        <w:rPr>
          <w:rFonts w:asciiTheme="majorHAnsi" w:hAnsiTheme="majorHAnsi" w:cs="Arial"/>
          <w:color w:val="365F91" w:themeColor="accent1" w:themeShade="BF"/>
          <w:sz w:val="32"/>
          <w:szCs w:val="32"/>
          <w:shd w:val="clear" w:color="auto" w:fill="FFFFFF"/>
        </w:rPr>
        <w:t>LA AGENDA ARCAL 2030</w:t>
      </w:r>
      <w:bookmarkEnd w:id="4"/>
    </w:p>
    <w:p w14:paraId="2CC5CFDF" w14:textId="0F342B49" w:rsidR="009373BD" w:rsidRDefault="00715258" w:rsidP="00BE3BCB">
      <w:pPr>
        <w:pStyle w:val="Heading1"/>
        <w:numPr>
          <w:ilvl w:val="1"/>
          <w:numId w:val="52"/>
        </w:numPr>
      </w:pPr>
      <w:bookmarkStart w:id="5" w:name="_Toc385241540"/>
      <w:r w:rsidRPr="00561504">
        <w:t>INTRODUCCIÓN</w:t>
      </w:r>
      <w:bookmarkEnd w:id="5"/>
    </w:p>
    <w:p w14:paraId="3BC46DE3" w14:textId="77777777" w:rsidR="00057529" w:rsidRDefault="00057529" w:rsidP="00057529">
      <w:pPr>
        <w:spacing w:after="0" w:line="240" w:lineRule="auto"/>
        <w:jc w:val="both"/>
        <w:rPr>
          <w:rFonts w:ascii="Times New Roman" w:eastAsia="Times New Roman" w:hAnsi="Times New Roman"/>
          <w:sz w:val="24"/>
          <w:szCs w:val="24"/>
          <w:lang w:eastAsia="es-ES"/>
        </w:rPr>
      </w:pPr>
    </w:p>
    <w:p w14:paraId="79B86910" w14:textId="2F7D43D3" w:rsidR="00057529" w:rsidRDefault="00057529" w:rsidP="00057529">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Perfil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Estratégico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Regional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(PER)</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para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América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Latina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y</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Caribe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vigente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cubre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periodo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2016-2021,</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por</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que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necesita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ser</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actualizado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y</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renovado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teniendo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consideración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tanto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grado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de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cumplimiento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alcanzado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de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los</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objetivos</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estratégicos</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que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se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fijaron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su</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momento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como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las</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perspectivas</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de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utilización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de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tecnología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nuclear</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región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los</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próximos</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años.</w:t>
      </w:r>
    </w:p>
    <w:p w14:paraId="32A39595" w14:textId="77777777" w:rsidR="00057529" w:rsidRDefault="00057529" w:rsidP="00057529">
      <w:pPr>
        <w:spacing w:after="0" w:line="240" w:lineRule="auto"/>
        <w:jc w:val="both"/>
        <w:rPr>
          <w:rFonts w:ascii="Times New Roman" w:eastAsia="Times New Roman" w:hAnsi="Times New Roman"/>
          <w:sz w:val="24"/>
          <w:szCs w:val="24"/>
          <w:lang w:eastAsia="es-ES"/>
        </w:rPr>
      </w:pPr>
    </w:p>
    <w:p w14:paraId="73D431B2" w14:textId="56FAF394" w:rsidR="00EA72D3" w:rsidRDefault="00EA72D3" w:rsidP="00057529">
      <w:pPr>
        <w:spacing w:after="0" w:line="240" w:lineRule="auto"/>
        <w:jc w:val="both"/>
        <w:rPr>
          <w:rFonts w:ascii="Times New Roman" w:eastAsia="Times New Roman" w:hAnsi="Times New Roman"/>
          <w:color w:val="000000"/>
          <w:sz w:val="24"/>
          <w:szCs w:val="24"/>
          <w:lang w:eastAsia="es-ES"/>
        </w:rPr>
      </w:pPr>
      <w:r w:rsidRPr="00EA72D3">
        <w:rPr>
          <w:rFonts w:ascii="Times New Roman" w:eastAsia="Times New Roman" w:hAnsi="Times New Roman"/>
          <w:color w:val="000000"/>
          <w:sz w:val="24"/>
          <w:szCs w:val="24"/>
          <w:lang w:eastAsia="es-ES"/>
        </w:rPr>
        <w:t>La actualización y renovación del PER cubrirá el periodo 2022-20</w:t>
      </w:r>
      <w:r w:rsidR="00FD0FD4">
        <w:rPr>
          <w:rFonts w:ascii="Times New Roman" w:eastAsia="Times New Roman" w:hAnsi="Times New Roman"/>
          <w:color w:val="000000"/>
          <w:sz w:val="24"/>
          <w:szCs w:val="24"/>
          <w:lang w:eastAsia="es-ES"/>
        </w:rPr>
        <w:t>29</w:t>
      </w:r>
      <w:r w:rsidRPr="00EA72D3">
        <w:rPr>
          <w:rFonts w:ascii="Times New Roman" w:eastAsia="Times New Roman" w:hAnsi="Times New Roman"/>
          <w:color w:val="000000"/>
          <w:sz w:val="24"/>
          <w:szCs w:val="24"/>
          <w:lang w:eastAsia="es-ES"/>
        </w:rPr>
        <w:t xml:space="preserve">, debiendo servir de referencia para la promoción y el desarrollo de actividades de cooperación entre los países de la región y para facilitar la programación de proyectos de carácter regional, dando continuidad al proceso de planificación que se hizo sobre la base del PER 2016-2021. Los Coordinadores Nacionales de ARCAL han acordado que el nuevo PER será titulado “Agenda ARCAL 2030” para facilitar la diseminación del mismo y coordinación de las actividades llevadas a cabo con la Agenda 2030 de Naciones Unidas. La planificación estratégica de los proyectos cubrirá el período 2022-2029 (de acuerdo con los ciclos de Cooperación Técnica) y la evaluación de los resultados de este marco estratégico será realizado en el 2030. </w:t>
      </w:r>
    </w:p>
    <w:p w14:paraId="5EA2F999" w14:textId="77777777" w:rsidR="00057529" w:rsidRDefault="00057529" w:rsidP="00057529">
      <w:pPr>
        <w:spacing w:after="0" w:line="240" w:lineRule="auto"/>
        <w:jc w:val="both"/>
        <w:rPr>
          <w:rFonts w:ascii="Times New Roman" w:eastAsia="Times New Roman" w:hAnsi="Times New Roman"/>
          <w:sz w:val="24"/>
          <w:szCs w:val="24"/>
          <w:lang w:eastAsia="es-ES"/>
        </w:rPr>
      </w:pPr>
    </w:p>
    <w:p w14:paraId="2D4E3F45" w14:textId="661F1D77" w:rsidR="00057529" w:rsidRPr="00BB078C" w:rsidRDefault="00057529" w:rsidP="00057529">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Tal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como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ocurrió</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con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la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preparación</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del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PER</w:t>
      </w:r>
      <w:r w:rsidR="00D136BB">
        <w:rPr>
          <w:rFonts w:ascii="Times New Roman" w:eastAsia="Times New Roman" w:hAnsi="Times New Roman"/>
          <w:sz w:val="24"/>
          <w:szCs w:val="24"/>
          <w:lang w:eastAsia="es-ES"/>
        </w:rPr>
        <w:t xml:space="preserve"> </w:t>
      </w:r>
      <w:r w:rsidR="004664E1">
        <w:rPr>
          <w:rFonts w:ascii="Times New Roman" w:eastAsia="Times New Roman" w:hAnsi="Times New Roman"/>
          <w:sz w:val="24"/>
          <w:szCs w:val="24"/>
          <w:lang w:eastAsia="es-ES"/>
        </w:rPr>
        <w:t>2016-2021</w:t>
      </w:r>
      <w:r>
        <w:rPr>
          <w:rFonts w:ascii="Times New Roman" w:eastAsia="Times New Roman" w:hAnsi="Times New Roman"/>
          <w:sz w:val="24"/>
          <w:szCs w:val="24"/>
          <w:lang w:eastAsia="es-ES"/>
        </w:rPr>
        <w:t>,</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Organismo</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Internacional</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de</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Energía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Atómica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(OIEA)</w:t>
      </w:r>
      <w:r w:rsidR="00D136BB">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y</w:t>
      </w:r>
      <w:r w:rsidR="00D136BB">
        <w:rPr>
          <w:rFonts w:ascii="Times New Roman" w:eastAsia="Times New Roman" w:hAnsi="Times New Roman"/>
          <w:sz w:val="24"/>
          <w:szCs w:val="24"/>
          <w:lang w:eastAsia="es-ES"/>
        </w:rPr>
        <w:t xml:space="preserve"> </w:t>
      </w:r>
      <w:r w:rsidRPr="00BB078C">
        <w:rPr>
          <w:rFonts w:ascii="Times New Roman" w:eastAsia="Times New Roman" w:hAnsi="Times New Roman"/>
          <w:sz w:val="24"/>
          <w:szCs w:val="24"/>
          <w:lang w:eastAsia="es-ES"/>
        </w:rPr>
        <w:t>el</w:t>
      </w:r>
      <w:r w:rsidR="00D136BB">
        <w:rPr>
          <w:rFonts w:ascii="Times New Roman" w:eastAsia="Times New Roman" w:hAnsi="Times New Roman"/>
          <w:sz w:val="24"/>
          <w:szCs w:val="24"/>
          <w:lang w:eastAsia="es-ES"/>
        </w:rPr>
        <w:t xml:space="preserve"> </w:t>
      </w:r>
      <w:r w:rsidRPr="00BB078C">
        <w:rPr>
          <w:rFonts w:ascii="Times New Roman" w:eastAsia="Times New Roman" w:hAnsi="Times New Roman"/>
          <w:color w:val="000000"/>
          <w:sz w:val="24"/>
          <w:szCs w:val="24"/>
          <w:lang w:eastAsia="es-ES"/>
        </w:rPr>
        <w:t>Acuerdo</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Regional</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Cooperación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para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Promoción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Ciencia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Tecnología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Nucleares</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América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Latina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Caribe</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(ARCAL)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están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cooperando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estrechamente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preparación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un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marco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programación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regional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sólido,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encaminado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satisfacer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necesidades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prioritarias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región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que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identifiquen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su</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proceso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elaboración.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este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proceso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tendrá</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consideración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importantes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ventajas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que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aporta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ARCAL,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como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acuerdo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intergubernamental,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selección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propuestas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proyectos,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movilización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medios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recursos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para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facilitar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desarrollo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proyectos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seguimiento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evaluación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proyectos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cooperación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técnica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regional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ejecutados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marco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Perfil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Estratégico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Regional</w:t>
      </w:r>
      <w:r w:rsidR="00930AD5">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w:t>
      </w:r>
    </w:p>
    <w:p w14:paraId="2DDE07FE" w14:textId="77777777" w:rsidR="00057529" w:rsidRPr="00BB078C" w:rsidRDefault="00057529" w:rsidP="00057529">
      <w:pPr>
        <w:spacing w:after="0" w:line="240" w:lineRule="auto"/>
        <w:jc w:val="both"/>
        <w:rPr>
          <w:rFonts w:ascii="Times New Roman" w:eastAsia="Times New Roman" w:hAnsi="Times New Roman"/>
          <w:color w:val="000000"/>
          <w:sz w:val="24"/>
          <w:szCs w:val="24"/>
          <w:highlight w:val="yellow"/>
          <w:lang w:eastAsia="es-ES"/>
        </w:rPr>
      </w:pPr>
    </w:p>
    <w:p w14:paraId="39E57184" w14:textId="034AECA1" w:rsidR="00057529" w:rsidRDefault="00057529" w:rsidP="00057529">
      <w:pPr>
        <w:spacing w:after="0" w:line="240" w:lineRule="auto"/>
        <w:jc w:val="both"/>
        <w:rPr>
          <w:rFonts w:ascii="Times New Roman" w:eastAsia="Times New Roman" w:hAnsi="Times New Roman"/>
          <w:color w:val="000000"/>
          <w:sz w:val="24"/>
          <w:szCs w:val="24"/>
          <w:lang w:eastAsia="es-ES"/>
        </w:rPr>
      </w:pPr>
      <w:r w:rsidRPr="00BB078C">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aspectos</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que</w:t>
      </w:r>
      <w:r w:rsidR="00D136BB">
        <w:rPr>
          <w:rFonts w:ascii="Times New Roman" w:eastAsia="Times New Roman" w:hAnsi="Times New Roman"/>
          <w:color w:val="000000"/>
          <w:sz w:val="24"/>
          <w:szCs w:val="24"/>
          <w:lang w:eastAsia="es-ES"/>
        </w:rPr>
        <w:t xml:space="preserve"> </w:t>
      </w:r>
      <w:r w:rsidR="004664E1">
        <w:rPr>
          <w:rFonts w:ascii="Times New Roman" w:eastAsia="Times New Roman" w:hAnsi="Times New Roman"/>
          <w:color w:val="000000"/>
          <w:sz w:val="24"/>
          <w:szCs w:val="24"/>
          <w:lang w:eastAsia="es-ES"/>
        </w:rPr>
        <w:t xml:space="preserve">han sido considerados </w:t>
      </w:r>
      <w:r w:rsidRPr="00BB078C">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elaboración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de</w:t>
      </w:r>
      <w:r w:rsidR="004664E1">
        <w:rPr>
          <w:rFonts w:ascii="Times New Roman" w:eastAsia="Times New Roman" w:hAnsi="Times New Roman"/>
          <w:color w:val="000000"/>
          <w:sz w:val="24"/>
          <w:szCs w:val="24"/>
          <w:lang w:eastAsia="es-ES"/>
        </w:rPr>
        <w:t>l</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PER</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son: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evaluación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resultados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obtenidos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durante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ciclos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proyectos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incluidos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2016-2021</w:t>
      </w:r>
      <w:r w:rsidRPr="00BB078C">
        <w:rPr>
          <w:rFonts w:ascii="Times New Roman" w:eastAsia="Times New Roman" w:hAnsi="Times New Roman"/>
          <w:color w:val="000000"/>
          <w:sz w:val="24"/>
          <w:szCs w:val="24"/>
          <w:lang w:eastAsia="es-ES"/>
        </w:rPr>
        <w:t>,</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identificación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ajustes</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conceptuales</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metodológicos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necesarios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para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mejorar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proceso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elaboración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instituciones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involucradas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su</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grado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participación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proyectos</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comunicación</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resultados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proyectos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sus</w:t>
      </w:r>
      <w:r w:rsidR="00D136BB">
        <w:rPr>
          <w:rFonts w:ascii="Times New Roman" w:eastAsia="Times New Roman" w:hAnsi="Times New Roman"/>
          <w:color w:val="000000"/>
          <w:sz w:val="24"/>
          <w:szCs w:val="24"/>
          <w:lang w:eastAsia="es-ES"/>
        </w:rPr>
        <w:t xml:space="preserve"> </w:t>
      </w:r>
      <w:r w:rsidRPr="00BB078C">
        <w:rPr>
          <w:rFonts w:ascii="Times New Roman" w:eastAsia="Times New Roman" w:hAnsi="Times New Roman"/>
          <w:color w:val="000000"/>
          <w:sz w:val="24"/>
          <w:szCs w:val="24"/>
          <w:lang w:eastAsia="es-ES"/>
        </w:rPr>
        <w:t>beneficios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para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región.</w:t>
      </w:r>
    </w:p>
    <w:p w14:paraId="3240B16A" w14:textId="77777777" w:rsidR="00057529" w:rsidRDefault="00057529" w:rsidP="00057529">
      <w:pPr>
        <w:spacing w:after="0" w:line="240" w:lineRule="auto"/>
        <w:jc w:val="both"/>
        <w:rPr>
          <w:rFonts w:ascii="Times New Roman" w:eastAsia="Times New Roman" w:hAnsi="Times New Roman"/>
          <w:color w:val="000000"/>
          <w:sz w:val="24"/>
          <w:szCs w:val="24"/>
          <w:lang w:eastAsia="es-ES"/>
        </w:rPr>
      </w:pPr>
    </w:p>
    <w:p w14:paraId="62BF34A9" w14:textId="670E2619" w:rsidR="00057529" w:rsidRDefault="00057529" w:rsidP="00057529">
      <w:pPr>
        <w:spacing w:after="0" w:line="240" w:lineRule="auto"/>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sidR="004664E1">
        <w:rPr>
          <w:rFonts w:ascii="Times New Roman" w:eastAsia="Times New Roman" w:hAnsi="Times New Roman"/>
          <w:color w:val="000000"/>
          <w:sz w:val="24"/>
          <w:szCs w:val="24"/>
          <w:lang w:eastAsia="es-ES"/>
        </w:rPr>
        <w:t>el presente</w:t>
      </w:r>
      <w:r w:rsidR="004664E1">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primer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ciclo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proyectos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corresponde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bienio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2022-2023</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convocatoria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para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dicho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ciclo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hará</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base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evaluación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PER-2016/2021,</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realizada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reunión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Grupo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Seguimiento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Evaluación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que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llevó</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cabo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Viena,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01al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05</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abril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2019.</w:t>
      </w:r>
      <w:r w:rsidR="004664E1">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esta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reunión,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Grupo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apoyo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expertos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temáticos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TO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PMO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OIEA,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identificaron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Necesidades/Problemas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(N/P)</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vigente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que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deben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considerar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para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ciclo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2022/2023.</w:t>
      </w:r>
    </w:p>
    <w:p w14:paraId="5C54216B" w14:textId="77777777" w:rsidR="00057529" w:rsidRDefault="00057529" w:rsidP="00057529">
      <w:pPr>
        <w:spacing w:after="0" w:line="240" w:lineRule="auto"/>
        <w:jc w:val="both"/>
        <w:rPr>
          <w:rFonts w:ascii="Times New Roman" w:eastAsia="Times New Roman" w:hAnsi="Times New Roman"/>
          <w:color w:val="000000"/>
          <w:sz w:val="24"/>
          <w:szCs w:val="24"/>
          <w:lang w:eastAsia="es-ES"/>
        </w:rPr>
      </w:pPr>
    </w:p>
    <w:p w14:paraId="2292E089" w14:textId="712D5B92" w:rsidR="00057529" w:rsidRPr="002B0E18" w:rsidRDefault="00057529" w:rsidP="00057529">
      <w:pPr>
        <w:spacing w:after="0" w:line="240" w:lineRule="auto"/>
        <w:jc w:val="both"/>
        <w:rPr>
          <w:rFonts w:ascii="Times New Roman" w:eastAsia="Times New Roman" w:hAnsi="Times New Roman"/>
          <w:sz w:val="24"/>
          <w:szCs w:val="24"/>
          <w:lang w:eastAsia="es-ES"/>
        </w:rPr>
      </w:pPr>
      <w:r>
        <w:rPr>
          <w:rFonts w:ascii="Times New Roman" w:eastAsia="Times New Roman" w:hAnsi="Times New Roman"/>
          <w:color w:val="000000"/>
          <w:sz w:val="24"/>
          <w:szCs w:val="24"/>
          <w:lang w:eastAsia="es-ES"/>
        </w:rPr>
        <w:t>Además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indicación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N/P</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para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ciclo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2022/2023,</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Grupo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presentó</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propuestas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temas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orientaciones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para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elaboración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PER</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2022/2029</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que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están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plasmadas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informe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reunión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Grupo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y.</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constituye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uno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documentos</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referencia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que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consideró</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reunión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trabajo,</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que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se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llevó</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cabo</w:t>
      </w:r>
      <w:r w:rsidR="00D136BB">
        <w:rPr>
          <w:rFonts w:ascii="Times New Roman" w:eastAsia="Times New Roman" w:hAnsi="Times New Roman"/>
          <w:color w:val="000000"/>
          <w:sz w:val="24"/>
          <w:szCs w:val="24"/>
          <w:lang w:eastAsia="es-ES"/>
        </w:rPr>
        <w:t xml:space="preserve"> </w:t>
      </w:r>
      <w:r w:rsidR="007F08BA">
        <w:rPr>
          <w:rFonts w:ascii="Times New Roman" w:eastAsia="Times New Roman" w:hAnsi="Times New Roman"/>
          <w:color w:val="000000"/>
          <w:sz w:val="24"/>
          <w:szCs w:val="24"/>
          <w:lang w:eastAsia="es-ES"/>
        </w:rPr>
        <w:t>del</w:t>
      </w:r>
      <w:r w:rsidR="00D136BB">
        <w:rPr>
          <w:rFonts w:ascii="Times New Roman" w:eastAsia="Times New Roman" w:hAnsi="Times New Roman"/>
          <w:color w:val="000000"/>
          <w:sz w:val="24"/>
          <w:szCs w:val="24"/>
          <w:lang w:eastAsia="es-ES"/>
        </w:rPr>
        <w:t xml:space="preserve"> </w:t>
      </w:r>
      <w:r w:rsidR="007F08BA">
        <w:rPr>
          <w:rFonts w:ascii="Times New Roman" w:eastAsia="Times New Roman" w:hAnsi="Times New Roman"/>
          <w:color w:val="000000"/>
          <w:sz w:val="24"/>
          <w:szCs w:val="24"/>
          <w:lang w:eastAsia="es-ES"/>
        </w:rPr>
        <w:t>04</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al</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08</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noviembre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de</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2019,</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en</w:t>
      </w:r>
      <w:r w:rsidR="00D136BB">
        <w:rPr>
          <w:rFonts w:ascii="Times New Roman" w:eastAsia="Times New Roman" w:hAnsi="Times New Roman"/>
          <w:color w:val="000000"/>
          <w:sz w:val="24"/>
          <w:szCs w:val="24"/>
          <w:lang w:eastAsia="es-ES"/>
        </w:rPr>
        <w:t xml:space="preserve"> </w:t>
      </w:r>
      <w:r>
        <w:rPr>
          <w:rFonts w:ascii="Times New Roman" w:eastAsia="Times New Roman" w:hAnsi="Times New Roman"/>
          <w:color w:val="000000"/>
          <w:sz w:val="24"/>
          <w:szCs w:val="24"/>
          <w:lang w:eastAsia="es-ES"/>
        </w:rPr>
        <w:t>Viena.</w:t>
      </w:r>
    </w:p>
    <w:p w14:paraId="77BCB95D" w14:textId="77777777" w:rsidR="00057529" w:rsidRPr="00BB078C" w:rsidRDefault="00057529" w:rsidP="00057529">
      <w:pPr>
        <w:spacing w:after="0" w:line="240" w:lineRule="auto"/>
        <w:jc w:val="both"/>
        <w:rPr>
          <w:rFonts w:ascii="Times New Roman" w:eastAsia="Times New Roman" w:hAnsi="Times New Roman"/>
          <w:color w:val="000000"/>
          <w:sz w:val="24"/>
          <w:szCs w:val="24"/>
          <w:highlight w:val="yellow"/>
          <w:lang w:eastAsia="es-ES"/>
        </w:rPr>
      </w:pPr>
    </w:p>
    <w:p w14:paraId="56916038" w14:textId="4D587EA6" w:rsidR="009373BD" w:rsidRDefault="009373BD" w:rsidP="009373BD">
      <w:pPr>
        <w:pStyle w:val="BodyText"/>
        <w:rPr>
          <w:lang w:val="es-ES"/>
        </w:rPr>
      </w:pPr>
    </w:p>
    <w:p w14:paraId="222518F1" w14:textId="3C62ED15" w:rsidR="00BA0DDD" w:rsidRPr="00A56304" w:rsidRDefault="00BA0DDD" w:rsidP="00A56304">
      <w:pPr>
        <w:pStyle w:val="Heading2"/>
      </w:pPr>
      <w:bookmarkStart w:id="6" w:name="_Toc385241542"/>
      <w:r w:rsidRPr="00A56304">
        <w:t>OBJETIVO</w:t>
      </w:r>
      <w:r w:rsidR="00D136BB">
        <w:t xml:space="preserve"> </w:t>
      </w:r>
      <w:r w:rsidRPr="00A56304">
        <w:t>DEL</w:t>
      </w:r>
      <w:r w:rsidR="00D136BB">
        <w:t xml:space="preserve"> </w:t>
      </w:r>
      <w:r w:rsidRPr="00A56304">
        <w:t>PERFIL</w:t>
      </w:r>
      <w:r w:rsidR="00D136BB">
        <w:t xml:space="preserve"> </w:t>
      </w:r>
      <w:r w:rsidRPr="00A56304">
        <w:t>ESTRATÉGICO</w:t>
      </w:r>
      <w:r w:rsidR="00D136BB">
        <w:t xml:space="preserve"> </w:t>
      </w:r>
      <w:r w:rsidRPr="00A56304">
        <w:t>REGIONAL</w:t>
      </w:r>
      <w:bookmarkEnd w:id="6"/>
    </w:p>
    <w:p w14:paraId="043A8BCE" w14:textId="7EA744AD" w:rsidR="00BA0DDD" w:rsidRPr="006B147C" w:rsidRDefault="00BA0DDD" w:rsidP="00BA0DDD">
      <w:pPr>
        <w:pStyle w:val="BodyText"/>
        <w:rPr>
          <w:lang w:val="es-ES"/>
        </w:rPr>
      </w:pPr>
      <w:r w:rsidRPr="006B147C">
        <w:rPr>
          <w:lang w:val="es-ES"/>
        </w:rPr>
        <w:t>El</w:t>
      </w:r>
      <w:r w:rsidR="00D136BB">
        <w:rPr>
          <w:lang w:val="es-ES"/>
        </w:rPr>
        <w:t xml:space="preserve"> </w:t>
      </w:r>
      <w:r w:rsidRPr="006B147C">
        <w:rPr>
          <w:lang w:val="es-ES"/>
        </w:rPr>
        <w:t>objetivo</w:t>
      </w:r>
      <w:r w:rsidR="00D136BB">
        <w:rPr>
          <w:lang w:val="es-ES"/>
        </w:rPr>
        <w:t xml:space="preserve"> </w:t>
      </w:r>
      <w:r w:rsidRPr="006B147C">
        <w:rPr>
          <w:lang w:val="es-ES"/>
        </w:rPr>
        <w:t>del</w:t>
      </w:r>
      <w:r w:rsidR="00D136BB">
        <w:rPr>
          <w:lang w:val="es-ES"/>
        </w:rPr>
        <w:t xml:space="preserve"> </w:t>
      </w:r>
      <w:r w:rsidRPr="006B147C">
        <w:rPr>
          <w:lang w:val="es-ES"/>
        </w:rPr>
        <w:t>PER</w:t>
      </w:r>
      <w:r w:rsidR="00D136BB">
        <w:rPr>
          <w:lang w:val="es-ES"/>
        </w:rPr>
        <w:t xml:space="preserve"> </w:t>
      </w:r>
      <w:r w:rsidRPr="006B147C">
        <w:rPr>
          <w:lang w:val="es-ES"/>
        </w:rPr>
        <w:t>20</w:t>
      </w:r>
      <w:r>
        <w:rPr>
          <w:lang w:val="es-ES"/>
        </w:rPr>
        <w:t>22</w:t>
      </w:r>
      <w:r w:rsidRPr="006B147C">
        <w:rPr>
          <w:lang w:val="es-ES"/>
        </w:rPr>
        <w:t>-202</w:t>
      </w:r>
      <w:r>
        <w:rPr>
          <w:lang w:val="es-ES"/>
        </w:rPr>
        <w:t>9</w:t>
      </w:r>
      <w:r w:rsidR="00D136BB">
        <w:rPr>
          <w:lang w:val="es-ES"/>
        </w:rPr>
        <w:t xml:space="preserve"> </w:t>
      </w:r>
      <w:r w:rsidRPr="006B147C">
        <w:rPr>
          <w:lang w:val="es-ES"/>
        </w:rPr>
        <w:t>es</w:t>
      </w:r>
      <w:r w:rsidR="00D136BB">
        <w:rPr>
          <w:lang w:val="es-ES"/>
        </w:rPr>
        <w:t xml:space="preserve"> </w:t>
      </w:r>
      <w:r w:rsidRPr="006B147C">
        <w:rPr>
          <w:lang w:val="es-ES"/>
        </w:rPr>
        <w:t>establecer</w:t>
      </w:r>
      <w:r w:rsidR="00D136BB">
        <w:rPr>
          <w:lang w:val="es-ES"/>
        </w:rPr>
        <w:t xml:space="preserve"> </w:t>
      </w:r>
      <w:r w:rsidRPr="006B147C">
        <w:rPr>
          <w:lang w:val="es-ES"/>
        </w:rPr>
        <w:t>un</w:t>
      </w:r>
      <w:r w:rsidR="00D136BB">
        <w:rPr>
          <w:lang w:val="es-ES"/>
        </w:rPr>
        <w:t xml:space="preserve"> </w:t>
      </w:r>
      <w:r w:rsidRPr="006B147C">
        <w:rPr>
          <w:lang w:val="es-ES"/>
        </w:rPr>
        <w:t>marco</w:t>
      </w:r>
      <w:r w:rsidR="00D136BB">
        <w:rPr>
          <w:lang w:val="es-ES"/>
        </w:rPr>
        <w:t xml:space="preserve"> </w:t>
      </w:r>
      <w:r w:rsidRPr="006B147C">
        <w:rPr>
          <w:lang w:val="es-ES"/>
        </w:rPr>
        <w:t>de</w:t>
      </w:r>
      <w:r w:rsidR="00D136BB">
        <w:rPr>
          <w:lang w:val="es-ES"/>
        </w:rPr>
        <w:t xml:space="preserve"> </w:t>
      </w:r>
      <w:r w:rsidRPr="006B147C">
        <w:rPr>
          <w:lang w:val="es-ES"/>
        </w:rPr>
        <w:t>cooperación</w:t>
      </w:r>
      <w:r w:rsidR="00D136BB">
        <w:rPr>
          <w:lang w:val="es-ES"/>
        </w:rPr>
        <w:t xml:space="preserve"> </w:t>
      </w:r>
      <w:r w:rsidRPr="006B147C">
        <w:rPr>
          <w:lang w:val="es-ES"/>
        </w:rPr>
        <w:t>estratégico</w:t>
      </w:r>
      <w:r w:rsidR="00D136BB">
        <w:rPr>
          <w:lang w:val="es-ES"/>
        </w:rPr>
        <w:t xml:space="preserve"> </w:t>
      </w:r>
      <w:r w:rsidRPr="006B147C">
        <w:rPr>
          <w:lang w:val="es-ES"/>
        </w:rPr>
        <w:t>para</w:t>
      </w:r>
      <w:r w:rsidR="00D136BB">
        <w:rPr>
          <w:lang w:val="es-ES"/>
        </w:rPr>
        <w:t xml:space="preserve"> </w:t>
      </w:r>
      <w:r w:rsidRPr="006B147C">
        <w:rPr>
          <w:lang w:val="es-ES"/>
        </w:rPr>
        <w:t>la</w:t>
      </w:r>
      <w:r w:rsidR="00D136BB">
        <w:rPr>
          <w:lang w:val="es-ES"/>
        </w:rPr>
        <w:t xml:space="preserve"> </w:t>
      </w:r>
      <w:r w:rsidRPr="006B147C">
        <w:rPr>
          <w:lang w:val="es-ES"/>
        </w:rPr>
        <w:t>región</w:t>
      </w:r>
      <w:r w:rsidR="00D136BB">
        <w:rPr>
          <w:lang w:val="es-ES"/>
        </w:rPr>
        <w:t xml:space="preserve"> </w:t>
      </w:r>
      <w:r w:rsidRPr="006B147C">
        <w:rPr>
          <w:lang w:val="es-ES"/>
        </w:rPr>
        <w:t>de</w:t>
      </w:r>
      <w:r w:rsidR="00D136BB">
        <w:rPr>
          <w:lang w:val="es-ES"/>
        </w:rPr>
        <w:t xml:space="preserve"> </w:t>
      </w:r>
      <w:r w:rsidRPr="006B147C">
        <w:rPr>
          <w:lang w:val="es-ES"/>
        </w:rPr>
        <w:t>América</w:t>
      </w:r>
      <w:r w:rsidR="00D136BB">
        <w:rPr>
          <w:lang w:val="es-ES"/>
        </w:rPr>
        <w:t xml:space="preserve"> </w:t>
      </w:r>
      <w:r w:rsidRPr="006B147C">
        <w:rPr>
          <w:lang w:val="es-ES"/>
        </w:rPr>
        <w:t>Latina</w:t>
      </w:r>
      <w:r w:rsidR="00D136BB">
        <w:rPr>
          <w:lang w:val="es-ES"/>
        </w:rPr>
        <w:t xml:space="preserve"> </w:t>
      </w:r>
      <w:r w:rsidRPr="006B147C">
        <w:rPr>
          <w:lang w:val="es-ES"/>
        </w:rPr>
        <w:t>y</w:t>
      </w:r>
      <w:r w:rsidR="00D136BB">
        <w:rPr>
          <w:lang w:val="es-ES"/>
        </w:rPr>
        <w:t xml:space="preserve"> </w:t>
      </w:r>
      <w:r w:rsidRPr="006B147C">
        <w:rPr>
          <w:lang w:val="es-ES"/>
        </w:rPr>
        <w:t>el</w:t>
      </w:r>
      <w:r w:rsidR="00D136BB">
        <w:rPr>
          <w:lang w:val="es-ES"/>
        </w:rPr>
        <w:t xml:space="preserve"> </w:t>
      </w:r>
      <w:r w:rsidRPr="006B147C">
        <w:rPr>
          <w:lang w:val="es-ES"/>
        </w:rPr>
        <w:t>Caribe</w:t>
      </w:r>
      <w:r w:rsidR="00D136BB">
        <w:rPr>
          <w:lang w:val="es-ES"/>
        </w:rPr>
        <w:t xml:space="preserve"> </w:t>
      </w:r>
      <w:r w:rsidRPr="006B147C">
        <w:rPr>
          <w:lang w:val="es-ES"/>
        </w:rPr>
        <w:t>sobre</w:t>
      </w:r>
      <w:r w:rsidR="00D136BB">
        <w:rPr>
          <w:lang w:val="es-ES"/>
        </w:rPr>
        <w:t xml:space="preserve"> </w:t>
      </w:r>
      <w:r w:rsidRPr="006B147C">
        <w:rPr>
          <w:lang w:val="es-ES"/>
        </w:rPr>
        <w:t>la</w:t>
      </w:r>
      <w:r w:rsidR="00D136BB">
        <w:rPr>
          <w:lang w:val="es-ES"/>
        </w:rPr>
        <w:t xml:space="preserve"> </w:t>
      </w:r>
      <w:r w:rsidRPr="006B147C">
        <w:rPr>
          <w:lang w:val="es-ES"/>
        </w:rPr>
        <w:t>base</w:t>
      </w:r>
      <w:r w:rsidR="00D136BB">
        <w:rPr>
          <w:lang w:val="es-ES"/>
        </w:rPr>
        <w:t xml:space="preserve"> </w:t>
      </w:r>
      <w:r w:rsidRPr="006B147C">
        <w:rPr>
          <w:lang w:val="es-ES"/>
        </w:rPr>
        <w:t>de</w:t>
      </w:r>
      <w:r w:rsidR="00D136BB">
        <w:rPr>
          <w:lang w:val="es-ES"/>
        </w:rPr>
        <w:t xml:space="preserve"> </w:t>
      </w:r>
      <w:r w:rsidRPr="006B147C">
        <w:rPr>
          <w:lang w:val="es-ES"/>
        </w:rPr>
        <w:t>un</w:t>
      </w:r>
      <w:r w:rsidR="00D136BB">
        <w:rPr>
          <w:lang w:val="es-ES"/>
        </w:rPr>
        <w:t xml:space="preserve"> </w:t>
      </w:r>
      <w:r w:rsidRPr="006B147C">
        <w:rPr>
          <w:lang w:val="es-ES"/>
        </w:rPr>
        <w:t>análisis</w:t>
      </w:r>
      <w:r w:rsidR="00D136BB">
        <w:rPr>
          <w:lang w:val="es-ES"/>
        </w:rPr>
        <w:t xml:space="preserve"> </w:t>
      </w:r>
      <w:r w:rsidRPr="006B147C">
        <w:rPr>
          <w:lang w:val="es-ES"/>
        </w:rPr>
        <w:t>descriptivo</w:t>
      </w:r>
      <w:r w:rsidR="00D136BB">
        <w:rPr>
          <w:lang w:val="es-ES"/>
        </w:rPr>
        <w:t xml:space="preserve"> </w:t>
      </w:r>
      <w:r w:rsidRPr="006B147C">
        <w:rPr>
          <w:lang w:val="es-ES"/>
        </w:rPr>
        <w:t>de</w:t>
      </w:r>
      <w:r w:rsidR="00D136BB">
        <w:rPr>
          <w:lang w:val="es-ES"/>
        </w:rPr>
        <w:t xml:space="preserve"> </w:t>
      </w:r>
      <w:r w:rsidRPr="006B147C">
        <w:rPr>
          <w:lang w:val="es-ES"/>
        </w:rPr>
        <w:t>los</w:t>
      </w:r>
      <w:r w:rsidR="00D136BB">
        <w:rPr>
          <w:lang w:val="es-ES"/>
        </w:rPr>
        <w:t xml:space="preserve"> </w:t>
      </w:r>
      <w:r w:rsidRPr="006B147C">
        <w:rPr>
          <w:lang w:val="es-ES"/>
        </w:rPr>
        <w:t>problemas</w:t>
      </w:r>
      <w:r w:rsidR="00D136BB">
        <w:rPr>
          <w:lang w:val="es-ES"/>
        </w:rPr>
        <w:t xml:space="preserve"> </w:t>
      </w:r>
      <w:r>
        <w:rPr>
          <w:lang w:val="es-ES"/>
        </w:rPr>
        <w:t>o</w:t>
      </w:r>
      <w:r w:rsidR="00D136BB">
        <w:rPr>
          <w:lang w:val="es-ES"/>
        </w:rPr>
        <w:t xml:space="preserve"> </w:t>
      </w:r>
      <w:r w:rsidRPr="006B147C">
        <w:rPr>
          <w:lang w:val="es-ES"/>
        </w:rPr>
        <w:t>necesidades</w:t>
      </w:r>
      <w:r w:rsidR="00D136BB">
        <w:rPr>
          <w:lang w:val="es-ES"/>
        </w:rPr>
        <w:t xml:space="preserve"> </w:t>
      </w:r>
      <w:r w:rsidRPr="006B147C">
        <w:rPr>
          <w:lang w:val="es-ES"/>
        </w:rPr>
        <w:t>más</w:t>
      </w:r>
      <w:r w:rsidR="00D136BB">
        <w:rPr>
          <w:lang w:val="es-ES"/>
        </w:rPr>
        <w:t xml:space="preserve"> </w:t>
      </w:r>
      <w:r w:rsidRPr="006B147C">
        <w:rPr>
          <w:lang w:val="es-ES"/>
        </w:rPr>
        <w:t>apremiantes</w:t>
      </w:r>
      <w:r w:rsidR="00D136BB">
        <w:rPr>
          <w:lang w:val="es-ES"/>
        </w:rPr>
        <w:t xml:space="preserve"> </w:t>
      </w:r>
      <w:r w:rsidRPr="006B147C">
        <w:rPr>
          <w:lang w:val="es-ES"/>
        </w:rPr>
        <w:t>en</w:t>
      </w:r>
      <w:r w:rsidR="00D136BB">
        <w:rPr>
          <w:lang w:val="es-ES"/>
        </w:rPr>
        <w:t xml:space="preserve"> </w:t>
      </w:r>
      <w:r w:rsidRPr="006B147C">
        <w:rPr>
          <w:lang w:val="es-ES"/>
        </w:rPr>
        <w:t>el</w:t>
      </w:r>
      <w:r w:rsidR="00D136BB">
        <w:rPr>
          <w:lang w:val="es-ES"/>
        </w:rPr>
        <w:t xml:space="preserve"> </w:t>
      </w:r>
      <w:r w:rsidRPr="006B147C">
        <w:rPr>
          <w:lang w:val="es-ES"/>
        </w:rPr>
        <w:t>contexto</w:t>
      </w:r>
      <w:r w:rsidR="00D136BB">
        <w:rPr>
          <w:lang w:val="es-ES"/>
        </w:rPr>
        <w:t xml:space="preserve"> </w:t>
      </w:r>
      <w:r w:rsidRPr="006B147C">
        <w:rPr>
          <w:lang w:val="es-ES"/>
        </w:rPr>
        <w:t>regional,</w:t>
      </w:r>
      <w:r w:rsidR="00D136BB">
        <w:rPr>
          <w:lang w:val="es-ES"/>
        </w:rPr>
        <w:t xml:space="preserve"> </w:t>
      </w:r>
      <w:r w:rsidRPr="006B147C">
        <w:rPr>
          <w:lang w:val="es-ES"/>
        </w:rPr>
        <w:t>que</w:t>
      </w:r>
      <w:r w:rsidR="00D136BB">
        <w:rPr>
          <w:lang w:val="es-ES"/>
        </w:rPr>
        <w:t xml:space="preserve"> </w:t>
      </w:r>
      <w:r w:rsidRPr="006B147C">
        <w:rPr>
          <w:lang w:val="es-ES"/>
        </w:rPr>
        <w:t>pueden</w:t>
      </w:r>
      <w:r w:rsidR="00D136BB">
        <w:rPr>
          <w:lang w:val="es-ES"/>
        </w:rPr>
        <w:t xml:space="preserve"> </w:t>
      </w:r>
      <w:r w:rsidRPr="006B147C">
        <w:rPr>
          <w:lang w:val="es-ES"/>
        </w:rPr>
        <w:t>ser</w:t>
      </w:r>
      <w:r w:rsidR="00D136BB">
        <w:rPr>
          <w:lang w:val="es-ES"/>
        </w:rPr>
        <w:t xml:space="preserve"> </w:t>
      </w:r>
      <w:r w:rsidRPr="006B147C">
        <w:rPr>
          <w:lang w:val="es-ES"/>
        </w:rPr>
        <w:t>afrontadas</w:t>
      </w:r>
      <w:r w:rsidR="00D136BB">
        <w:rPr>
          <w:lang w:val="es-ES"/>
        </w:rPr>
        <w:t xml:space="preserve"> </w:t>
      </w:r>
      <w:r w:rsidRPr="006B147C">
        <w:rPr>
          <w:lang w:val="es-ES"/>
        </w:rPr>
        <w:t>con</w:t>
      </w:r>
      <w:r w:rsidR="00D136BB">
        <w:rPr>
          <w:lang w:val="es-ES"/>
        </w:rPr>
        <w:t xml:space="preserve"> </w:t>
      </w:r>
      <w:r w:rsidRPr="006B147C">
        <w:rPr>
          <w:lang w:val="es-ES"/>
        </w:rPr>
        <w:t>el</w:t>
      </w:r>
      <w:r w:rsidR="00D136BB">
        <w:rPr>
          <w:lang w:val="es-ES"/>
        </w:rPr>
        <w:t xml:space="preserve"> </w:t>
      </w:r>
      <w:r w:rsidRPr="006B147C">
        <w:rPr>
          <w:lang w:val="es-ES"/>
        </w:rPr>
        <w:t>uso</w:t>
      </w:r>
      <w:r w:rsidR="00D136BB">
        <w:rPr>
          <w:lang w:val="es-ES"/>
        </w:rPr>
        <w:t xml:space="preserve"> </w:t>
      </w:r>
      <w:r w:rsidRPr="006B147C">
        <w:rPr>
          <w:lang w:val="es-ES"/>
        </w:rPr>
        <w:t>de</w:t>
      </w:r>
      <w:r w:rsidR="00D136BB">
        <w:rPr>
          <w:lang w:val="es-ES"/>
        </w:rPr>
        <w:t xml:space="preserve"> </w:t>
      </w:r>
      <w:r w:rsidRPr="006B147C">
        <w:rPr>
          <w:lang w:val="es-ES"/>
        </w:rPr>
        <w:t>tecnologías</w:t>
      </w:r>
      <w:r w:rsidR="00D136BB">
        <w:rPr>
          <w:lang w:val="es-ES"/>
        </w:rPr>
        <w:t xml:space="preserve"> </w:t>
      </w:r>
      <w:r w:rsidRPr="006B147C">
        <w:rPr>
          <w:lang w:val="es-ES"/>
        </w:rPr>
        <w:t>nucleares.</w:t>
      </w:r>
      <w:r w:rsidR="00D136BB">
        <w:rPr>
          <w:lang w:val="es-ES"/>
        </w:rPr>
        <w:t xml:space="preserve"> </w:t>
      </w:r>
    </w:p>
    <w:p w14:paraId="5511FE6E" w14:textId="0341C0D6" w:rsidR="00BA0DDD" w:rsidRPr="006B147C" w:rsidRDefault="00BA0DDD" w:rsidP="00BA0DDD">
      <w:pPr>
        <w:pStyle w:val="BodyText"/>
        <w:rPr>
          <w:lang w:val="es-ES"/>
        </w:rPr>
      </w:pPr>
      <w:r w:rsidRPr="006B147C">
        <w:rPr>
          <w:lang w:val="es-ES"/>
        </w:rPr>
        <w:t>El</w:t>
      </w:r>
      <w:r w:rsidR="00D136BB">
        <w:rPr>
          <w:lang w:val="es-ES"/>
        </w:rPr>
        <w:t xml:space="preserve"> </w:t>
      </w:r>
      <w:r w:rsidRPr="006B147C">
        <w:rPr>
          <w:lang w:val="es-ES"/>
        </w:rPr>
        <w:t>marco</w:t>
      </w:r>
      <w:r w:rsidR="00D136BB">
        <w:rPr>
          <w:lang w:val="es-ES"/>
        </w:rPr>
        <w:t xml:space="preserve"> </w:t>
      </w:r>
      <w:r w:rsidRPr="006B147C">
        <w:rPr>
          <w:lang w:val="es-ES"/>
        </w:rPr>
        <w:t>de</w:t>
      </w:r>
      <w:r w:rsidR="00D136BB">
        <w:rPr>
          <w:lang w:val="es-ES"/>
        </w:rPr>
        <w:t xml:space="preserve"> </w:t>
      </w:r>
      <w:r w:rsidRPr="006B147C">
        <w:rPr>
          <w:lang w:val="es-ES"/>
        </w:rPr>
        <w:t>cooperación</w:t>
      </w:r>
      <w:r w:rsidR="00D136BB">
        <w:rPr>
          <w:lang w:val="es-ES"/>
        </w:rPr>
        <w:t xml:space="preserve"> </w:t>
      </w:r>
      <w:r w:rsidRPr="006B147C">
        <w:rPr>
          <w:lang w:val="es-ES"/>
        </w:rPr>
        <w:t>del</w:t>
      </w:r>
      <w:r w:rsidR="00D136BB">
        <w:rPr>
          <w:lang w:val="es-ES"/>
        </w:rPr>
        <w:t xml:space="preserve"> </w:t>
      </w:r>
      <w:r w:rsidRPr="006B147C">
        <w:rPr>
          <w:lang w:val="es-ES"/>
        </w:rPr>
        <w:t>PER</w:t>
      </w:r>
      <w:r w:rsidR="00D136BB">
        <w:rPr>
          <w:lang w:val="es-ES"/>
        </w:rPr>
        <w:t xml:space="preserve"> </w:t>
      </w:r>
      <w:r w:rsidRPr="006B147C">
        <w:rPr>
          <w:lang w:val="es-ES"/>
        </w:rPr>
        <w:t>será</w:t>
      </w:r>
      <w:r w:rsidR="00D136BB">
        <w:rPr>
          <w:lang w:val="es-ES"/>
        </w:rPr>
        <w:t xml:space="preserve"> </w:t>
      </w:r>
      <w:r w:rsidRPr="006B147C">
        <w:rPr>
          <w:lang w:val="es-ES"/>
        </w:rPr>
        <w:t>una</w:t>
      </w:r>
      <w:r w:rsidR="00D136BB">
        <w:rPr>
          <w:lang w:val="es-ES"/>
        </w:rPr>
        <w:t xml:space="preserve"> </w:t>
      </w:r>
      <w:r w:rsidRPr="006B147C">
        <w:rPr>
          <w:lang w:val="es-ES"/>
        </w:rPr>
        <w:t>referencia</w:t>
      </w:r>
      <w:r w:rsidR="00D136BB">
        <w:rPr>
          <w:lang w:val="es-ES"/>
        </w:rPr>
        <w:t xml:space="preserve"> </w:t>
      </w:r>
      <w:r w:rsidRPr="006B147C">
        <w:rPr>
          <w:lang w:val="es-ES"/>
        </w:rPr>
        <w:t>programática</w:t>
      </w:r>
      <w:r w:rsidR="00D136BB">
        <w:rPr>
          <w:lang w:val="es-ES"/>
        </w:rPr>
        <w:t xml:space="preserve"> </w:t>
      </w:r>
      <w:r w:rsidRPr="006B147C">
        <w:rPr>
          <w:lang w:val="es-ES"/>
        </w:rPr>
        <w:t>de</w:t>
      </w:r>
      <w:r w:rsidR="00D136BB">
        <w:rPr>
          <w:lang w:val="es-ES"/>
        </w:rPr>
        <w:t xml:space="preserve"> </w:t>
      </w:r>
      <w:r w:rsidRPr="006B147C">
        <w:rPr>
          <w:lang w:val="es-ES"/>
        </w:rPr>
        <w:t>primera</w:t>
      </w:r>
      <w:r w:rsidR="00D136BB">
        <w:rPr>
          <w:lang w:val="es-ES"/>
        </w:rPr>
        <w:t xml:space="preserve"> </w:t>
      </w:r>
      <w:r w:rsidRPr="006B147C">
        <w:rPr>
          <w:lang w:val="es-ES"/>
        </w:rPr>
        <w:t>magnitud</w:t>
      </w:r>
      <w:r w:rsidR="00D136BB">
        <w:rPr>
          <w:lang w:val="es-ES"/>
        </w:rPr>
        <w:t xml:space="preserve"> </w:t>
      </w:r>
      <w:r w:rsidRPr="006B147C">
        <w:rPr>
          <w:lang w:val="es-ES"/>
        </w:rPr>
        <w:t>para</w:t>
      </w:r>
      <w:r w:rsidR="00D136BB">
        <w:rPr>
          <w:lang w:val="es-ES"/>
        </w:rPr>
        <w:t xml:space="preserve"> </w:t>
      </w:r>
      <w:r w:rsidRPr="006B147C">
        <w:rPr>
          <w:lang w:val="es-ES"/>
        </w:rPr>
        <w:t>la</w:t>
      </w:r>
      <w:r w:rsidR="00D136BB">
        <w:rPr>
          <w:lang w:val="es-ES"/>
        </w:rPr>
        <w:t xml:space="preserve"> </w:t>
      </w:r>
      <w:r w:rsidRPr="006B147C">
        <w:rPr>
          <w:lang w:val="es-ES"/>
        </w:rPr>
        <w:t>preparación</w:t>
      </w:r>
      <w:r w:rsidR="00D136BB">
        <w:rPr>
          <w:lang w:val="es-ES"/>
        </w:rPr>
        <w:t xml:space="preserve"> </w:t>
      </w:r>
      <w:r w:rsidRPr="006B147C">
        <w:rPr>
          <w:lang w:val="es-ES"/>
        </w:rPr>
        <w:t>de</w:t>
      </w:r>
      <w:r w:rsidR="00D136BB">
        <w:rPr>
          <w:lang w:val="es-ES"/>
        </w:rPr>
        <w:t xml:space="preserve"> </w:t>
      </w:r>
      <w:r w:rsidRPr="006B147C">
        <w:rPr>
          <w:lang w:val="es-ES"/>
        </w:rPr>
        <w:t>propuestas</w:t>
      </w:r>
      <w:r w:rsidR="00D136BB">
        <w:rPr>
          <w:lang w:val="es-ES"/>
        </w:rPr>
        <w:t xml:space="preserve"> </w:t>
      </w:r>
      <w:r w:rsidRPr="006B147C">
        <w:rPr>
          <w:lang w:val="es-ES"/>
        </w:rPr>
        <w:t>de</w:t>
      </w:r>
      <w:r w:rsidR="00D136BB">
        <w:rPr>
          <w:lang w:val="es-ES"/>
        </w:rPr>
        <w:t xml:space="preserve"> </w:t>
      </w:r>
      <w:r w:rsidRPr="006B147C">
        <w:rPr>
          <w:lang w:val="es-ES"/>
        </w:rPr>
        <w:t>programas</w:t>
      </w:r>
      <w:r w:rsidR="00D136BB">
        <w:rPr>
          <w:lang w:val="es-ES"/>
        </w:rPr>
        <w:t xml:space="preserve"> </w:t>
      </w:r>
      <w:r w:rsidRPr="006B147C">
        <w:rPr>
          <w:lang w:val="es-ES"/>
        </w:rPr>
        <w:t>y</w:t>
      </w:r>
      <w:r w:rsidR="00D136BB">
        <w:rPr>
          <w:lang w:val="es-ES"/>
        </w:rPr>
        <w:t xml:space="preserve"> </w:t>
      </w:r>
      <w:r w:rsidRPr="006B147C">
        <w:rPr>
          <w:lang w:val="es-ES"/>
        </w:rPr>
        <w:t>proyectos,</w:t>
      </w:r>
      <w:r w:rsidR="00D136BB">
        <w:rPr>
          <w:lang w:val="es-ES"/>
        </w:rPr>
        <w:t xml:space="preserve"> </w:t>
      </w:r>
      <w:r w:rsidRPr="006B147C">
        <w:rPr>
          <w:lang w:val="es-ES"/>
        </w:rPr>
        <w:t>tanto</w:t>
      </w:r>
      <w:r w:rsidR="00D136BB">
        <w:rPr>
          <w:lang w:val="es-ES"/>
        </w:rPr>
        <w:t xml:space="preserve"> </w:t>
      </w:r>
      <w:r w:rsidRPr="006B147C">
        <w:rPr>
          <w:lang w:val="es-ES"/>
        </w:rPr>
        <w:t>para</w:t>
      </w:r>
      <w:r w:rsidR="00D136BB">
        <w:rPr>
          <w:lang w:val="es-ES"/>
        </w:rPr>
        <w:t xml:space="preserve"> </w:t>
      </w:r>
      <w:r w:rsidRPr="006B147C">
        <w:rPr>
          <w:lang w:val="es-ES"/>
        </w:rPr>
        <w:t>ARCAL</w:t>
      </w:r>
      <w:r w:rsidR="00D136BB">
        <w:rPr>
          <w:lang w:val="es-ES"/>
        </w:rPr>
        <w:t xml:space="preserve"> </w:t>
      </w:r>
      <w:r w:rsidRPr="006B147C">
        <w:rPr>
          <w:lang w:val="es-ES"/>
        </w:rPr>
        <w:t>como</w:t>
      </w:r>
      <w:r w:rsidR="00D136BB">
        <w:rPr>
          <w:lang w:val="es-ES"/>
        </w:rPr>
        <w:t xml:space="preserve"> </w:t>
      </w:r>
      <w:r w:rsidRPr="006B147C">
        <w:rPr>
          <w:lang w:val="es-ES"/>
        </w:rPr>
        <w:t>para</w:t>
      </w:r>
      <w:r w:rsidR="00D136BB">
        <w:rPr>
          <w:lang w:val="es-ES"/>
        </w:rPr>
        <w:t xml:space="preserve"> </w:t>
      </w:r>
      <w:r w:rsidRPr="006B147C">
        <w:rPr>
          <w:lang w:val="es-ES"/>
        </w:rPr>
        <w:t>el</w:t>
      </w:r>
      <w:r w:rsidR="00D136BB">
        <w:rPr>
          <w:lang w:val="es-ES"/>
        </w:rPr>
        <w:t xml:space="preserve"> </w:t>
      </w:r>
      <w:r w:rsidRPr="006B147C">
        <w:rPr>
          <w:lang w:val="es-ES"/>
        </w:rPr>
        <w:t>OIEA,</w:t>
      </w:r>
      <w:r w:rsidR="00D136BB">
        <w:rPr>
          <w:lang w:val="es-ES"/>
        </w:rPr>
        <w:t xml:space="preserve"> </w:t>
      </w:r>
      <w:r w:rsidRPr="006B147C">
        <w:rPr>
          <w:lang w:val="es-ES"/>
        </w:rPr>
        <w:t>en</w:t>
      </w:r>
      <w:r w:rsidR="00D136BB">
        <w:rPr>
          <w:lang w:val="es-ES"/>
        </w:rPr>
        <w:t xml:space="preserve"> </w:t>
      </w:r>
      <w:r w:rsidRPr="006B147C">
        <w:rPr>
          <w:lang w:val="es-ES"/>
        </w:rPr>
        <w:t>lo</w:t>
      </w:r>
      <w:r w:rsidR="00D136BB">
        <w:rPr>
          <w:lang w:val="es-ES"/>
        </w:rPr>
        <w:t xml:space="preserve"> </w:t>
      </w:r>
      <w:r w:rsidRPr="006B147C">
        <w:rPr>
          <w:lang w:val="es-ES"/>
        </w:rPr>
        <w:t>que</w:t>
      </w:r>
      <w:r w:rsidR="00D136BB">
        <w:rPr>
          <w:lang w:val="es-ES"/>
        </w:rPr>
        <w:t xml:space="preserve"> </w:t>
      </w:r>
      <w:r w:rsidRPr="006B147C">
        <w:rPr>
          <w:lang w:val="es-ES"/>
        </w:rPr>
        <w:t>respecta</w:t>
      </w:r>
      <w:r w:rsidR="00D136BB">
        <w:rPr>
          <w:lang w:val="es-ES"/>
        </w:rPr>
        <w:t xml:space="preserve"> </w:t>
      </w:r>
      <w:r w:rsidRPr="006B147C">
        <w:rPr>
          <w:lang w:val="es-ES"/>
        </w:rPr>
        <w:t>a</w:t>
      </w:r>
      <w:r w:rsidR="00D136BB">
        <w:rPr>
          <w:lang w:val="es-ES"/>
        </w:rPr>
        <w:t xml:space="preserve"> </w:t>
      </w:r>
      <w:r w:rsidRPr="006B147C">
        <w:rPr>
          <w:lang w:val="es-ES"/>
        </w:rPr>
        <w:t>su</w:t>
      </w:r>
      <w:r w:rsidR="00D136BB">
        <w:rPr>
          <w:lang w:val="es-ES"/>
        </w:rPr>
        <w:t xml:space="preserve"> </w:t>
      </w:r>
      <w:r w:rsidRPr="006B147C">
        <w:rPr>
          <w:lang w:val="es-ES"/>
        </w:rPr>
        <w:t>Programa</w:t>
      </w:r>
      <w:r w:rsidR="00D136BB">
        <w:rPr>
          <w:lang w:val="es-ES"/>
        </w:rPr>
        <w:t xml:space="preserve"> </w:t>
      </w:r>
      <w:r w:rsidRPr="006B147C">
        <w:rPr>
          <w:lang w:val="es-ES"/>
        </w:rPr>
        <w:t>de</w:t>
      </w:r>
      <w:r w:rsidR="00D136BB">
        <w:rPr>
          <w:lang w:val="es-ES"/>
        </w:rPr>
        <w:t xml:space="preserve"> </w:t>
      </w:r>
      <w:r w:rsidRPr="006B147C">
        <w:rPr>
          <w:lang w:val="es-ES"/>
        </w:rPr>
        <w:t>Cooperación</w:t>
      </w:r>
      <w:r w:rsidR="00D136BB">
        <w:rPr>
          <w:lang w:val="es-ES"/>
        </w:rPr>
        <w:t xml:space="preserve"> </w:t>
      </w:r>
      <w:r w:rsidRPr="006B147C">
        <w:rPr>
          <w:lang w:val="es-ES"/>
        </w:rPr>
        <w:t>Técnica</w:t>
      </w:r>
      <w:r w:rsidR="00D136BB">
        <w:rPr>
          <w:lang w:val="es-ES"/>
        </w:rPr>
        <w:t xml:space="preserve"> </w:t>
      </w:r>
      <w:r w:rsidRPr="006B147C">
        <w:rPr>
          <w:lang w:val="es-ES"/>
        </w:rPr>
        <w:t>para</w:t>
      </w:r>
      <w:r w:rsidR="00D136BB">
        <w:rPr>
          <w:lang w:val="es-ES"/>
        </w:rPr>
        <w:t xml:space="preserve"> </w:t>
      </w:r>
      <w:r w:rsidRPr="006B147C">
        <w:rPr>
          <w:lang w:val="es-ES"/>
        </w:rPr>
        <w:t>la</w:t>
      </w:r>
      <w:r w:rsidR="00D136BB">
        <w:rPr>
          <w:lang w:val="es-ES"/>
        </w:rPr>
        <w:t xml:space="preserve"> </w:t>
      </w:r>
      <w:r w:rsidRPr="006B147C">
        <w:rPr>
          <w:lang w:val="es-ES"/>
        </w:rPr>
        <w:t>región.</w:t>
      </w:r>
      <w:r w:rsidR="00D136BB">
        <w:rPr>
          <w:lang w:val="es-ES"/>
        </w:rPr>
        <w:t xml:space="preserve"> </w:t>
      </w:r>
    </w:p>
    <w:p w14:paraId="2E5A9C53" w14:textId="1E896B0B" w:rsidR="00BA0DDD" w:rsidRPr="006B147C" w:rsidRDefault="00BA0DDD" w:rsidP="00BA0DDD">
      <w:pPr>
        <w:pStyle w:val="BodyText"/>
        <w:rPr>
          <w:lang w:val="es-ES"/>
        </w:rPr>
      </w:pPr>
      <w:r w:rsidRPr="006B147C">
        <w:rPr>
          <w:lang w:val="es-ES"/>
        </w:rPr>
        <w:t>El</w:t>
      </w:r>
      <w:r w:rsidR="00D136BB">
        <w:rPr>
          <w:lang w:val="es-ES"/>
        </w:rPr>
        <w:t xml:space="preserve"> </w:t>
      </w:r>
      <w:r w:rsidR="002C0F56">
        <w:rPr>
          <w:lang w:val="es-ES"/>
        </w:rPr>
        <w:t>presente</w:t>
      </w:r>
      <w:r w:rsidR="002C0F56">
        <w:rPr>
          <w:lang w:val="es-ES"/>
        </w:rPr>
        <w:t xml:space="preserve"> </w:t>
      </w:r>
      <w:r w:rsidRPr="006B147C">
        <w:rPr>
          <w:lang w:val="es-ES"/>
        </w:rPr>
        <w:t>PER</w:t>
      </w:r>
      <w:r w:rsidR="00D136BB">
        <w:rPr>
          <w:lang w:val="es-ES"/>
        </w:rPr>
        <w:t xml:space="preserve"> </w:t>
      </w:r>
      <w:r w:rsidRPr="006B147C">
        <w:rPr>
          <w:lang w:val="es-ES"/>
        </w:rPr>
        <w:t>servirá</w:t>
      </w:r>
      <w:r w:rsidR="00D136BB">
        <w:rPr>
          <w:lang w:val="es-ES"/>
        </w:rPr>
        <w:t xml:space="preserve"> </w:t>
      </w:r>
      <w:r w:rsidRPr="006B147C">
        <w:rPr>
          <w:lang w:val="es-ES"/>
        </w:rPr>
        <w:t>también</w:t>
      </w:r>
      <w:r w:rsidR="00D136BB">
        <w:rPr>
          <w:lang w:val="es-ES"/>
        </w:rPr>
        <w:t xml:space="preserve"> </w:t>
      </w:r>
      <w:r w:rsidRPr="006B147C">
        <w:rPr>
          <w:lang w:val="es-ES"/>
        </w:rPr>
        <w:t>para</w:t>
      </w:r>
      <w:r w:rsidR="00D136BB">
        <w:rPr>
          <w:lang w:val="es-ES"/>
        </w:rPr>
        <w:t xml:space="preserve"> </w:t>
      </w:r>
      <w:r w:rsidRPr="006B147C">
        <w:rPr>
          <w:lang w:val="es-ES"/>
        </w:rPr>
        <w:t>mejorar</w:t>
      </w:r>
      <w:r w:rsidR="00D136BB">
        <w:rPr>
          <w:lang w:val="es-ES"/>
        </w:rPr>
        <w:t xml:space="preserve"> </w:t>
      </w:r>
      <w:r w:rsidRPr="006B147C">
        <w:rPr>
          <w:lang w:val="es-ES"/>
        </w:rPr>
        <w:t>la</w:t>
      </w:r>
      <w:r w:rsidR="00D136BB">
        <w:rPr>
          <w:lang w:val="es-ES"/>
        </w:rPr>
        <w:t xml:space="preserve"> </w:t>
      </w:r>
      <w:r w:rsidRPr="006B147C">
        <w:rPr>
          <w:lang w:val="es-ES"/>
        </w:rPr>
        <w:t>cooperación</w:t>
      </w:r>
      <w:r w:rsidR="00D136BB">
        <w:rPr>
          <w:lang w:val="es-ES"/>
        </w:rPr>
        <w:t xml:space="preserve"> </w:t>
      </w:r>
      <w:r w:rsidRPr="006B147C">
        <w:rPr>
          <w:lang w:val="es-ES"/>
        </w:rPr>
        <w:t>regional</w:t>
      </w:r>
      <w:r w:rsidR="00D136BB">
        <w:rPr>
          <w:lang w:val="es-ES"/>
        </w:rPr>
        <w:t xml:space="preserve"> </w:t>
      </w:r>
      <w:r w:rsidRPr="006B147C">
        <w:rPr>
          <w:lang w:val="es-ES"/>
        </w:rPr>
        <w:t>mediante</w:t>
      </w:r>
      <w:r w:rsidR="00D136BB">
        <w:rPr>
          <w:lang w:val="es-ES"/>
        </w:rPr>
        <w:t xml:space="preserve"> </w:t>
      </w:r>
      <w:r w:rsidRPr="006B147C">
        <w:rPr>
          <w:lang w:val="es-ES"/>
        </w:rPr>
        <w:t>una</w:t>
      </w:r>
      <w:r w:rsidR="00D136BB">
        <w:rPr>
          <w:lang w:val="es-ES"/>
        </w:rPr>
        <w:t xml:space="preserve"> </w:t>
      </w:r>
      <w:r w:rsidRPr="006B147C">
        <w:rPr>
          <w:lang w:val="es-ES"/>
        </w:rPr>
        <w:t>adecuada</w:t>
      </w:r>
      <w:r w:rsidR="00D136BB">
        <w:rPr>
          <w:lang w:val="es-ES"/>
        </w:rPr>
        <w:t xml:space="preserve"> </w:t>
      </w:r>
      <w:r w:rsidRPr="006B147C">
        <w:rPr>
          <w:lang w:val="es-ES"/>
        </w:rPr>
        <w:t>comunicación</w:t>
      </w:r>
      <w:r w:rsidR="00D136BB">
        <w:rPr>
          <w:lang w:val="es-ES"/>
        </w:rPr>
        <w:t xml:space="preserve"> </w:t>
      </w:r>
      <w:r w:rsidRPr="006B147C">
        <w:rPr>
          <w:lang w:val="es-ES"/>
        </w:rPr>
        <w:t>y</w:t>
      </w:r>
      <w:r w:rsidR="00D136BB">
        <w:rPr>
          <w:lang w:val="es-ES"/>
        </w:rPr>
        <w:t xml:space="preserve"> </w:t>
      </w:r>
      <w:r w:rsidRPr="006B147C">
        <w:rPr>
          <w:lang w:val="es-ES"/>
        </w:rPr>
        <w:t>difusión</w:t>
      </w:r>
      <w:r w:rsidR="00D136BB">
        <w:rPr>
          <w:lang w:val="es-ES"/>
        </w:rPr>
        <w:t xml:space="preserve"> </w:t>
      </w:r>
      <w:r w:rsidRPr="006B147C">
        <w:rPr>
          <w:lang w:val="es-ES"/>
        </w:rPr>
        <w:t>de</w:t>
      </w:r>
      <w:r w:rsidR="00D136BB">
        <w:rPr>
          <w:lang w:val="es-ES"/>
        </w:rPr>
        <w:t xml:space="preserve"> </w:t>
      </w:r>
      <w:r w:rsidRPr="006B147C">
        <w:rPr>
          <w:lang w:val="es-ES"/>
        </w:rPr>
        <w:t>los</w:t>
      </w:r>
      <w:r w:rsidR="00D136BB">
        <w:rPr>
          <w:lang w:val="es-ES"/>
        </w:rPr>
        <w:t xml:space="preserve"> </w:t>
      </w:r>
      <w:r w:rsidRPr="006B147C">
        <w:rPr>
          <w:lang w:val="es-ES"/>
        </w:rPr>
        <w:t>impactos</w:t>
      </w:r>
      <w:r w:rsidR="00D136BB">
        <w:rPr>
          <w:lang w:val="es-ES"/>
        </w:rPr>
        <w:t xml:space="preserve"> </w:t>
      </w:r>
      <w:r w:rsidRPr="006B147C">
        <w:rPr>
          <w:lang w:val="es-ES"/>
        </w:rPr>
        <w:t>alcanzados</w:t>
      </w:r>
      <w:r w:rsidR="00D136BB">
        <w:rPr>
          <w:lang w:val="es-ES"/>
        </w:rPr>
        <w:t xml:space="preserve"> </w:t>
      </w:r>
      <w:r w:rsidRPr="006B147C">
        <w:rPr>
          <w:lang w:val="es-ES"/>
        </w:rPr>
        <w:t>con</w:t>
      </w:r>
      <w:r w:rsidR="00D136BB">
        <w:rPr>
          <w:lang w:val="es-ES"/>
        </w:rPr>
        <w:t xml:space="preserve"> </w:t>
      </w:r>
      <w:r w:rsidRPr="006B147C">
        <w:rPr>
          <w:lang w:val="es-ES"/>
        </w:rPr>
        <w:t>los</w:t>
      </w:r>
      <w:r w:rsidR="00D136BB">
        <w:rPr>
          <w:lang w:val="es-ES"/>
        </w:rPr>
        <w:t xml:space="preserve"> </w:t>
      </w:r>
      <w:r w:rsidRPr="006B147C">
        <w:rPr>
          <w:lang w:val="es-ES"/>
        </w:rPr>
        <w:t>proyectos</w:t>
      </w:r>
      <w:r w:rsidR="00D136BB">
        <w:rPr>
          <w:lang w:val="es-ES"/>
        </w:rPr>
        <w:t xml:space="preserve"> </w:t>
      </w:r>
      <w:r w:rsidRPr="006B147C">
        <w:rPr>
          <w:lang w:val="es-ES"/>
        </w:rPr>
        <w:t>de</w:t>
      </w:r>
      <w:r w:rsidR="00D136BB">
        <w:rPr>
          <w:lang w:val="es-ES"/>
        </w:rPr>
        <w:t xml:space="preserve"> </w:t>
      </w:r>
      <w:r w:rsidRPr="006B147C">
        <w:rPr>
          <w:lang w:val="es-ES"/>
        </w:rPr>
        <w:t>cooperación</w:t>
      </w:r>
      <w:r w:rsidR="00D136BB">
        <w:rPr>
          <w:lang w:val="es-ES"/>
        </w:rPr>
        <w:t xml:space="preserve"> </w:t>
      </w:r>
      <w:r w:rsidRPr="006B147C">
        <w:rPr>
          <w:lang w:val="es-ES"/>
        </w:rPr>
        <w:t>técnica,</w:t>
      </w:r>
      <w:r w:rsidR="00D136BB">
        <w:rPr>
          <w:lang w:val="es-ES"/>
        </w:rPr>
        <w:t xml:space="preserve"> </w:t>
      </w:r>
      <w:r w:rsidRPr="006B147C">
        <w:rPr>
          <w:lang w:val="es-ES"/>
        </w:rPr>
        <w:t>que</w:t>
      </w:r>
      <w:r w:rsidR="00D136BB">
        <w:rPr>
          <w:lang w:val="es-ES"/>
        </w:rPr>
        <w:t xml:space="preserve"> </w:t>
      </w:r>
      <w:r w:rsidRPr="006B147C">
        <w:rPr>
          <w:lang w:val="es-ES"/>
        </w:rPr>
        <w:t>pueda</w:t>
      </w:r>
      <w:r w:rsidR="00D136BB">
        <w:rPr>
          <w:lang w:val="es-ES"/>
        </w:rPr>
        <w:t xml:space="preserve"> </w:t>
      </w:r>
      <w:r w:rsidRPr="006B147C">
        <w:rPr>
          <w:lang w:val="es-ES"/>
        </w:rPr>
        <w:t>servir</w:t>
      </w:r>
      <w:r w:rsidR="00D136BB">
        <w:rPr>
          <w:lang w:val="es-ES"/>
        </w:rPr>
        <w:t xml:space="preserve"> </w:t>
      </w:r>
      <w:r w:rsidRPr="006B147C">
        <w:rPr>
          <w:lang w:val="es-ES"/>
        </w:rPr>
        <w:t>para</w:t>
      </w:r>
      <w:r w:rsidR="00D136BB">
        <w:rPr>
          <w:lang w:val="es-ES"/>
        </w:rPr>
        <w:t xml:space="preserve"> </w:t>
      </w:r>
      <w:r w:rsidRPr="006B147C">
        <w:rPr>
          <w:lang w:val="es-ES"/>
        </w:rPr>
        <w:t>atraer</w:t>
      </w:r>
      <w:r w:rsidR="00D136BB">
        <w:rPr>
          <w:lang w:val="es-ES"/>
        </w:rPr>
        <w:t xml:space="preserve"> </w:t>
      </w:r>
      <w:r w:rsidRPr="006B147C">
        <w:rPr>
          <w:lang w:val="es-ES"/>
        </w:rPr>
        <w:t>socios</w:t>
      </w:r>
      <w:r w:rsidR="00D136BB">
        <w:rPr>
          <w:lang w:val="es-ES"/>
        </w:rPr>
        <w:t xml:space="preserve"> </w:t>
      </w:r>
      <w:r w:rsidRPr="006B147C">
        <w:rPr>
          <w:lang w:val="es-ES"/>
        </w:rPr>
        <w:t>estratégicos,</w:t>
      </w:r>
      <w:r w:rsidR="00D136BB">
        <w:rPr>
          <w:lang w:val="es-ES"/>
        </w:rPr>
        <w:t xml:space="preserve"> </w:t>
      </w:r>
      <w:r w:rsidRPr="006B147C">
        <w:rPr>
          <w:lang w:val="es-ES"/>
        </w:rPr>
        <w:t>tanto</w:t>
      </w:r>
      <w:r w:rsidR="00D136BB">
        <w:rPr>
          <w:lang w:val="es-ES"/>
        </w:rPr>
        <w:t xml:space="preserve"> </w:t>
      </w:r>
      <w:r w:rsidRPr="006B147C">
        <w:rPr>
          <w:lang w:val="es-ES"/>
        </w:rPr>
        <w:t>de</w:t>
      </w:r>
      <w:r w:rsidR="00D136BB">
        <w:rPr>
          <w:lang w:val="es-ES"/>
        </w:rPr>
        <w:t xml:space="preserve"> </w:t>
      </w:r>
      <w:r w:rsidRPr="006B147C">
        <w:rPr>
          <w:lang w:val="es-ES"/>
        </w:rPr>
        <w:t>la</w:t>
      </w:r>
      <w:r w:rsidR="00D136BB">
        <w:rPr>
          <w:lang w:val="es-ES"/>
        </w:rPr>
        <w:t xml:space="preserve"> </w:t>
      </w:r>
      <w:r w:rsidRPr="006B147C">
        <w:rPr>
          <w:lang w:val="es-ES"/>
        </w:rPr>
        <w:t>región</w:t>
      </w:r>
      <w:r w:rsidR="00D136BB">
        <w:rPr>
          <w:lang w:val="es-ES"/>
        </w:rPr>
        <w:t xml:space="preserve"> </w:t>
      </w:r>
      <w:r w:rsidRPr="006B147C">
        <w:rPr>
          <w:lang w:val="es-ES"/>
        </w:rPr>
        <w:t>como</w:t>
      </w:r>
      <w:r w:rsidR="00D136BB">
        <w:rPr>
          <w:lang w:val="es-ES"/>
        </w:rPr>
        <w:t xml:space="preserve"> </w:t>
      </w:r>
      <w:r w:rsidRPr="006B147C">
        <w:rPr>
          <w:lang w:val="es-ES"/>
        </w:rPr>
        <w:t>de</w:t>
      </w:r>
      <w:r w:rsidR="00D136BB">
        <w:rPr>
          <w:lang w:val="es-ES"/>
        </w:rPr>
        <w:t xml:space="preserve"> </w:t>
      </w:r>
      <w:r w:rsidRPr="006B147C">
        <w:rPr>
          <w:lang w:val="es-ES"/>
        </w:rPr>
        <w:t>fuera</w:t>
      </w:r>
      <w:r w:rsidR="00D136BB">
        <w:rPr>
          <w:lang w:val="es-ES"/>
        </w:rPr>
        <w:t xml:space="preserve"> </w:t>
      </w:r>
      <w:r w:rsidRPr="006B147C">
        <w:rPr>
          <w:lang w:val="es-ES"/>
        </w:rPr>
        <w:t>de</w:t>
      </w:r>
      <w:r w:rsidR="00D136BB">
        <w:rPr>
          <w:lang w:val="es-ES"/>
        </w:rPr>
        <w:t xml:space="preserve"> </w:t>
      </w:r>
      <w:r w:rsidRPr="006B147C">
        <w:rPr>
          <w:lang w:val="es-ES"/>
        </w:rPr>
        <w:t>ella,</w:t>
      </w:r>
      <w:r w:rsidR="00D136BB">
        <w:rPr>
          <w:lang w:val="es-ES"/>
        </w:rPr>
        <w:t xml:space="preserve"> </w:t>
      </w:r>
      <w:r w:rsidRPr="006B147C">
        <w:rPr>
          <w:lang w:val="es-ES"/>
        </w:rPr>
        <w:t>para</w:t>
      </w:r>
      <w:r w:rsidR="00D136BB">
        <w:rPr>
          <w:lang w:val="es-ES"/>
        </w:rPr>
        <w:t xml:space="preserve"> </w:t>
      </w:r>
      <w:r w:rsidRPr="006B147C">
        <w:rPr>
          <w:lang w:val="es-ES"/>
        </w:rPr>
        <w:t>contar</w:t>
      </w:r>
      <w:r w:rsidR="00D136BB">
        <w:rPr>
          <w:lang w:val="es-ES"/>
        </w:rPr>
        <w:t xml:space="preserve"> </w:t>
      </w:r>
      <w:r w:rsidRPr="006B147C">
        <w:rPr>
          <w:lang w:val="es-ES"/>
        </w:rPr>
        <w:t>con</w:t>
      </w:r>
      <w:r w:rsidR="00D136BB">
        <w:rPr>
          <w:lang w:val="es-ES"/>
        </w:rPr>
        <w:t xml:space="preserve"> </w:t>
      </w:r>
      <w:r w:rsidRPr="006B147C">
        <w:rPr>
          <w:lang w:val="es-ES"/>
        </w:rPr>
        <w:t>proyectos</w:t>
      </w:r>
      <w:r w:rsidR="00D136BB">
        <w:rPr>
          <w:lang w:val="es-ES"/>
        </w:rPr>
        <w:t xml:space="preserve"> </w:t>
      </w:r>
      <w:r w:rsidRPr="006B147C">
        <w:rPr>
          <w:lang w:val="es-ES"/>
        </w:rPr>
        <w:t>con</w:t>
      </w:r>
      <w:r w:rsidR="00D136BB">
        <w:rPr>
          <w:lang w:val="es-ES"/>
        </w:rPr>
        <w:t xml:space="preserve"> </w:t>
      </w:r>
      <w:r w:rsidRPr="006B147C">
        <w:rPr>
          <w:lang w:val="es-ES"/>
        </w:rPr>
        <w:t>mayor</w:t>
      </w:r>
      <w:r w:rsidR="00D136BB">
        <w:rPr>
          <w:lang w:val="es-ES"/>
        </w:rPr>
        <w:t xml:space="preserve"> </w:t>
      </w:r>
      <w:r w:rsidRPr="006B147C">
        <w:rPr>
          <w:lang w:val="es-ES"/>
        </w:rPr>
        <w:t>beneficio</w:t>
      </w:r>
      <w:r w:rsidR="00D136BB">
        <w:rPr>
          <w:lang w:val="es-ES"/>
        </w:rPr>
        <w:t xml:space="preserve"> </w:t>
      </w:r>
      <w:r w:rsidRPr="006B147C">
        <w:rPr>
          <w:lang w:val="es-ES"/>
        </w:rPr>
        <w:t>e</w:t>
      </w:r>
      <w:r w:rsidR="00D136BB">
        <w:rPr>
          <w:lang w:val="es-ES"/>
        </w:rPr>
        <w:t xml:space="preserve"> </w:t>
      </w:r>
      <w:r w:rsidRPr="006B147C">
        <w:rPr>
          <w:lang w:val="es-ES"/>
        </w:rPr>
        <w:t>impacto.</w:t>
      </w:r>
    </w:p>
    <w:p w14:paraId="652BF83D" w14:textId="60BAA25D" w:rsidR="00BA0DDD" w:rsidRDefault="00BA0DDD" w:rsidP="00BA0DDD">
      <w:pPr>
        <w:pStyle w:val="BodyText"/>
        <w:rPr>
          <w:lang w:val="es-ES"/>
        </w:rPr>
      </w:pPr>
      <w:r w:rsidRPr="006B147C">
        <w:rPr>
          <w:lang w:val="es-ES"/>
        </w:rPr>
        <w:t>Es</w:t>
      </w:r>
      <w:r w:rsidR="00D136BB">
        <w:rPr>
          <w:lang w:val="es-ES"/>
        </w:rPr>
        <w:t xml:space="preserve"> </w:t>
      </w:r>
      <w:r w:rsidRPr="006B147C">
        <w:rPr>
          <w:lang w:val="es-ES"/>
        </w:rPr>
        <w:t>importante</w:t>
      </w:r>
      <w:r w:rsidR="00D136BB">
        <w:rPr>
          <w:lang w:val="es-ES"/>
        </w:rPr>
        <w:t xml:space="preserve"> </w:t>
      </w:r>
      <w:r w:rsidRPr="006B147C">
        <w:rPr>
          <w:lang w:val="es-ES"/>
        </w:rPr>
        <w:t>considerar</w:t>
      </w:r>
      <w:r w:rsidR="00D136BB">
        <w:rPr>
          <w:lang w:val="es-ES"/>
        </w:rPr>
        <w:t xml:space="preserve"> </w:t>
      </w:r>
      <w:r w:rsidRPr="006B147C">
        <w:rPr>
          <w:lang w:val="es-ES"/>
        </w:rPr>
        <w:t>que</w:t>
      </w:r>
      <w:r w:rsidR="00D136BB">
        <w:rPr>
          <w:lang w:val="es-ES"/>
        </w:rPr>
        <w:t xml:space="preserve"> </w:t>
      </w:r>
      <w:r w:rsidRPr="006B147C">
        <w:rPr>
          <w:lang w:val="es-ES"/>
        </w:rPr>
        <w:t>el</w:t>
      </w:r>
      <w:r w:rsidR="00D136BB">
        <w:rPr>
          <w:lang w:val="es-ES"/>
        </w:rPr>
        <w:t xml:space="preserve"> </w:t>
      </w:r>
      <w:r w:rsidRPr="006B147C">
        <w:rPr>
          <w:lang w:val="es-ES"/>
        </w:rPr>
        <w:t>PER</w:t>
      </w:r>
      <w:r w:rsidR="00D136BB">
        <w:rPr>
          <w:lang w:val="es-ES"/>
        </w:rPr>
        <w:t xml:space="preserve"> </w:t>
      </w:r>
      <w:r w:rsidRPr="006B147C">
        <w:rPr>
          <w:lang w:val="es-ES"/>
        </w:rPr>
        <w:t>20</w:t>
      </w:r>
      <w:r>
        <w:rPr>
          <w:lang w:val="es-ES"/>
        </w:rPr>
        <w:t>22</w:t>
      </w:r>
      <w:r w:rsidRPr="006B147C">
        <w:rPr>
          <w:lang w:val="es-ES"/>
        </w:rPr>
        <w:t>-202</w:t>
      </w:r>
      <w:r>
        <w:rPr>
          <w:lang w:val="es-ES"/>
        </w:rPr>
        <w:t>9</w:t>
      </w:r>
      <w:r w:rsidR="00D136BB">
        <w:rPr>
          <w:lang w:val="es-ES"/>
        </w:rPr>
        <w:t xml:space="preserve"> </w:t>
      </w:r>
      <w:r w:rsidRPr="006B147C">
        <w:rPr>
          <w:lang w:val="es-ES"/>
        </w:rPr>
        <w:t>representa</w:t>
      </w:r>
      <w:r w:rsidR="00D136BB">
        <w:rPr>
          <w:lang w:val="es-ES"/>
        </w:rPr>
        <w:t xml:space="preserve"> </w:t>
      </w:r>
      <w:r w:rsidRPr="006B147C">
        <w:rPr>
          <w:lang w:val="es-ES"/>
        </w:rPr>
        <w:t>un</w:t>
      </w:r>
      <w:r w:rsidR="00D136BB">
        <w:rPr>
          <w:lang w:val="es-ES"/>
        </w:rPr>
        <w:t xml:space="preserve"> </w:t>
      </w:r>
      <w:r w:rsidRPr="006B147C">
        <w:rPr>
          <w:lang w:val="es-ES"/>
        </w:rPr>
        <w:t>marco</w:t>
      </w:r>
      <w:r w:rsidR="00D136BB">
        <w:rPr>
          <w:lang w:val="es-ES"/>
        </w:rPr>
        <w:t xml:space="preserve"> </w:t>
      </w:r>
      <w:r w:rsidRPr="006B147C">
        <w:rPr>
          <w:lang w:val="es-ES"/>
        </w:rPr>
        <w:t>base</w:t>
      </w:r>
      <w:r w:rsidR="00D136BB">
        <w:rPr>
          <w:lang w:val="es-ES"/>
        </w:rPr>
        <w:t xml:space="preserve"> </w:t>
      </w:r>
      <w:r w:rsidRPr="006B147C">
        <w:rPr>
          <w:lang w:val="es-ES"/>
        </w:rPr>
        <w:t>que</w:t>
      </w:r>
      <w:r w:rsidR="00D136BB">
        <w:rPr>
          <w:lang w:val="es-ES"/>
        </w:rPr>
        <w:t xml:space="preserve"> </w:t>
      </w:r>
      <w:r w:rsidRPr="006B147C">
        <w:rPr>
          <w:lang w:val="es-ES"/>
        </w:rPr>
        <w:t>es</w:t>
      </w:r>
      <w:r w:rsidR="00D136BB">
        <w:rPr>
          <w:lang w:val="es-ES"/>
        </w:rPr>
        <w:t xml:space="preserve"> </w:t>
      </w:r>
      <w:r w:rsidRPr="006B147C">
        <w:rPr>
          <w:lang w:val="es-ES"/>
        </w:rPr>
        <w:t>dinámico</w:t>
      </w:r>
      <w:r w:rsidR="00D136BB">
        <w:rPr>
          <w:lang w:val="es-ES"/>
        </w:rPr>
        <w:t xml:space="preserve"> </w:t>
      </w:r>
      <w:r w:rsidRPr="006B147C">
        <w:rPr>
          <w:lang w:val="es-ES"/>
        </w:rPr>
        <w:t>y</w:t>
      </w:r>
      <w:r w:rsidR="00D136BB">
        <w:rPr>
          <w:lang w:val="es-ES"/>
        </w:rPr>
        <w:t xml:space="preserve"> </w:t>
      </w:r>
      <w:r w:rsidRPr="006B147C">
        <w:rPr>
          <w:lang w:val="es-ES"/>
        </w:rPr>
        <w:t>que,</w:t>
      </w:r>
      <w:r w:rsidR="00D136BB">
        <w:rPr>
          <w:lang w:val="es-ES"/>
        </w:rPr>
        <w:t xml:space="preserve"> </w:t>
      </w:r>
      <w:r w:rsidRPr="006B147C">
        <w:rPr>
          <w:lang w:val="es-ES"/>
        </w:rPr>
        <w:t>considerando</w:t>
      </w:r>
      <w:r w:rsidR="00D136BB">
        <w:rPr>
          <w:lang w:val="es-ES"/>
        </w:rPr>
        <w:t xml:space="preserve"> </w:t>
      </w:r>
      <w:r w:rsidRPr="006B147C">
        <w:rPr>
          <w:lang w:val="es-ES"/>
        </w:rPr>
        <w:t>las</w:t>
      </w:r>
      <w:r w:rsidR="00D136BB">
        <w:rPr>
          <w:lang w:val="es-ES"/>
        </w:rPr>
        <w:t xml:space="preserve"> </w:t>
      </w:r>
      <w:r w:rsidRPr="006B147C">
        <w:rPr>
          <w:lang w:val="es-ES"/>
        </w:rPr>
        <w:t>condiciones</w:t>
      </w:r>
      <w:r w:rsidR="00D136BB">
        <w:rPr>
          <w:lang w:val="es-ES"/>
        </w:rPr>
        <w:t xml:space="preserve"> </w:t>
      </w:r>
      <w:r w:rsidRPr="006B147C">
        <w:rPr>
          <w:lang w:val="es-ES"/>
        </w:rPr>
        <w:t>y</w:t>
      </w:r>
      <w:r w:rsidR="00D136BB">
        <w:rPr>
          <w:lang w:val="es-ES"/>
        </w:rPr>
        <w:t xml:space="preserve"> </w:t>
      </w:r>
      <w:r w:rsidRPr="006B147C">
        <w:rPr>
          <w:lang w:val="es-ES"/>
        </w:rPr>
        <w:t>necesidades</w:t>
      </w:r>
      <w:r w:rsidR="00D136BB">
        <w:rPr>
          <w:lang w:val="es-ES"/>
        </w:rPr>
        <w:t xml:space="preserve"> </w:t>
      </w:r>
      <w:r w:rsidRPr="006B147C">
        <w:rPr>
          <w:lang w:val="es-ES"/>
        </w:rPr>
        <w:t>que</w:t>
      </w:r>
      <w:r w:rsidR="00D136BB">
        <w:rPr>
          <w:lang w:val="es-ES"/>
        </w:rPr>
        <w:t xml:space="preserve"> </w:t>
      </w:r>
      <w:r w:rsidRPr="006B147C">
        <w:rPr>
          <w:lang w:val="es-ES"/>
        </w:rPr>
        <w:t>la</w:t>
      </w:r>
      <w:r w:rsidR="00D136BB">
        <w:rPr>
          <w:lang w:val="es-ES"/>
        </w:rPr>
        <w:t xml:space="preserve"> </w:t>
      </w:r>
      <w:r w:rsidRPr="006B147C">
        <w:rPr>
          <w:lang w:val="es-ES"/>
        </w:rPr>
        <w:t>región</w:t>
      </w:r>
      <w:r w:rsidR="00D136BB">
        <w:rPr>
          <w:lang w:val="es-ES"/>
        </w:rPr>
        <w:t xml:space="preserve"> </w:t>
      </w:r>
      <w:r w:rsidRPr="006B147C">
        <w:rPr>
          <w:lang w:val="es-ES"/>
        </w:rPr>
        <w:t>presente</w:t>
      </w:r>
      <w:r w:rsidR="00D136BB">
        <w:rPr>
          <w:lang w:val="es-ES"/>
        </w:rPr>
        <w:t xml:space="preserve"> </w:t>
      </w:r>
      <w:r w:rsidRPr="006B147C">
        <w:rPr>
          <w:lang w:val="es-ES"/>
        </w:rPr>
        <w:t>en</w:t>
      </w:r>
      <w:r w:rsidR="00D136BB">
        <w:rPr>
          <w:lang w:val="es-ES"/>
        </w:rPr>
        <w:t xml:space="preserve"> </w:t>
      </w:r>
      <w:r w:rsidRPr="006B147C">
        <w:rPr>
          <w:lang w:val="es-ES"/>
        </w:rPr>
        <w:t>un</w:t>
      </w:r>
      <w:r w:rsidR="00D136BB">
        <w:rPr>
          <w:lang w:val="es-ES"/>
        </w:rPr>
        <w:t xml:space="preserve"> </w:t>
      </w:r>
      <w:r w:rsidRPr="006B147C">
        <w:rPr>
          <w:lang w:val="es-ES"/>
        </w:rPr>
        <w:t>momento</w:t>
      </w:r>
      <w:r w:rsidR="00D136BB">
        <w:rPr>
          <w:lang w:val="es-ES"/>
        </w:rPr>
        <w:t xml:space="preserve"> </w:t>
      </w:r>
      <w:r w:rsidRPr="006B147C">
        <w:rPr>
          <w:lang w:val="es-ES"/>
        </w:rPr>
        <w:t>determinado,</w:t>
      </w:r>
      <w:r w:rsidR="00D136BB">
        <w:rPr>
          <w:lang w:val="es-ES"/>
        </w:rPr>
        <w:t xml:space="preserve"> </w:t>
      </w:r>
      <w:r w:rsidRPr="006B147C">
        <w:rPr>
          <w:lang w:val="es-ES"/>
        </w:rPr>
        <w:t>podrán</w:t>
      </w:r>
      <w:r w:rsidR="00D136BB">
        <w:rPr>
          <w:lang w:val="es-ES"/>
        </w:rPr>
        <w:t xml:space="preserve"> </w:t>
      </w:r>
      <w:r w:rsidRPr="006B147C">
        <w:rPr>
          <w:lang w:val="es-ES"/>
        </w:rPr>
        <w:t>proponerse</w:t>
      </w:r>
      <w:r w:rsidR="00D136BB">
        <w:rPr>
          <w:lang w:val="es-ES"/>
        </w:rPr>
        <w:t xml:space="preserve"> </w:t>
      </w:r>
      <w:r w:rsidRPr="006B147C">
        <w:rPr>
          <w:lang w:val="es-ES"/>
        </w:rPr>
        <w:t>propuestas</w:t>
      </w:r>
      <w:r w:rsidR="00D136BB">
        <w:rPr>
          <w:lang w:val="es-ES"/>
        </w:rPr>
        <w:t xml:space="preserve"> </w:t>
      </w:r>
      <w:r w:rsidRPr="006B147C">
        <w:rPr>
          <w:lang w:val="es-ES"/>
        </w:rPr>
        <w:t>de</w:t>
      </w:r>
      <w:r w:rsidR="00D136BB">
        <w:rPr>
          <w:lang w:val="es-ES"/>
        </w:rPr>
        <w:t xml:space="preserve"> </w:t>
      </w:r>
      <w:r w:rsidRPr="006B147C">
        <w:rPr>
          <w:lang w:val="es-ES"/>
        </w:rPr>
        <w:t>proyectos</w:t>
      </w:r>
      <w:r w:rsidR="00D136BB">
        <w:rPr>
          <w:lang w:val="es-ES"/>
        </w:rPr>
        <w:t xml:space="preserve"> </w:t>
      </w:r>
      <w:r w:rsidRPr="006B147C">
        <w:rPr>
          <w:lang w:val="es-ES"/>
        </w:rPr>
        <w:t>que</w:t>
      </w:r>
      <w:r w:rsidR="00D136BB">
        <w:rPr>
          <w:lang w:val="es-ES"/>
        </w:rPr>
        <w:t xml:space="preserve"> </w:t>
      </w:r>
      <w:r w:rsidRPr="006B147C">
        <w:rPr>
          <w:lang w:val="es-ES"/>
        </w:rPr>
        <w:t>no</w:t>
      </w:r>
      <w:r w:rsidR="00D136BB">
        <w:rPr>
          <w:lang w:val="es-ES"/>
        </w:rPr>
        <w:t xml:space="preserve"> </w:t>
      </w:r>
      <w:r w:rsidRPr="006B147C">
        <w:rPr>
          <w:lang w:val="es-ES"/>
        </w:rPr>
        <w:t>hubieren</w:t>
      </w:r>
      <w:r w:rsidR="00D136BB">
        <w:rPr>
          <w:lang w:val="es-ES"/>
        </w:rPr>
        <w:t xml:space="preserve"> </w:t>
      </w:r>
      <w:r w:rsidRPr="006B147C">
        <w:rPr>
          <w:lang w:val="es-ES"/>
        </w:rPr>
        <w:t>estado</w:t>
      </w:r>
      <w:r w:rsidR="00D136BB">
        <w:rPr>
          <w:lang w:val="es-ES"/>
        </w:rPr>
        <w:t xml:space="preserve"> </w:t>
      </w:r>
      <w:r w:rsidRPr="006B147C">
        <w:rPr>
          <w:lang w:val="es-ES"/>
        </w:rPr>
        <w:t>cubiertos</w:t>
      </w:r>
      <w:r w:rsidR="00D136BB">
        <w:rPr>
          <w:lang w:val="es-ES"/>
        </w:rPr>
        <w:t xml:space="preserve"> </w:t>
      </w:r>
      <w:r w:rsidRPr="006B147C">
        <w:rPr>
          <w:lang w:val="es-ES"/>
        </w:rPr>
        <w:t>en</w:t>
      </w:r>
      <w:r w:rsidR="00D136BB">
        <w:rPr>
          <w:lang w:val="es-ES"/>
        </w:rPr>
        <w:t xml:space="preserve"> </w:t>
      </w:r>
      <w:r w:rsidRPr="006B147C">
        <w:rPr>
          <w:lang w:val="es-ES"/>
        </w:rPr>
        <w:t>este</w:t>
      </w:r>
      <w:r w:rsidR="00D136BB">
        <w:rPr>
          <w:lang w:val="es-ES"/>
        </w:rPr>
        <w:t xml:space="preserve"> </w:t>
      </w:r>
      <w:r w:rsidRPr="006B147C">
        <w:rPr>
          <w:lang w:val="es-ES"/>
        </w:rPr>
        <w:t>documento,</w:t>
      </w:r>
      <w:r w:rsidR="00D136BB">
        <w:rPr>
          <w:lang w:val="es-ES"/>
        </w:rPr>
        <w:t xml:space="preserve"> </w:t>
      </w:r>
      <w:r w:rsidRPr="006B147C">
        <w:rPr>
          <w:lang w:val="es-ES"/>
        </w:rPr>
        <w:t>siempre</w:t>
      </w:r>
      <w:r w:rsidR="00D136BB">
        <w:rPr>
          <w:lang w:val="es-ES"/>
        </w:rPr>
        <w:t xml:space="preserve"> </w:t>
      </w:r>
      <w:r w:rsidRPr="006B147C">
        <w:rPr>
          <w:lang w:val="es-ES"/>
        </w:rPr>
        <w:t>que</w:t>
      </w:r>
      <w:r w:rsidR="00D136BB">
        <w:rPr>
          <w:lang w:val="es-ES"/>
        </w:rPr>
        <w:t xml:space="preserve"> </w:t>
      </w:r>
      <w:r w:rsidRPr="006B147C">
        <w:rPr>
          <w:lang w:val="es-ES"/>
        </w:rPr>
        <w:t>estén</w:t>
      </w:r>
      <w:r w:rsidR="00D136BB">
        <w:rPr>
          <w:lang w:val="es-ES"/>
        </w:rPr>
        <w:t xml:space="preserve"> </w:t>
      </w:r>
      <w:r w:rsidRPr="006B147C">
        <w:rPr>
          <w:lang w:val="es-ES"/>
        </w:rPr>
        <w:t>en</w:t>
      </w:r>
      <w:r w:rsidR="00D136BB">
        <w:rPr>
          <w:lang w:val="es-ES"/>
        </w:rPr>
        <w:t xml:space="preserve"> </w:t>
      </w:r>
      <w:r w:rsidRPr="006B147C">
        <w:rPr>
          <w:lang w:val="es-ES"/>
        </w:rPr>
        <w:t>consonancia</w:t>
      </w:r>
      <w:r w:rsidR="00D136BB">
        <w:rPr>
          <w:lang w:val="es-ES"/>
        </w:rPr>
        <w:t xml:space="preserve"> </w:t>
      </w:r>
      <w:r w:rsidRPr="006B147C">
        <w:rPr>
          <w:lang w:val="es-ES"/>
        </w:rPr>
        <w:t>con</w:t>
      </w:r>
      <w:r w:rsidR="00D136BB">
        <w:rPr>
          <w:lang w:val="es-ES"/>
        </w:rPr>
        <w:t xml:space="preserve"> </w:t>
      </w:r>
      <w:r w:rsidRPr="006B147C">
        <w:rPr>
          <w:lang w:val="es-ES"/>
        </w:rPr>
        <w:t>los</w:t>
      </w:r>
      <w:r w:rsidR="00D136BB">
        <w:rPr>
          <w:lang w:val="es-ES"/>
        </w:rPr>
        <w:t xml:space="preserve"> </w:t>
      </w:r>
      <w:r w:rsidRPr="006B147C">
        <w:rPr>
          <w:lang w:val="es-ES"/>
        </w:rPr>
        <w:t>principios,</w:t>
      </w:r>
      <w:r w:rsidR="00D136BB">
        <w:rPr>
          <w:lang w:val="es-ES"/>
        </w:rPr>
        <w:t xml:space="preserve"> </w:t>
      </w:r>
      <w:r w:rsidRPr="006B147C">
        <w:rPr>
          <w:lang w:val="es-ES"/>
        </w:rPr>
        <w:t>normas</w:t>
      </w:r>
      <w:r w:rsidR="00D136BB">
        <w:rPr>
          <w:lang w:val="es-ES"/>
        </w:rPr>
        <w:t xml:space="preserve"> </w:t>
      </w:r>
      <w:r w:rsidRPr="006B147C">
        <w:rPr>
          <w:lang w:val="es-ES"/>
        </w:rPr>
        <w:t>y</w:t>
      </w:r>
      <w:r w:rsidR="00D136BB">
        <w:rPr>
          <w:lang w:val="es-ES"/>
        </w:rPr>
        <w:t xml:space="preserve"> </w:t>
      </w:r>
      <w:r w:rsidRPr="006B147C">
        <w:rPr>
          <w:lang w:val="es-ES"/>
        </w:rPr>
        <w:t>criterios</w:t>
      </w:r>
      <w:r w:rsidR="00D136BB">
        <w:rPr>
          <w:lang w:val="es-ES"/>
        </w:rPr>
        <w:t xml:space="preserve"> </w:t>
      </w:r>
      <w:r w:rsidRPr="006B147C">
        <w:rPr>
          <w:lang w:val="es-ES"/>
        </w:rPr>
        <w:t>de</w:t>
      </w:r>
      <w:r w:rsidR="00D136BB">
        <w:rPr>
          <w:lang w:val="es-ES"/>
        </w:rPr>
        <w:t xml:space="preserve"> </w:t>
      </w:r>
      <w:r w:rsidRPr="006B147C">
        <w:rPr>
          <w:lang w:val="es-ES"/>
        </w:rPr>
        <w:t>calidad</w:t>
      </w:r>
      <w:r w:rsidR="00D136BB">
        <w:rPr>
          <w:lang w:val="es-ES"/>
        </w:rPr>
        <w:t xml:space="preserve"> </w:t>
      </w:r>
      <w:r w:rsidRPr="006B147C">
        <w:rPr>
          <w:lang w:val="es-ES"/>
        </w:rPr>
        <w:t>del</w:t>
      </w:r>
      <w:r w:rsidR="00D136BB">
        <w:rPr>
          <w:lang w:val="es-ES"/>
        </w:rPr>
        <w:t xml:space="preserve"> </w:t>
      </w:r>
      <w:r w:rsidRPr="006B147C">
        <w:rPr>
          <w:lang w:val="es-ES"/>
        </w:rPr>
        <w:t>Programa</w:t>
      </w:r>
      <w:r w:rsidR="00D136BB">
        <w:rPr>
          <w:lang w:val="es-ES"/>
        </w:rPr>
        <w:t xml:space="preserve"> </w:t>
      </w:r>
      <w:r w:rsidRPr="006B147C">
        <w:rPr>
          <w:lang w:val="es-ES"/>
        </w:rPr>
        <w:t>de</w:t>
      </w:r>
      <w:r w:rsidR="00D136BB">
        <w:rPr>
          <w:lang w:val="es-ES"/>
        </w:rPr>
        <w:t xml:space="preserve"> </w:t>
      </w:r>
      <w:r w:rsidRPr="006B147C">
        <w:rPr>
          <w:lang w:val="es-ES"/>
        </w:rPr>
        <w:t>Cooperación</w:t>
      </w:r>
      <w:r w:rsidR="00D136BB">
        <w:rPr>
          <w:lang w:val="es-ES"/>
        </w:rPr>
        <w:t xml:space="preserve"> </w:t>
      </w:r>
      <w:r w:rsidRPr="006B147C">
        <w:rPr>
          <w:lang w:val="es-ES"/>
        </w:rPr>
        <w:t>Técnica</w:t>
      </w:r>
      <w:r w:rsidR="00D136BB">
        <w:rPr>
          <w:lang w:val="es-ES"/>
        </w:rPr>
        <w:t xml:space="preserve"> </w:t>
      </w:r>
      <w:r w:rsidRPr="006B147C">
        <w:rPr>
          <w:lang w:val="es-ES"/>
        </w:rPr>
        <w:t>del</w:t>
      </w:r>
      <w:r w:rsidR="00D136BB">
        <w:rPr>
          <w:lang w:val="es-ES"/>
        </w:rPr>
        <w:t xml:space="preserve"> </w:t>
      </w:r>
      <w:r w:rsidRPr="006B147C">
        <w:rPr>
          <w:lang w:val="es-ES"/>
        </w:rPr>
        <w:t>OIEA.</w:t>
      </w:r>
    </w:p>
    <w:p w14:paraId="62DF1F10" w14:textId="77777777" w:rsidR="00BA0DDD" w:rsidRDefault="00BA0DDD" w:rsidP="00BA0DDD">
      <w:pPr>
        <w:pStyle w:val="BodyText"/>
        <w:rPr>
          <w:lang w:val="es-ES"/>
        </w:rPr>
      </w:pPr>
    </w:p>
    <w:p w14:paraId="24B7A007" w14:textId="18DC54A6" w:rsidR="00BA0DDD" w:rsidRPr="00561504" w:rsidRDefault="00BA0DDD" w:rsidP="00A56304">
      <w:pPr>
        <w:pStyle w:val="Heading2"/>
      </w:pPr>
      <w:bookmarkStart w:id="7" w:name="_Toc385241543"/>
      <w:r w:rsidRPr="00561504">
        <w:t>ALCANCE</w:t>
      </w:r>
      <w:r w:rsidR="00D136BB">
        <w:t xml:space="preserve"> </w:t>
      </w:r>
      <w:r w:rsidRPr="00561504">
        <w:t>DEL</w:t>
      </w:r>
      <w:r w:rsidR="00D136BB">
        <w:t xml:space="preserve"> </w:t>
      </w:r>
      <w:bookmarkEnd w:id="7"/>
      <w:r w:rsidR="004664E1">
        <w:t>PERFIL ESTRATÉGICO REGIONAL</w:t>
      </w:r>
    </w:p>
    <w:p w14:paraId="3382DFA5" w14:textId="62B618BC" w:rsidR="00BA0DDD" w:rsidRPr="00C36E86" w:rsidRDefault="004664E1" w:rsidP="00BA0DDD">
      <w:pPr>
        <w:pStyle w:val="BodyText"/>
        <w:rPr>
          <w:lang w:val="es-ES"/>
        </w:rPr>
      </w:pPr>
      <w:r>
        <w:rPr>
          <w:lang w:val="es-ES"/>
        </w:rPr>
        <w:t>E</w:t>
      </w:r>
      <w:r w:rsidR="00BA0DDD" w:rsidRPr="00C36E86">
        <w:rPr>
          <w:lang w:val="es-ES"/>
        </w:rPr>
        <w:t>l</w:t>
      </w:r>
      <w:r w:rsidR="00D136BB">
        <w:rPr>
          <w:lang w:val="es-ES"/>
        </w:rPr>
        <w:t xml:space="preserve"> </w:t>
      </w:r>
      <w:r>
        <w:rPr>
          <w:lang w:val="es-ES"/>
        </w:rPr>
        <w:t>presente</w:t>
      </w:r>
      <w:r w:rsidR="00D136BB">
        <w:rPr>
          <w:lang w:val="es-ES"/>
        </w:rPr>
        <w:t xml:space="preserve"> </w:t>
      </w:r>
      <w:r w:rsidR="00BA0DDD" w:rsidRPr="00C36E86">
        <w:rPr>
          <w:lang w:val="es-ES"/>
        </w:rPr>
        <w:t>PER</w:t>
      </w:r>
      <w:r w:rsidR="00D136BB">
        <w:rPr>
          <w:lang w:val="es-ES"/>
        </w:rPr>
        <w:t xml:space="preserve"> </w:t>
      </w:r>
      <w:r>
        <w:rPr>
          <w:lang w:val="es-ES"/>
        </w:rPr>
        <w:t>incluye</w:t>
      </w:r>
      <w:r>
        <w:rPr>
          <w:lang w:val="es-ES"/>
        </w:rPr>
        <w:t xml:space="preserve"> </w:t>
      </w:r>
      <w:r w:rsidR="00BA0DDD" w:rsidRPr="00C36E86">
        <w:rPr>
          <w:lang w:val="es-ES"/>
        </w:rPr>
        <w:t>los</w:t>
      </w:r>
      <w:r w:rsidR="00D136BB">
        <w:rPr>
          <w:lang w:val="es-ES"/>
        </w:rPr>
        <w:t xml:space="preserve"> </w:t>
      </w:r>
      <w:r w:rsidR="00BA0DDD" w:rsidRPr="00C36E86">
        <w:rPr>
          <w:lang w:val="es-ES"/>
        </w:rPr>
        <w:t>siguientes</w:t>
      </w:r>
      <w:r w:rsidR="00D136BB">
        <w:rPr>
          <w:lang w:val="es-ES"/>
        </w:rPr>
        <w:t xml:space="preserve"> </w:t>
      </w:r>
      <w:r w:rsidR="00BA0DDD" w:rsidRPr="00C36E86">
        <w:rPr>
          <w:lang w:val="es-ES"/>
        </w:rPr>
        <w:t>sectores</w:t>
      </w:r>
      <w:r w:rsidR="00D136BB">
        <w:rPr>
          <w:lang w:val="es-ES"/>
        </w:rPr>
        <w:t xml:space="preserve"> </w:t>
      </w:r>
      <w:r w:rsidR="00BA0DDD" w:rsidRPr="00C36E86">
        <w:rPr>
          <w:lang w:val="es-ES"/>
        </w:rPr>
        <w:t>prioritarios</w:t>
      </w:r>
      <w:r w:rsidR="00D136BB">
        <w:rPr>
          <w:lang w:val="es-ES"/>
        </w:rPr>
        <w:t xml:space="preserve"> </w:t>
      </w:r>
      <w:r w:rsidR="00BA0DDD" w:rsidRPr="00C36E86">
        <w:rPr>
          <w:lang w:val="es-ES"/>
        </w:rPr>
        <w:t>de</w:t>
      </w:r>
      <w:r w:rsidR="00D136BB">
        <w:rPr>
          <w:lang w:val="es-ES"/>
        </w:rPr>
        <w:t xml:space="preserve"> </w:t>
      </w:r>
      <w:r w:rsidR="00BA0DDD" w:rsidRPr="00C36E86">
        <w:rPr>
          <w:lang w:val="es-ES"/>
        </w:rPr>
        <w:t>aplicación</w:t>
      </w:r>
      <w:r w:rsidR="00D136BB">
        <w:rPr>
          <w:lang w:val="es-ES"/>
        </w:rPr>
        <w:t xml:space="preserve"> </w:t>
      </w:r>
      <w:r w:rsidR="00BA0DDD" w:rsidRPr="00C36E86">
        <w:rPr>
          <w:lang w:val="es-ES"/>
        </w:rPr>
        <w:t>de</w:t>
      </w:r>
      <w:r w:rsidR="00D136BB">
        <w:rPr>
          <w:lang w:val="es-ES"/>
        </w:rPr>
        <w:t xml:space="preserve"> </w:t>
      </w:r>
      <w:r w:rsidR="00BA0DDD" w:rsidRPr="00C36E86">
        <w:rPr>
          <w:lang w:val="es-ES"/>
        </w:rPr>
        <w:t>las</w:t>
      </w:r>
      <w:r w:rsidR="00D136BB">
        <w:rPr>
          <w:lang w:val="es-ES"/>
        </w:rPr>
        <w:t xml:space="preserve"> </w:t>
      </w:r>
      <w:r w:rsidR="00BA0DDD" w:rsidRPr="00C36E86">
        <w:rPr>
          <w:lang w:val="es-ES"/>
        </w:rPr>
        <w:t>técnicas</w:t>
      </w:r>
      <w:r w:rsidR="00D136BB">
        <w:rPr>
          <w:lang w:val="es-ES"/>
        </w:rPr>
        <w:t xml:space="preserve"> </w:t>
      </w:r>
      <w:r w:rsidR="00BA0DDD" w:rsidRPr="00C36E86">
        <w:rPr>
          <w:lang w:val="es-ES"/>
        </w:rPr>
        <w:t>nucleares:</w:t>
      </w:r>
    </w:p>
    <w:p w14:paraId="3ECA9223" w14:textId="199C5EE2" w:rsidR="00BA0DDD" w:rsidRPr="00C36E86" w:rsidRDefault="00FA640A" w:rsidP="00043EA5">
      <w:pPr>
        <w:pStyle w:val="BodyText"/>
        <w:numPr>
          <w:ilvl w:val="0"/>
          <w:numId w:val="4"/>
        </w:numPr>
        <w:rPr>
          <w:lang w:val="es-ES"/>
        </w:rPr>
      </w:pPr>
      <w:r>
        <w:rPr>
          <w:b/>
          <w:lang w:val="es-ES"/>
        </w:rPr>
        <w:t>Alimentación y agricultura</w:t>
      </w:r>
      <w:r w:rsidR="00BA0DDD" w:rsidRPr="00C36E86">
        <w:rPr>
          <w:lang w:val="es-ES"/>
        </w:rPr>
        <w:t>:</w:t>
      </w:r>
      <w:r w:rsidR="00D136BB">
        <w:rPr>
          <w:lang w:val="es-ES"/>
        </w:rPr>
        <w:t xml:space="preserve"> </w:t>
      </w:r>
      <w:r>
        <w:rPr>
          <w:lang w:val="es-ES"/>
        </w:rPr>
        <w:t xml:space="preserve">seguridad alimentaria, </w:t>
      </w:r>
      <w:r w:rsidR="002028B0" w:rsidRPr="00BB078C">
        <w:rPr>
          <w:szCs w:val="24"/>
          <w:lang w:val="es-ES" w:eastAsia="es-ES"/>
        </w:rPr>
        <w:t>agricul</w:t>
      </w:r>
      <w:r w:rsidR="002028B0">
        <w:rPr>
          <w:szCs w:val="24"/>
          <w:lang w:val="es-ES" w:eastAsia="es-ES"/>
        </w:rPr>
        <w:t>tura,</w:t>
      </w:r>
      <w:r w:rsidR="00D136BB">
        <w:rPr>
          <w:szCs w:val="24"/>
          <w:lang w:val="es-ES" w:eastAsia="es-ES"/>
        </w:rPr>
        <w:t xml:space="preserve"> </w:t>
      </w:r>
      <w:r w:rsidR="002028B0">
        <w:rPr>
          <w:szCs w:val="24"/>
          <w:lang w:val="es-ES" w:eastAsia="es-ES"/>
        </w:rPr>
        <w:t>alimentación,</w:t>
      </w:r>
      <w:r w:rsidR="00D136BB">
        <w:rPr>
          <w:szCs w:val="24"/>
          <w:lang w:val="es-ES" w:eastAsia="es-ES"/>
        </w:rPr>
        <w:t xml:space="preserve"> </w:t>
      </w:r>
      <w:r w:rsidR="002028B0">
        <w:rPr>
          <w:szCs w:val="24"/>
          <w:lang w:val="es-ES" w:eastAsia="es-ES"/>
        </w:rPr>
        <w:t>veterinaria</w:t>
      </w:r>
      <w:r w:rsidR="00D136BB">
        <w:rPr>
          <w:szCs w:val="24"/>
          <w:lang w:val="es-ES" w:eastAsia="es-ES"/>
        </w:rPr>
        <w:t xml:space="preserve"> </w:t>
      </w:r>
      <w:r w:rsidR="007F08BA">
        <w:rPr>
          <w:szCs w:val="24"/>
          <w:lang w:val="es-ES" w:eastAsia="es-ES"/>
        </w:rPr>
        <w:t>e</w:t>
      </w:r>
      <w:r w:rsidR="00D136BB">
        <w:rPr>
          <w:szCs w:val="24"/>
          <w:lang w:val="es-ES" w:eastAsia="es-ES"/>
        </w:rPr>
        <w:t xml:space="preserve"> </w:t>
      </w:r>
      <w:r w:rsidR="007F08BA">
        <w:rPr>
          <w:szCs w:val="24"/>
          <w:lang w:val="es-ES" w:eastAsia="es-ES"/>
        </w:rPr>
        <w:t>i</w:t>
      </w:r>
      <w:r w:rsidR="002028B0">
        <w:rPr>
          <w:szCs w:val="24"/>
          <w:lang w:val="es-ES" w:eastAsia="es-ES"/>
        </w:rPr>
        <w:t>ndustrialización.</w:t>
      </w:r>
    </w:p>
    <w:p w14:paraId="7C551058" w14:textId="29B6F019" w:rsidR="00BA0DDD" w:rsidRPr="00C36E86" w:rsidRDefault="00BA0DDD" w:rsidP="00043EA5">
      <w:pPr>
        <w:pStyle w:val="BodyText"/>
        <w:numPr>
          <w:ilvl w:val="0"/>
          <w:numId w:val="4"/>
        </w:numPr>
        <w:rPr>
          <w:lang w:val="es-ES"/>
        </w:rPr>
      </w:pPr>
      <w:r w:rsidRPr="00561504">
        <w:rPr>
          <w:b/>
          <w:lang w:val="es-ES"/>
        </w:rPr>
        <w:t>Salud</w:t>
      </w:r>
      <w:r w:rsidR="00D136BB">
        <w:rPr>
          <w:b/>
          <w:lang w:val="es-ES"/>
        </w:rPr>
        <w:t xml:space="preserve"> </w:t>
      </w:r>
      <w:r w:rsidRPr="00561504">
        <w:rPr>
          <w:b/>
          <w:lang w:val="es-ES"/>
        </w:rPr>
        <w:t>Humana</w:t>
      </w:r>
      <w:r w:rsidRPr="00C36E86">
        <w:rPr>
          <w:lang w:val="es-ES"/>
        </w:rPr>
        <w:t>:</w:t>
      </w:r>
      <w:r w:rsidR="00D136BB">
        <w:rPr>
          <w:lang w:val="es-ES"/>
        </w:rPr>
        <w:t xml:space="preserve"> </w:t>
      </w:r>
      <w:r w:rsidRPr="00C36E86">
        <w:rPr>
          <w:lang w:val="es-ES"/>
        </w:rPr>
        <w:t>medicina</w:t>
      </w:r>
      <w:r w:rsidR="00D136BB">
        <w:rPr>
          <w:lang w:val="es-ES"/>
        </w:rPr>
        <w:t xml:space="preserve"> </w:t>
      </w:r>
      <w:r w:rsidRPr="00C36E86">
        <w:rPr>
          <w:lang w:val="es-ES"/>
        </w:rPr>
        <w:t>nuclear,</w:t>
      </w:r>
      <w:r w:rsidR="00D136BB">
        <w:rPr>
          <w:lang w:val="es-ES"/>
        </w:rPr>
        <w:t xml:space="preserve"> </w:t>
      </w:r>
      <w:r w:rsidRPr="00C36E86">
        <w:rPr>
          <w:lang w:val="es-ES"/>
        </w:rPr>
        <w:t>radioterapia,</w:t>
      </w:r>
      <w:r w:rsidR="00D136BB">
        <w:rPr>
          <w:lang w:val="es-ES"/>
        </w:rPr>
        <w:t xml:space="preserve"> </w:t>
      </w:r>
      <w:r w:rsidRPr="00C36E86">
        <w:rPr>
          <w:lang w:val="es-ES"/>
        </w:rPr>
        <w:t>física</w:t>
      </w:r>
      <w:r w:rsidR="00D136BB">
        <w:rPr>
          <w:lang w:val="es-ES"/>
        </w:rPr>
        <w:t xml:space="preserve"> </w:t>
      </w:r>
      <w:r w:rsidRPr="00C36E86">
        <w:rPr>
          <w:lang w:val="es-ES"/>
        </w:rPr>
        <w:t>médica,</w:t>
      </w:r>
      <w:r w:rsidR="00D136BB">
        <w:rPr>
          <w:lang w:val="es-ES"/>
        </w:rPr>
        <w:t xml:space="preserve"> </w:t>
      </w:r>
      <w:r w:rsidRPr="00C36E86">
        <w:rPr>
          <w:lang w:val="es-ES"/>
        </w:rPr>
        <w:t>radio-farmacia,</w:t>
      </w:r>
      <w:r w:rsidR="00D136BB">
        <w:rPr>
          <w:lang w:val="es-ES"/>
        </w:rPr>
        <w:t xml:space="preserve"> </w:t>
      </w:r>
      <w:r w:rsidRPr="00C36E86">
        <w:rPr>
          <w:lang w:val="es-ES"/>
        </w:rPr>
        <w:t>nutrición.</w:t>
      </w:r>
    </w:p>
    <w:p w14:paraId="6660F2AF" w14:textId="2112A824" w:rsidR="00BA0DDD" w:rsidRPr="00C36E86" w:rsidRDefault="00BA0DDD" w:rsidP="00043EA5">
      <w:pPr>
        <w:pStyle w:val="BodyText"/>
        <w:numPr>
          <w:ilvl w:val="0"/>
          <w:numId w:val="4"/>
        </w:numPr>
        <w:rPr>
          <w:lang w:val="es-ES"/>
        </w:rPr>
      </w:pPr>
      <w:r w:rsidRPr="00561504">
        <w:rPr>
          <w:b/>
          <w:lang w:val="es-ES"/>
        </w:rPr>
        <w:t>Ambiente</w:t>
      </w:r>
      <w:r w:rsidRPr="00C36E86">
        <w:rPr>
          <w:lang w:val="es-ES"/>
        </w:rPr>
        <w:t>:</w:t>
      </w:r>
      <w:r w:rsidR="00D136BB">
        <w:rPr>
          <w:lang w:val="es-ES"/>
        </w:rPr>
        <w:t xml:space="preserve"> </w:t>
      </w:r>
      <w:r w:rsidRPr="00C36E86">
        <w:rPr>
          <w:lang w:val="es-ES"/>
        </w:rPr>
        <w:t>atmósfera,</w:t>
      </w:r>
      <w:r w:rsidR="00D136BB">
        <w:rPr>
          <w:lang w:val="es-ES"/>
        </w:rPr>
        <w:t xml:space="preserve"> </w:t>
      </w:r>
      <w:r w:rsidRPr="00C36E86">
        <w:rPr>
          <w:lang w:val="es-ES"/>
        </w:rPr>
        <w:t>recursos</w:t>
      </w:r>
      <w:r w:rsidR="00D136BB">
        <w:rPr>
          <w:lang w:val="es-ES"/>
        </w:rPr>
        <w:t xml:space="preserve"> </w:t>
      </w:r>
      <w:r w:rsidRPr="00C36E86">
        <w:rPr>
          <w:lang w:val="es-ES"/>
        </w:rPr>
        <w:t>hídricos</w:t>
      </w:r>
      <w:r w:rsidR="00D136BB">
        <w:rPr>
          <w:lang w:val="es-ES"/>
        </w:rPr>
        <w:t xml:space="preserve"> </w:t>
      </w:r>
      <w:r w:rsidR="002028B0">
        <w:rPr>
          <w:lang w:val="es-ES"/>
        </w:rPr>
        <w:t>y</w:t>
      </w:r>
      <w:r w:rsidR="00D136BB">
        <w:rPr>
          <w:lang w:val="es-ES"/>
        </w:rPr>
        <w:t xml:space="preserve"> </w:t>
      </w:r>
      <w:r w:rsidR="002028B0">
        <w:rPr>
          <w:lang w:val="es-ES"/>
        </w:rPr>
        <w:t>suelos</w:t>
      </w:r>
      <w:r w:rsidRPr="00C36E86">
        <w:rPr>
          <w:lang w:val="es-ES"/>
        </w:rPr>
        <w:t>.</w:t>
      </w:r>
      <w:r w:rsidR="00D136BB">
        <w:rPr>
          <w:lang w:val="es-ES"/>
        </w:rPr>
        <w:t xml:space="preserve"> </w:t>
      </w:r>
    </w:p>
    <w:p w14:paraId="304B0103" w14:textId="5E9E9A50" w:rsidR="00BA0DDD" w:rsidRPr="00C36E86" w:rsidRDefault="00BA0DDD" w:rsidP="00043EA5">
      <w:pPr>
        <w:pStyle w:val="BodyText"/>
        <w:numPr>
          <w:ilvl w:val="0"/>
          <w:numId w:val="4"/>
        </w:numPr>
        <w:rPr>
          <w:lang w:val="es-ES"/>
        </w:rPr>
      </w:pPr>
      <w:r w:rsidRPr="00561504">
        <w:rPr>
          <w:b/>
          <w:lang w:val="es-ES"/>
        </w:rPr>
        <w:t>Energía</w:t>
      </w:r>
      <w:r w:rsidRPr="00C36E86">
        <w:rPr>
          <w:lang w:val="es-ES"/>
        </w:rPr>
        <w:t>:</w:t>
      </w:r>
      <w:r w:rsidR="00D136BB">
        <w:rPr>
          <w:lang w:val="es-ES"/>
        </w:rPr>
        <w:t xml:space="preserve"> </w:t>
      </w:r>
      <w:r w:rsidR="002028B0">
        <w:rPr>
          <w:lang w:val="es-ES"/>
        </w:rPr>
        <w:t>generación</w:t>
      </w:r>
      <w:r w:rsidR="00D136BB">
        <w:rPr>
          <w:lang w:val="es-ES"/>
        </w:rPr>
        <w:t xml:space="preserve"> </w:t>
      </w:r>
      <w:r w:rsidR="002028B0">
        <w:rPr>
          <w:lang w:val="es-ES"/>
        </w:rPr>
        <w:t>de</w:t>
      </w:r>
      <w:r w:rsidR="00D136BB">
        <w:rPr>
          <w:lang w:val="es-ES"/>
        </w:rPr>
        <w:t xml:space="preserve"> </w:t>
      </w:r>
      <w:r w:rsidRPr="00C36E86">
        <w:rPr>
          <w:lang w:val="es-ES"/>
        </w:rPr>
        <w:t>energía</w:t>
      </w:r>
      <w:r w:rsidR="00D136BB">
        <w:rPr>
          <w:lang w:val="es-ES"/>
        </w:rPr>
        <w:t xml:space="preserve"> </w:t>
      </w:r>
      <w:r w:rsidR="002028B0">
        <w:rPr>
          <w:lang w:val="es-ES"/>
        </w:rPr>
        <w:t>eléctrica</w:t>
      </w:r>
      <w:r w:rsidR="00D136BB">
        <w:rPr>
          <w:lang w:val="es-ES"/>
        </w:rPr>
        <w:t xml:space="preserve"> </w:t>
      </w:r>
      <w:r w:rsidRPr="00C36E86">
        <w:rPr>
          <w:lang w:val="es-ES"/>
        </w:rPr>
        <w:t>y</w:t>
      </w:r>
      <w:r w:rsidR="00D136BB">
        <w:rPr>
          <w:lang w:val="es-ES"/>
        </w:rPr>
        <w:t xml:space="preserve"> </w:t>
      </w:r>
      <w:r w:rsidRPr="00C36E86">
        <w:rPr>
          <w:lang w:val="es-ES"/>
        </w:rPr>
        <w:t>reactores</w:t>
      </w:r>
      <w:r w:rsidR="00D136BB">
        <w:rPr>
          <w:lang w:val="es-ES"/>
        </w:rPr>
        <w:t xml:space="preserve"> </w:t>
      </w:r>
      <w:r w:rsidRPr="00C36E86">
        <w:rPr>
          <w:lang w:val="es-ES"/>
        </w:rPr>
        <w:t>de</w:t>
      </w:r>
      <w:r w:rsidR="00D136BB">
        <w:rPr>
          <w:lang w:val="es-ES"/>
        </w:rPr>
        <w:t xml:space="preserve"> </w:t>
      </w:r>
      <w:r w:rsidRPr="00C36E86">
        <w:rPr>
          <w:lang w:val="es-ES"/>
        </w:rPr>
        <w:t>investigación.</w:t>
      </w:r>
    </w:p>
    <w:p w14:paraId="487296F9" w14:textId="22C5702E" w:rsidR="00BA0DDD" w:rsidRPr="00C36E86" w:rsidRDefault="00BA0DDD" w:rsidP="00043EA5">
      <w:pPr>
        <w:pStyle w:val="BodyText"/>
        <w:numPr>
          <w:ilvl w:val="0"/>
          <w:numId w:val="4"/>
        </w:numPr>
        <w:rPr>
          <w:lang w:val="es-ES"/>
        </w:rPr>
      </w:pPr>
      <w:r w:rsidRPr="00561504">
        <w:rPr>
          <w:b/>
          <w:lang w:val="es-ES"/>
        </w:rPr>
        <w:t>Seguridad</w:t>
      </w:r>
      <w:r w:rsidR="00D136BB">
        <w:rPr>
          <w:b/>
          <w:lang w:val="es-ES"/>
        </w:rPr>
        <w:t xml:space="preserve"> </w:t>
      </w:r>
      <w:r w:rsidRPr="00561504">
        <w:rPr>
          <w:b/>
          <w:lang w:val="es-ES"/>
        </w:rPr>
        <w:t>Radiológica</w:t>
      </w:r>
      <w:r w:rsidRPr="00C36E86">
        <w:rPr>
          <w:lang w:val="es-ES"/>
        </w:rPr>
        <w:t>:</w:t>
      </w:r>
      <w:r w:rsidR="00D136BB">
        <w:rPr>
          <w:lang w:val="es-ES"/>
        </w:rPr>
        <w:t xml:space="preserve"> </w:t>
      </w:r>
      <w:r w:rsidR="002028B0">
        <w:rPr>
          <w:lang w:val="es-ES"/>
        </w:rPr>
        <w:t>aspectos</w:t>
      </w:r>
      <w:r w:rsidR="00D136BB">
        <w:rPr>
          <w:lang w:val="es-ES"/>
        </w:rPr>
        <w:t xml:space="preserve"> </w:t>
      </w:r>
      <w:r w:rsidR="002028B0">
        <w:rPr>
          <w:szCs w:val="24"/>
          <w:lang w:val="es-ES" w:eastAsia="es-ES"/>
        </w:rPr>
        <w:t>regulatorios,</w:t>
      </w:r>
      <w:r w:rsidR="00D136BB">
        <w:rPr>
          <w:szCs w:val="24"/>
          <w:lang w:val="es-ES" w:eastAsia="es-ES"/>
        </w:rPr>
        <w:t xml:space="preserve"> </w:t>
      </w:r>
      <w:r w:rsidR="002028B0" w:rsidRPr="00BB078C">
        <w:rPr>
          <w:szCs w:val="24"/>
          <w:lang w:val="es-ES" w:eastAsia="es-ES"/>
        </w:rPr>
        <w:t>protección</w:t>
      </w:r>
      <w:r w:rsidR="00D136BB">
        <w:rPr>
          <w:szCs w:val="24"/>
          <w:lang w:val="es-ES" w:eastAsia="es-ES"/>
        </w:rPr>
        <w:t xml:space="preserve"> </w:t>
      </w:r>
      <w:r w:rsidR="002028B0">
        <w:rPr>
          <w:szCs w:val="24"/>
          <w:lang w:val="es-ES" w:eastAsia="es-ES"/>
        </w:rPr>
        <w:t>radiológica,</w:t>
      </w:r>
      <w:r w:rsidR="00D136BB">
        <w:rPr>
          <w:szCs w:val="24"/>
          <w:lang w:val="es-ES" w:eastAsia="es-ES"/>
        </w:rPr>
        <w:t xml:space="preserve"> </w:t>
      </w:r>
      <w:r w:rsidR="002028B0">
        <w:rPr>
          <w:szCs w:val="24"/>
          <w:lang w:val="es-ES" w:eastAsia="es-ES"/>
        </w:rPr>
        <w:t>incluyendo</w:t>
      </w:r>
      <w:r w:rsidR="00D136BB">
        <w:rPr>
          <w:szCs w:val="24"/>
          <w:lang w:val="es-ES" w:eastAsia="es-ES"/>
        </w:rPr>
        <w:t xml:space="preserve"> </w:t>
      </w:r>
      <w:r w:rsidR="002028B0">
        <w:rPr>
          <w:szCs w:val="24"/>
          <w:lang w:val="es-ES" w:eastAsia="es-ES"/>
        </w:rPr>
        <w:t>los</w:t>
      </w:r>
      <w:r w:rsidR="00D136BB">
        <w:rPr>
          <w:szCs w:val="24"/>
          <w:lang w:val="es-ES" w:eastAsia="es-ES"/>
        </w:rPr>
        <w:t xml:space="preserve"> </w:t>
      </w:r>
      <w:r w:rsidR="002028B0">
        <w:rPr>
          <w:szCs w:val="24"/>
          <w:lang w:val="es-ES" w:eastAsia="es-ES"/>
        </w:rPr>
        <w:t>trabajadores</w:t>
      </w:r>
      <w:r w:rsidR="002028B0" w:rsidRPr="00BB078C">
        <w:rPr>
          <w:szCs w:val="24"/>
          <w:lang w:val="es-ES" w:eastAsia="es-ES"/>
        </w:rPr>
        <w:t>,</w:t>
      </w:r>
      <w:r w:rsidR="00D136BB">
        <w:rPr>
          <w:szCs w:val="24"/>
          <w:lang w:val="es-ES" w:eastAsia="es-ES"/>
        </w:rPr>
        <w:t xml:space="preserve"> </w:t>
      </w:r>
      <w:r w:rsidR="002028B0">
        <w:rPr>
          <w:szCs w:val="24"/>
          <w:lang w:val="es-ES" w:eastAsia="es-ES"/>
        </w:rPr>
        <w:t>paciente,</w:t>
      </w:r>
      <w:r w:rsidR="00D136BB">
        <w:rPr>
          <w:szCs w:val="24"/>
          <w:lang w:val="es-ES" w:eastAsia="es-ES"/>
        </w:rPr>
        <w:t xml:space="preserve"> </w:t>
      </w:r>
      <w:r w:rsidR="002028B0" w:rsidRPr="00BB078C">
        <w:rPr>
          <w:szCs w:val="24"/>
          <w:lang w:val="es-ES" w:eastAsia="es-ES"/>
        </w:rPr>
        <w:t>público</w:t>
      </w:r>
      <w:r w:rsidR="00D136BB">
        <w:rPr>
          <w:szCs w:val="24"/>
          <w:lang w:val="es-ES" w:eastAsia="es-ES"/>
        </w:rPr>
        <w:t xml:space="preserve"> </w:t>
      </w:r>
      <w:r w:rsidR="002028B0">
        <w:rPr>
          <w:szCs w:val="24"/>
          <w:lang w:val="es-ES" w:eastAsia="es-ES"/>
        </w:rPr>
        <w:t>y</w:t>
      </w:r>
      <w:r w:rsidR="00D136BB">
        <w:rPr>
          <w:szCs w:val="24"/>
          <w:lang w:val="es-ES" w:eastAsia="es-ES"/>
        </w:rPr>
        <w:t xml:space="preserve"> </w:t>
      </w:r>
      <w:r w:rsidR="002028B0" w:rsidRPr="00BB078C">
        <w:rPr>
          <w:szCs w:val="24"/>
          <w:lang w:val="es-ES" w:eastAsia="es-ES"/>
        </w:rPr>
        <w:t>ambiente</w:t>
      </w:r>
      <w:r w:rsidRPr="00C36E86">
        <w:rPr>
          <w:lang w:val="es-ES"/>
        </w:rPr>
        <w:t>.</w:t>
      </w:r>
    </w:p>
    <w:p w14:paraId="6F16A1DA" w14:textId="12D4A7EE" w:rsidR="00BA0DDD" w:rsidRDefault="00BA0DDD" w:rsidP="00043EA5">
      <w:pPr>
        <w:pStyle w:val="BodyText"/>
        <w:numPr>
          <w:ilvl w:val="0"/>
          <w:numId w:val="4"/>
        </w:numPr>
        <w:rPr>
          <w:lang w:val="es-ES"/>
        </w:rPr>
      </w:pPr>
      <w:r w:rsidRPr="00807A3E">
        <w:rPr>
          <w:b/>
          <w:lang w:val="es-ES"/>
        </w:rPr>
        <w:t>Tecnología</w:t>
      </w:r>
      <w:r w:rsidR="00D136BB">
        <w:rPr>
          <w:b/>
          <w:lang w:val="es-ES"/>
        </w:rPr>
        <w:t xml:space="preserve"> </w:t>
      </w:r>
      <w:r w:rsidRPr="00807A3E">
        <w:rPr>
          <w:b/>
          <w:lang w:val="es-ES"/>
        </w:rPr>
        <w:t>con</w:t>
      </w:r>
      <w:r w:rsidR="00D136BB">
        <w:rPr>
          <w:b/>
          <w:lang w:val="es-ES"/>
        </w:rPr>
        <w:t xml:space="preserve"> </w:t>
      </w:r>
      <w:r w:rsidRPr="00807A3E">
        <w:rPr>
          <w:b/>
          <w:lang w:val="es-ES"/>
        </w:rPr>
        <w:t>Radiación:</w:t>
      </w:r>
      <w:r w:rsidR="00D136BB">
        <w:rPr>
          <w:b/>
          <w:lang w:val="es-ES"/>
        </w:rPr>
        <w:t xml:space="preserve"> </w:t>
      </w:r>
      <w:r w:rsidR="002028B0">
        <w:rPr>
          <w:bCs/>
          <w:lang w:val="es-ES"/>
        </w:rPr>
        <w:t>agua,</w:t>
      </w:r>
      <w:r w:rsidR="00D136BB">
        <w:rPr>
          <w:bCs/>
          <w:lang w:val="es-ES"/>
        </w:rPr>
        <w:t xml:space="preserve"> </w:t>
      </w:r>
      <w:r w:rsidRPr="00807A3E">
        <w:rPr>
          <w:lang w:val="es-ES"/>
        </w:rPr>
        <w:t>tecnología</w:t>
      </w:r>
      <w:r w:rsidR="00D136BB">
        <w:rPr>
          <w:lang w:val="es-ES"/>
        </w:rPr>
        <w:t xml:space="preserve"> </w:t>
      </w:r>
      <w:r w:rsidR="002028B0">
        <w:rPr>
          <w:szCs w:val="24"/>
          <w:lang w:val="es-ES" w:eastAsia="es-ES"/>
        </w:rPr>
        <w:t>ambiente,</w:t>
      </w:r>
      <w:r w:rsidR="00D136BB">
        <w:rPr>
          <w:szCs w:val="24"/>
          <w:lang w:val="es-ES" w:eastAsia="es-ES"/>
        </w:rPr>
        <w:t xml:space="preserve"> </w:t>
      </w:r>
      <w:r w:rsidR="002028B0">
        <w:rPr>
          <w:szCs w:val="24"/>
          <w:lang w:val="es-ES" w:eastAsia="es-ES"/>
        </w:rPr>
        <w:t>ingeniería</w:t>
      </w:r>
      <w:r w:rsidR="00D136BB">
        <w:rPr>
          <w:szCs w:val="24"/>
          <w:lang w:val="es-ES" w:eastAsia="es-ES"/>
        </w:rPr>
        <w:t xml:space="preserve"> </w:t>
      </w:r>
      <w:r w:rsidR="002028B0">
        <w:rPr>
          <w:szCs w:val="24"/>
          <w:lang w:val="es-ES" w:eastAsia="es-ES"/>
        </w:rPr>
        <w:t>costera,</w:t>
      </w:r>
      <w:r w:rsidR="00D136BB">
        <w:rPr>
          <w:szCs w:val="24"/>
          <w:lang w:val="es-ES" w:eastAsia="es-ES"/>
        </w:rPr>
        <w:t xml:space="preserve"> </w:t>
      </w:r>
      <w:r w:rsidR="002028B0">
        <w:rPr>
          <w:szCs w:val="24"/>
          <w:lang w:val="es-ES" w:eastAsia="es-ES"/>
        </w:rPr>
        <w:t>materiales</w:t>
      </w:r>
      <w:r w:rsidR="00D136BB">
        <w:rPr>
          <w:szCs w:val="24"/>
          <w:lang w:val="es-ES" w:eastAsia="es-ES"/>
        </w:rPr>
        <w:t xml:space="preserve"> </w:t>
      </w:r>
      <w:r w:rsidR="002028B0">
        <w:rPr>
          <w:szCs w:val="24"/>
          <w:lang w:val="es-ES" w:eastAsia="es-ES"/>
        </w:rPr>
        <w:t>avanzados,</w:t>
      </w:r>
      <w:r w:rsidR="00D136BB">
        <w:rPr>
          <w:szCs w:val="24"/>
          <w:lang w:val="es-ES" w:eastAsia="es-ES"/>
        </w:rPr>
        <w:t xml:space="preserve"> </w:t>
      </w:r>
      <w:r w:rsidR="002028B0">
        <w:rPr>
          <w:szCs w:val="24"/>
          <w:lang w:val="es-ES" w:eastAsia="es-ES"/>
        </w:rPr>
        <w:t>medicina,</w:t>
      </w:r>
      <w:r w:rsidR="00D136BB">
        <w:rPr>
          <w:szCs w:val="24"/>
          <w:lang w:val="es-ES" w:eastAsia="es-ES"/>
        </w:rPr>
        <w:t xml:space="preserve"> </w:t>
      </w:r>
      <w:r w:rsidR="002028B0">
        <w:rPr>
          <w:szCs w:val="24"/>
          <w:lang w:val="es-ES" w:eastAsia="es-ES"/>
        </w:rPr>
        <w:t>patrimonio</w:t>
      </w:r>
      <w:r w:rsidR="00D136BB">
        <w:rPr>
          <w:szCs w:val="24"/>
          <w:lang w:val="es-ES" w:eastAsia="es-ES"/>
        </w:rPr>
        <w:t xml:space="preserve"> </w:t>
      </w:r>
      <w:r w:rsidR="002028B0">
        <w:rPr>
          <w:szCs w:val="24"/>
          <w:lang w:val="es-ES" w:eastAsia="es-ES"/>
        </w:rPr>
        <w:t>cultural,</w:t>
      </w:r>
      <w:r w:rsidR="00D136BB">
        <w:rPr>
          <w:szCs w:val="24"/>
          <w:lang w:val="es-ES" w:eastAsia="es-ES"/>
        </w:rPr>
        <w:t xml:space="preserve"> </w:t>
      </w:r>
      <w:r w:rsidR="002028B0">
        <w:rPr>
          <w:szCs w:val="24"/>
          <w:lang w:val="es-ES" w:eastAsia="es-ES"/>
        </w:rPr>
        <w:t>procesos</w:t>
      </w:r>
      <w:r w:rsidR="00D136BB">
        <w:rPr>
          <w:szCs w:val="24"/>
          <w:lang w:val="es-ES" w:eastAsia="es-ES"/>
        </w:rPr>
        <w:t xml:space="preserve"> </w:t>
      </w:r>
      <w:r w:rsidR="002028B0">
        <w:rPr>
          <w:szCs w:val="24"/>
          <w:lang w:val="es-ES" w:eastAsia="es-ES"/>
        </w:rPr>
        <w:t>industriales,</w:t>
      </w:r>
      <w:r w:rsidR="00D136BB">
        <w:rPr>
          <w:szCs w:val="24"/>
          <w:lang w:val="es-ES" w:eastAsia="es-ES"/>
        </w:rPr>
        <w:t xml:space="preserve"> </w:t>
      </w:r>
      <w:r w:rsidR="002028B0">
        <w:rPr>
          <w:szCs w:val="24"/>
          <w:lang w:val="es-ES" w:eastAsia="es-ES"/>
        </w:rPr>
        <w:t>recursos</w:t>
      </w:r>
      <w:r w:rsidR="00D136BB">
        <w:rPr>
          <w:szCs w:val="24"/>
          <w:lang w:val="es-ES" w:eastAsia="es-ES"/>
        </w:rPr>
        <w:t xml:space="preserve"> </w:t>
      </w:r>
      <w:r w:rsidR="002028B0">
        <w:rPr>
          <w:szCs w:val="24"/>
          <w:lang w:val="es-ES" w:eastAsia="es-ES"/>
        </w:rPr>
        <w:t>naturales,</w:t>
      </w:r>
      <w:r w:rsidR="00D136BB">
        <w:rPr>
          <w:szCs w:val="24"/>
          <w:lang w:val="es-ES" w:eastAsia="es-ES"/>
        </w:rPr>
        <w:t xml:space="preserve"> </w:t>
      </w:r>
      <w:r w:rsidR="002028B0">
        <w:rPr>
          <w:szCs w:val="24"/>
          <w:lang w:val="es-ES" w:eastAsia="es-ES"/>
        </w:rPr>
        <w:t>tecnologías</w:t>
      </w:r>
      <w:r w:rsidR="00D136BB">
        <w:rPr>
          <w:szCs w:val="24"/>
          <w:lang w:val="es-ES" w:eastAsia="es-ES"/>
        </w:rPr>
        <w:t xml:space="preserve"> </w:t>
      </w:r>
      <w:r w:rsidR="002028B0">
        <w:rPr>
          <w:szCs w:val="24"/>
          <w:lang w:val="es-ES" w:eastAsia="es-ES"/>
        </w:rPr>
        <w:t>de</w:t>
      </w:r>
      <w:r w:rsidR="00D136BB">
        <w:rPr>
          <w:szCs w:val="24"/>
          <w:lang w:val="es-ES" w:eastAsia="es-ES"/>
        </w:rPr>
        <w:t xml:space="preserve"> </w:t>
      </w:r>
      <w:r w:rsidR="002028B0">
        <w:rPr>
          <w:szCs w:val="24"/>
          <w:lang w:val="es-ES" w:eastAsia="es-ES"/>
        </w:rPr>
        <w:t>inspección</w:t>
      </w:r>
      <w:r w:rsidRPr="00E10EC4">
        <w:rPr>
          <w:lang w:val="es-ES"/>
        </w:rPr>
        <w:t>,</w:t>
      </w:r>
    </w:p>
    <w:p w14:paraId="524C0867" w14:textId="77777777" w:rsidR="007E07ED" w:rsidRPr="00807A3E" w:rsidRDefault="007E07ED" w:rsidP="007E07ED">
      <w:pPr>
        <w:pStyle w:val="BodyText"/>
        <w:ind w:left="930"/>
        <w:rPr>
          <w:lang w:val="es-ES"/>
        </w:rPr>
      </w:pPr>
    </w:p>
    <w:p w14:paraId="49EB39F3" w14:textId="162FFAF0" w:rsidR="00DA479D" w:rsidRPr="00DA479D" w:rsidRDefault="007E07ED" w:rsidP="00A56304">
      <w:pPr>
        <w:pStyle w:val="Heading2"/>
      </w:pPr>
      <w:bookmarkStart w:id="8" w:name="_Toc385241544"/>
      <w:r w:rsidRPr="00561504">
        <w:lastRenderedPageBreak/>
        <w:t>CONTENIDO</w:t>
      </w:r>
      <w:r w:rsidR="00D136BB">
        <w:t xml:space="preserve"> </w:t>
      </w:r>
      <w:r w:rsidRPr="00561504">
        <w:t>DEL</w:t>
      </w:r>
      <w:r w:rsidR="00D136BB">
        <w:t xml:space="preserve"> </w:t>
      </w:r>
      <w:r w:rsidR="004664E1">
        <w:t>PERFIL ESTRATÉGICO REGIONAL</w:t>
      </w:r>
      <w:r w:rsidR="00D136BB">
        <w:t xml:space="preserve"> </w:t>
      </w:r>
      <w:bookmarkEnd w:id="8"/>
    </w:p>
    <w:p w14:paraId="601AF3A5" w14:textId="59CF5FF0" w:rsidR="00EA0293" w:rsidRDefault="00EA0293" w:rsidP="00EA0293">
      <w:pPr>
        <w:spacing w:after="0" w:line="240" w:lineRule="auto"/>
        <w:jc w:val="both"/>
        <w:rPr>
          <w:rFonts w:ascii="Times New Roman" w:eastAsia="Times New Roman" w:hAnsi="Times New Roman"/>
          <w:sz w:val="24"/>
          <w:szCs w:val="24"/>
          <w:lang w:val="es-BO" w:eastAsia="es-ES"/>
        </w:rPr>
      </w:pPr>
      <w:r w:rsidRPr="00BB078C">
        <w:rPr>
          <w:rFonts w:ascii="Times New Roman" w:eastAsia="Times New Roman" w:hAnsi="Times New Roman"/>
          <w:sz w:val="24"/>
          <w:szCs w:val="24"/>
          <w:lang w:val="es-BO" w:eastAsia="es-ES"/>
        </w:rPr>
        <w:t>El</w:t>
      </w:r>
      <w:r w:rsidR="00D136BB">
        <w:rPr>
          <w:rFonts w:ascii="Times New Roman" w:eastAsia="Times New Roman" w:hAnsi="Times New Roman"/>
          <w:sz w:val="24"/>
          <w:szCs w:val="24"/>
          <w:lang w:val="es-BO" w:eastAsia="es-ES"/>
        </w:rPr>
        <w:t xml:space="preserve"> </w:t>
      </w:r>
      <w:r w:rsidR="004664E1">
        <w:rPr>
          <w:rFonts w:ascii="Times New Roman" w:eastAsia="Times New Roman" w:hAnsi="Times New Roman"/>
          <w:sz w:val="24"/>
          <w:szCs w:val="24"/>
          <w:lang w:val="es-BO" w:eastAsia="es-ES"/>
        </w:rPr>
        <w:t>presente documento establece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un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perfil</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analítico</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descriptivo</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las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necesidades</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BO" w:eastAsia="es-ES"/>
        </w:rPr>
        <w:t>o</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problemas</w:t>
      </w:r>
      <w:r w:rsidRPr="00BB078C">
        <w:rPr>
          <w:rFonts w:ascii="Times New Roman" w:eastAsia="Times New Roman" w:hAnsi="Times New Roman"/>
          <w:sz w:val="24"/>
          <w:szCs w:val="24"/>
          <w:vertAlign w:val="superscript"/>
          <w:lang w:val="es-ES" w:eastAsia="es-ES"/>
        </w:rPr>
        <w:footnoteReference w:id="1"/>
      </w:r>
      <w:r w:rsidR="00D136BB">
        <w:rPr>
          <w:rFonts w:ascii="Times New Roman" w:eastAsia="Times New Roman" w:hAnsi="Times New Roman"/>
          <w:sz w:val="24"/>
          <w:szCs w:val="24"/>
          <w:lang w:val="es-ES" w:eastAsia="es-ES"/>
        </w:rPr>
        <w:t xml:space="preserve"> </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más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apremiantes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la</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región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y</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establecerá</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la</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prioridad</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con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la</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que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pueden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ser</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afrontadas</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mediante</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el</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u</w:t>
      </w:r>
      <w:r w:rsidRPr="00BB078C">
        <w:rPr>
          <w:rFonts w:ascii="Times New Roman" w:eastAsia="Times New Roman" w:hAnsi="Times New Roman"/>
          <w:sz w:val="24"/>
          <w:szCs w:val="24"/>
          <w:lang w:val="es-BO" w:eastAsia="es-ES"/>
        </w:rPr>
        <w:t>so</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las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tecnologías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nucleares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disponibles.</w:t>
      </w:r>
      <w:r w:rsidR="00D136BB">
        <w:rPr>
          <w:rFonts w:ascii="Times New Roman" w:eastAsia="Times New Roman" w:hAnsi="Times New Roman"/>
          <w:sz w:val="24"/>
          <w:szCs w:val="24"/>
          <w:lang w:val="es-BO" w:eastAsia="es-ES"/>
        </w:rPr>
        <w:t xml:space="preserve"> </w:t>
      </w:r>
    </w:p>
    <w:p w14:paraId="0501EF04" w14:textId="77777777" w:rsidR="00EA0293" w:rsidRPr="00BB078C" w:rsidRDefault="00EA0293" w:rsidP="00EA0293">
      <w:pPr>
        <w:spacing w:after="0" w:line="240" w:lineRule="auto"/>
        <w:jc w:val="both"/>
        <w:rPr>
          <w:rFonts w:ascii="Times New Roman" w:eastAsia="Times New Roman" w:hAnsi="Times New Roman"/>
          <w:sz w:val="24"/>
          <w:szCs w:val="24"/>
          <w:lang w:val="es-ES" w:eastAsia="es-ES"/>
        </w:rPr>
      </w:pPr>
    </w:p>
    <w:p w14:paraId="363B1969" w14:textId="5944E68D" w:rsidR="00EA0293" w:rsidRDefault="00EA0293" w:rsidP="00EA0293">
      <w:pPr>
        <w:spacing w:after="0" w:line="240" w:lineRule="auto"/>
        <w:jc w:val="both"/>
        <w:rPr>
          <w:rFonts w:ascii="Times New Roman" w:eastAsia="Times New Roman" w:hAnsi="Times New Roman"/>
          <w:bCs/>
          <w:sz w:val="24"/>
          <w:szCs w:val="24"/>
          <w:lang w:val="es-ES" w:eastAsia="es-ES"/>
        </w:rPr>
      </w:pPr>
      <w:r>
        <w:rPr>
          <w:rFonts w:ascii="Times New Roman" w:eastAsia="Times New Roman" w:hAnsi="Times New Roman"/>
          <w:sz w:val="24"/>
          <w:szCs w:val="24"/>
          <w:lang w:val="es-ES" w:eastAsia="es-ES"/>
        </w:rPr>
        <w:t>Para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ello,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se</w:t>
      </w:r>
      <w:r w:rsidR="00D136BB">
        <w:rPr>
          <w:rFonts w:ascii="Times New Roman" w:eastAsia="Times New Roman" w:hAnsi="Times New Roman"/>
          <w:sz w:val="24"/>
          <w:szCs w:val="24"/>
          <w:lang w:val="es-ES" w:eastAsia="es-ES"/>
        </w:rPr>
        <w:t xml:space="preserve"> </w:t>
      </w:r>
      <w:r w:rsidR="004664E1">
        <w:rPr>
          <w:rFonts w:ascii="Times New Roman" w:eastAsia="Times New Roman" w:hAnsi="Times New Roman"/>
          <w:sz w:val="24"/>
          <w:szCs w:val="24"/>
          <w:lang w:val="es-ES" w:eastAsia="es-ES"/>
        </w:rPr>
        <w:t>han invitado</w:t>
      </w:r>
      <w:r w:rsidR="004664E1">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profesionales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los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diferentes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grupos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temáticos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con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objeto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efectuar</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un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análisis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debilidades,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amenazas,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fortalezas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y</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oportunidades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(DAFO)</w:t>
      </w:r>
      <w:r>
        <w:rPr>
          <w:rFonts w:ascii="Times New Roman" w:eastAsia="Times New Roman" w:hAnsi="Times New Roman"/>
          <w:bCs/>
          <w:sz w:val="24"/>
          <w:szCs w:val="24"/>
          <w:lang w:val="es-ES" w:eastAsia="es-ES"/>
        </w:rPr>
        <w:t>.</w:t>
      </w:r>
    </w:p>
    <w:p w14:paraId="144AAA63" w14:textId="77777777" w:rsidR="00EA0293" w:rsidRPr="00BB078C" w:rsidRDefault="00EA0293" w:rsidP="00EA0293">
      <w:pPr>
        <w:spacing w:after="0" w:line="240" w:lineRule="auto"/>
        <w:jc w:val="both"/>
        <w:rPr>
          <w:rFonts w:ascii="Times New Roman" w:eastAsia="Times New Roman" w:hAnsi="Times New Roman"/>
          <w:bCs/>
          <w:sz w:val="24"/>
          <w:szCs w:val="24"/>
          <w:lang w:val="es-ES" w:eastAsia="es-ES"/>
        </w:rPr>
      </w:pPr>
    </w:p>
    <w:p w14:paraId="0F775842" w14:textId="12F16112" w:rsidR="00EA0293" w:rsidRPr="00BB078C" w:rsidRDefault="00EA0293" w:rsidP="00EA0293">
      <w:pPr>
        <w:spacing w:after="0" w:line="240" w:lineRule="auto"/>
        <w:jc w:val="both"/>
        <w:rPr>
          <w:rFonts w:ascii="Times New Roman" w:eastAsia="Times New Roman" w:hAnsi="Times New Roman"/>
          <w:sz w:val="24"/>
          <w:szCs w:val="24"/>
          <w:lang w:val="es-ES" w:eastAsia="pt-BR"/>
        </w:rPr>
      </w:pPr>
      <w:r w:rsidRPr="00BB078C">
        <w:rPr>
          <w:rFonts w:ascii="Times New Roman" w:eastAsia="Times New Roman" w:hAnsi="Times New Roman"/>
          <w:sz w:val="24"/>
          <w:szCs w:val="24"/>
          <w:lang w:val="es-ES" w:eastAsia="pt-BR"/>
        </w:rPr>
        <w:t>Dichos</w:t>
      </w:r>
      <w:r w:rsidR="00D136BB">
        <w:rPr>
          <w:rFonts w:ascii="Times New Roman" w:eastAsia="Times New Roman" w:hAnsi="Times New Roman"/>
          <w:sz w:val="24"/>
          <w:szCs w:val="24"/>
          <w:lang w:val="es-ES" w:eastAsia="pt-BR"/>
        </w:rPr>
        <w:t xml:space="preserve"> </w:t>
      </w:r>
      <w:r>
        <w:rPr>
          <w:rFonts w:ascii="Times New Roman" w:eastAsia="Times New Roman" w:hAnsi="Times New Roman"/>
          <w:sz w:val="24"/>
          <w:szCs w:val="24"/>
          <w:lang w:val="es-ES" w:eastAsia="pt-BR"/>
        </w:rPr>
        <w:t>profesionales</w:t>
      </w:r>
      <w:r w:rsidRPr="00BB078C">
        <w:rPr>
          <w:rFonts w:ascii="Times New Roman" w:eastAsia="Times New Roman" w:hAnsi="Times New Roman"/>
          <w:sz w:val="24"/>
          <w:szCs w:val="24"/>
          <w:lang w:val="es-ES" w:eastAsia="pt-BR"/>
        </w:rPr>
        <w:t>,</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para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efectos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de</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priorización,</w:t>
      </w:r>
      <w:r w:rsidR="00D136BB">
        <w:rPr>
          <w:rFonts w:ascii="Times New Roman" w:eastAsia="Times New Roman" w:hAnsi="Times New Roman"/>
          <w:sz w:val="24"/>
          <w:szCs w:val="24"/>
          <w:lang w:val="es-ES" w:eastAsia="pt-BR"/>
        </w:rPr>
        <w:t xml:space="preserve"> </w:t>
      </w:r>
      <w:r w:rsidR="004664E1">
        <w:rPr>
          <w:rFonts w:ascii="Times New Roman" w:eastAsia="Times New Roman" w:hAnsi="Times New Roman"/>
          <w:sz w:val="24"/>
          <w:szCs w:val="24"/>
          <w:lang w:val="es-ES" w:eastAsia="pt-BR"/>
        </w:rPr>
        <w:t>han otorgado</w:t>
      </w:r>
      <w:r w:rsidR="004664E1">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atributos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específicos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las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necesidades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o</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problemas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relativos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su</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gravedad,</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tiempo,</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extensión,</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relevancia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y</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nivel</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de</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dificultad.</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Los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valores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resultantes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posibilitarán</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una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comparación</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cuantitativa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entre</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ellos,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tomándose</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en</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cuenta,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también,</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los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diferentes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niveles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de</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desarrollo</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w:t>
      </w:r>
      <w:r>
        <w:rPr>
          <w:rFonts w:ascii="Times New Roman" w:eastAsia="Times New Roman" w:hAnsi="Times New Roman"/>
          <w:sz w:val="24"/>
          <w:szCs w:val="24"/>
          <w:lang w:val="es-ES" w:eastAsia="pt-BR"/>
        </w:rPr>
        <w:t>e</w:t>
      </w:r>
      <w:r w:rsidR="00D136BB">
        <w:rPr>
          <w:rFonts w:ascii="Times New Roman" w:eastAsia="Times New Roman" w:hAnsi="Times New Roman"/>
          <w:sz w:val="24"/>
          <w:szCs w:val="24"/>
          <w:lang w:val="es-ES" w:eastAsia="pt-BR"/>
        </w:rPr>
        <w:t xml:space="preserve"> </w:t>
      </w:r>
      <w:r>
        <w:rPr>
          <w:rFonts w:ascii="Times New Roman" w:eastAsia="Times New Roman" w:hAnsi="Times New Roman"/>
          <w:sz w:val="24"/>
          <w:szCs w:val="24"/>
          <w:lang w:val="es-ES" w:eastAsia="pt-BR"/>
        </w:rPr>
        <w:t>cada</w:t>
      </w:r>
      <w:r w:rsidR="00D136BB">
        <w:rPr>
          <w:rFonts w:ascii="Times New Roman" w:eastAsia="Times New Roman" w:hAnsi="Times New Roman"/>
          <w:sz w:val="24"/>
          <w:szCs w:val="24"/>
          <w:lang w:val="es-ES" w:eastAsia="pt-BR"/>
        </w:rPr>
        <w:t xml:space="preserve"> </w:t>
      </w:r>
      <w:r>
        <w:rPr>
          <w:rFonts w:ascii="Times New Roman" w:eastAsia="Times New Roman" w:hAnsi="Times New Roman"/>
          <w:sz w:val="24"/>
          <w:szCs w:val="24"/>
          <w:lang w:val="es-ES" w:eastAsia="pt-BR"/>
        </w:rPr>
        <w:t>país</w:t>
      </w:r>
      <w:r w:rsidR="00D136BB">
        <w:rPr>
          <w:rFonts w:ascii="Times New Roman" w:eastAsia="Times New Roman" w:hAnsi="Times New Roman"/>
          <w:sz w:val="24"/>
          <w:szCs w:val="24"/>
          <w:lang w:val="es-ES" w:eastAsia="pt-BR"/>
        </w:rPr>
        <w:t xml:space="preserve"> </w:t>
      </w:r>
      <w:r>
        <w:rPr>
          <w:rFonts w:ascii="Times New Roman" w:eastAsia="Times New Roman" w:hAnsi="Times New Roman"/>
          <w:sz w:val="24"/>
          <w:szCs w:val="24"/>
          <w:lang w:val="es-ES" w:eastAsia="pt-BR"/>
        </w:rPr>
        <w:t>en</w:t>
      </w:r>
      <w:r w:rsidR="00D136BB">
        <w:rPr>
          <w:rFonts w:ascii="Times New Roman" w:eastAsia="Times New Roman" w:hAnsi="Times New Roman"/>
          <w:sz w:val="24"/>
          <w:szCs w:val="24"/>
          <w:lang w:val="es-ES" w:eastAsia="pt-BR"/>
        </w:rPr>
        <w:t xml:space="preserve"> </w:t>
      </w:r>
      <w:r>
        <w:rPr>
          <w:rFonts w:ascii="Times New Roman" w:eastAsia="Times New Roman" w:hAnsi="Times New Roman"/>
          <w:sz w:val="24"/>
          <w:szCs w:val="24"/>
          <w:lang w:val="es-ES" w:eastAsia="pt-BR"/>
        </w:rPr>
        <w:t>las</w:t>
      </w:r>
      <w:r w:rsidR="00D136BB">
        <w:rPr>
          <w:rFonts w:ascii="Times New Roman" w:eastAsia="Times New Roman" w:hAnsi="Times New Roman"/>
          <w:sz w:val="24"/>
          <w:szCs w:val="24"/>
          <w:lang w:val="es-ES" w:eastAsia="pt-BR"/>
        </w:rPr>
        <w:t xml:space="preserve"> </w:t>
      </w:r>
      <w:r>
        <w:rPr>
          <w:rFonts w:ascii="Times New Roman" w:eastAsia="Times New Roman" w:hAnsi="Times New Roman"/>
          <w:sz w:val="24"/>
          <w:szCs w:val="24"/>
          <w:lang w:val="es-ES" w:eastAsia="pt-BR"/>
        </w:rPr>
        <w:t>áreas</w:t>
      </w:r>
      <w:r w:rsidR="00D136BB">
        <w:rPr>
          <w:rFonts w:ascii="Times New Roman" w:eastAsia="Times New Roman" w:hAnsi="Times New Roman"/>
          <w:sz w:val="24"/>
          <w:szCs w:val="24"/>
          <w:lang w:val="es-ES" w:eastAsia="pt-BR"/>
        </w:rPr>
        <w:t xml:space="preserve"> </w:t>
      </w:r>
      <w:r>
        <w:rPr>
          <w:rFonts w:ascii="Times New Roman" w:eastAsia="Times New Roman" w:hAnsi="Times New Roman"/>
          <w:sz w:val="24"/>
          <w:szCs w:val="24"/>
          <w:lang w:val="es-ES" w:eastAsia="pt-BR"/>
        </w:rPr>
        <w:t>temática</w:t>
      </w:r>
      <w:r w:rsidRPr="00BB078C">
        <w:rPr>
          <w:rFonts w:ascii="Times New Roman" w:eastAsia="Times New Roman" w:hAnsi="Times New Roman"/>
          <w:sz w:val="24"/>
          <w:szCs w:val="24"/>
          <w:lang w:val="es-ES" w:eastAsia="pt-BR"/>
        </w:rPr>
        <w:t>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La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metodología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para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priorización</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se</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presenta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en</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el</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documento</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PER</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Antecedentes,</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Metodología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y</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Proceso</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de</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Elaboración</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del</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PER</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para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América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Latina</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y</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El</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Caribe</w:t>
      </w:r>
      <w:r w:rsidR="00D136BB">
        <w:rPr>
          <w:rFonts w:ascii="Times New Roman" w:eastAsia="Times New Roman" w:hAnsi="Times New Roman"/>
          <w:sz w:val="24"/>
          <w:szCs w:val="24"/>
          <w:lang w:val="es-ES" w:eastAsia="pt-BR"/>
        </w:rPr>
        <w:t xml:space="preserve"> </w:t>
      </w:r>
      <w:r w:rsidRPr="00BB078C">
        <w:rPr>
          <w:rFonts w:ascii="Times New Roman" w:eastAsia="Times New Roman" w:hAnsi="Times New Roman"/>
          <w:sz w:val="24"/>
          <w:szCs w:val="24"/>
          <w:lang w:val="es-ES" w:eastAsia="pt-BR"/>
        </w:rPr>
        <w:t>(a).</w:t>
      </w:r>
      <w:r w:rsidR="00D136BB">
        <w:rPr>
          <w:rFonts w:ascii="Times New Roman" w:eastAsia="Times New Roman" w:hAnsi="Times New Roman"/>
          <w:sz w:val="24"/>
          <w:szCs w:val="24"/>
          <w:vertAlign w:val="superscript"/>
          <w:lang w:val="es-ES" w:eastAsia="pt-BR"/>
        </w:rPr>
        <w:t xml:space="preserve"> </w:t>
      </w:r>
    </w:p>
    <w:p w14:paraId="7081899B" w14:textId="77777777" w:rsidR="00EA0293" w:rsidRPr="00BB078C" w:rsidRDefault="00EA0293" w:rsidP="00EA0293">
      <w:pPr>
        <w:spacing w:after="0" w:line="240" w:lineRule="auto"/>
        <w:jc w:val="both"/>
        <w:rPr>
          <w:rFonts w:ascii="Times New Roman" w:eastAsia="Times New Roman" w:hAnsi="Times New Roman"/>
          <w:sz w:val="24"/>
          <w:szCs w:val="24"/>
          <w:lang w:val="es-ES" w:eastAsia="pt-BR"/>
        </w:rPr>
      </w:pPr>
    </w:p>
    <w:p w14:paraId="3488F0E7" w14:textId="6BF8FEFC" w:rsidR="00EA0293" w:rsidRPr="00BB078C" w:rsidRDefault="00EA0293" w:rsidP="00EA0293">
      <w:pPr>
        <w:spacing w:after="0" w:line="240" w:lineRule="auto"/>
        <w:jc w:val="both"/>
        <w:rPr>
          <w:rFonts w:ascii="Times New Roman" w:eastAsia="Times New Roman" w:hAnsi="Times New Roman"/>
          <w:bCs/>
          <w:sz w:val="24"/>
          <w:szCs w:val="24"/>
          <w:lang w:val="es-ES" w:eastAsia="es-ES"/>
        </w:rPr>
      </w:pPr>
      <w:r w:rsidRPr="00BB078C">
        <w:rPr>
          <w:rFonts w:ascii="Times New Roman" w:eastAsia="Times New Roman" w:hAnsi="Times New Roman"/>
          <w:bCs/>
          <w:sz w:val="24"/>
          <w:szCs w:val="24"/>
          <w:lang w:val="es-ES" w:eastAsia="es-ES"/>
        </w:rPr>
        <w:t>La</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caracterización</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de</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la</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necesidad</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o</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problema</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cont</w:t>
      </w:r>
      <w:r w:rsidR="004664E1">
        <w:rPr>
          <w:rFonts w:ascii="Times New Roman" w:eastAsia="Times New Roman" w:hAnsi="Times New Roman"/>
          <w:bCs/>
          <w:sz w:val="24"/>
          <w:szCs w:val="24"/>
          <w:lang w:val="es-ES" w:eastAsia="es-ES"/>
        </w:rPr>
        <w:t>iene</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los</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siguientes</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elementos:</w:t>
      </w:r>
    </w:p>
    <w:p w14:paraId="048E8F7C" w14:textId="77777777" w:rsidR="00EA0293" w:rsidRPr="00BB078C" w:rsidRDefault="00EA0293" w:rsidP="00EA0293">
      <w:pPr>
        <w:spacing w:after="0" w:line="240" w:lineRule="auto"/>
        <w:jc w:val="both"/>
        <w:rPr>
          <w:rFonts w:ascii="Times New Roman" w:eastAsia="Times New Roman" w:hAnsi="Times New Roman"/>
          <w:bCs/>
          <w:sz w:val="24"/>
          <w:szCs w:val="24"/>
          <w:lang w:val="es-ES" w:eastAsia="es-ES"/>
        </w:rPr>
      </w:pPr>
    </w:p>
    <w:p w14:paraId="6C23390C" w14:textId="594EC729" w:rsidR="00EA0293" w:rsidRPr="00BB078C" w:rsidRDefault="00EA0293" w:rsidP="00FD57B1">
      <w:pPr>
        <w:numPr>
          <w:ilvl w:val="0"/>
          <w:numId w:val="6"/>
        </w:numPr>
        <w:spacing w:after="0" w:line="240" w:lineRule="auto"/>
        <w:contextualSpacing/>
        <w:jc w:val="both"/>
        <w:rPr>
          <w:rFonts w:ascii="Times New Roman" w:eastAsia="Times New Roman" w:hAnsi="Times New Roman"/>
          <w:sz w:val="24"/>
          <w:szCs w:val="24"/>
          <w:lang w:val="es-ES" w:eastAsia="es-ES"/>
        </w:rPr>
      </w:pPr>
      <w:r w:rsidRPr="00BB078C">
        <w:rPr>
          <w:rFonts w:ascii="Times New Roman" w:eastAsia="Times New Roman" w:hAnsi="Times New Roman"/>
          <w:sz w:val="24"/>
          <w:szCs w:val="24"/>
          <w:lang w:val="es-ES" w:eastAsia="es-ES"/>
        </w:rPr>
        <w:t>Una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justificación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la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nece</w:t>
      </w:r>
      <w:r>
        <w:rPr>
          <w:rFonts w:ascii="Times New Roman" w:eastAsia="Times New Roman" w:hAnsi="Times New Roman"/>
          <w:sz w:val="24"/>
          <w:szCs w:val="24"/>
          <w:lang w:val="es-ES" w:eastAsia="es-ES"/>
        </w:rPr>
        <w:t>sidad</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problema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que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describa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claramente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la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situación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que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se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va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abordar.</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En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esta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justificación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s</w:t>
      </w:r>
      <w:r>
        <w:rPr>
          <w:rFonts w:ascii="Times New Roman" w:eastAsia="Times New Roman" w:hAnsi="Times New Roman"/>
          <w:sz w:val="24"/>
          <w:szCs w:val="24"/>
          <w:lang w:val="es-ES" w:eastAsia="es-ES"/>
        </w:rPr>
        <w:t>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debe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establecer</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las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líneas</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base,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cualitativa</w:t>
      </w:r>
      <w:r>
        <w:rPr>
          <w:rFonts w:ascii="Times New Roman" w:eastAsia="Times New Roman" w:hAnsi="Times New Roman"/>
          <w:sz w:val="24"/>
          <w:szCs w:val="24"/>
          <w:lang w:val="es-ES" w:eastAsia="es-ES"/>
        </w:rPr>
        <w:t>s</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y</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cuantitativa</w:t>
      </w:r>
      <w:r>
        <w:rPr>
          <w:rFonts w:ascii="Times New Roman" w:eastAsia="Times New Roman" w:hAnsi="Times New Roman"/>
          <w:sz w:val="24"/>
          <w:szCs w:val="24"/>
          <w:lang w:val="es-ES" w:eastAsia="es-ES"/>
        </w:rPr>
        <w:t>s</w:t>
      </w:r>
      <w:r w:rsidRPr="00BB078C">
        <w:rPr>
          <w:rFonts w:ascii="Times New Roman" w:eastAsia="Times New Roman" w:hAnsi="Times New Roman"/>
          <w:sz w:val="24"/>
          <w:szCs w:val="24"/>
          <w:lang w:val="es-ES" w:eastAsia="es-ES"/>
        </w:rPr>
        <w:t>,</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la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situación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diagnosticada.</w:t>
      </w:r>
    </w:p>
    <w:p w14:paraId="1E50799F" w14:textId="19032904" w:rsidR="00EA0293" w:rsidRPr="00BB078C" w:rsidRDefault="00EA0293" w:rsidP="00FD57B1">
      <w:pPr>
        <w:numPr>
          <w:ilvl w:val="0"/>
          <w:numId w:val="6"/>
        </w:numPr>
        <w:spacing w:after="0" w:line="240" w:lineRule="auto"/>
        <w:contextualSpacing/>
        <w:jc w:val="both"/>
        <w:rPr>
          <w:rFonts w:ascii="Times New Roman" w:eastAsia="Times New Roman" w:hAnsi="Times New Roman"/>
          <w:sz w:val="24"/>
          <w:szCs w:val="24"/>
          <w:lang w:val="es-ES" w:eastAsia="es-ES"/>
        </w:rPr>
      </w:pPr>
      <w:r w:rsidRPr="00BB078C">
        <w:rPr>
          <w:rFonts w:ascii="Times New Roman" w:eastAsia="Times New Roman" w:hAnsi="Times New Roman"/>
          <w:sz w:val="24"/>
          <w:szCs w:val="24"/>
          <w:lang w:val="es-ES" w:eastAsia="es-ES"/>
        </w:rPr>
        <w:t>Un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objetivo</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en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el</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nivel</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estratégico</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que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sea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factible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ser</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alcanzado,</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considerando</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que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tanto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ARCAL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como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PCT</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OIEA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operan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con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ciclos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2</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años</w:t>
      </w:r>
      <w:r w:rsidRPr="00BB078C">
        <w:rPr>
          <w:rFonts w:ascii="Times New Roman" w:eastAsia="Times New Roman" w:hAnsi="Times New Roman"/>
          <w:sz w:val="24"/>
          <w:szCs w:val="24"/>
          <w:lang w:val="es-ES" w:eastAsia="es-ES"/>
        </w:rPr>
        <w:t>,</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acuerdo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su</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vigencia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2022</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2029</w:t>
      </w:r>
      <w:r w:rsidRPr="00BB078C">
        <w:rPr>
          <w:rFonts w:ascii="Times New Roman" w:eastAsia="Times New Roman" w:hAnsi="Times New Roman"/>
          <w:sz w:val="24"/>
          <w:szCs w:val="24"/>
          <w:lang w:val="es-ES" w:eastAsia="es-ES"/>
        </w:rPr>
        <w:t>,</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así</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como</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la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limitación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recursos</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financieros</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disponibles.</w:t>
      </w:r>
    </w:p>
    <w:p w14:paraId="105690C5" w14:textId="6A09D543" w:rsidR="00EA0293" w:rsidRDefault="00EA0293" w:rsidP="00FD57B1">
      <w:pPr>
        <w:numPr>
          <w:ilvl w:val="0"/>
          <w:numId w:val="6"/>
        </w:numPr>
        <w:spacing w:after="0" w:line="240" w:lineRule="auto"/>
        <w:contextualSpacing/>
        <w:jc w:val="both"/>
        <w:rPr>
          <w:rFonts w:ascii="Times New Roman" w:eastAsia="Times New Roman" w:hAnsi="Times New Roman"/>
          <w:sz w:val="24"/>
          <w:szCs w:val="24"/>
          <w:lang w:val="es-ES" w:eastAsia="es-ES"/>
        </w:rPr>
      </w:pPr>
      <w:r w:rsidRPr="00BB078C">
        <w:rPr>
          <w:rFonts w:ascii="Times New Roman" w:eastAsia="Times New Roman" w:hAnsi="Times New Roman"/>
          <w:sz w:val="24"/>
          <w:szCs w:val="24"/>
          <w:lang w:val="es-ES" w:eastAsia="es-ES"/>
        </w:rPr>
        <w:t>Un</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indicador</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resultado</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para</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el</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objetivo</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que</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ES" w:eastAsia="es-ES"/>
        </w:rPr>
        <w:t>per</w:t>
      </w:r>
      <w:r>
        <w:rPr>
          <w:rFonts w:ascii="Times New Roman" w:eastAsia="Times New Roman" w:hAnsi="Times New Roman"/>
          <w:sz w:val="24"/>
          <w:szCs w:val="24"/>
          <w:lang w:val="es-ES" w:eastAsia="es-ES"/>
        </w:rPr>
        <w:t>mita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verificar</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su</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cumplimiento.</w:t>
      </w:r>
    </w:p>
    <w:p w14:paraId="63FC9E65" w14:textId="0CDB90A1" w:rsidR="00EA0293" w:rsidRPr="00BB078C" w:rsidRDefault="00EA0293" w:rsidP="00FD57B1">
      <w:pPr>
        <w:numPr>
          <w:ilvl w:val="0"/>
          <w:numId w:val="6"/>
        </w:numPr>
        <w:spacing w:after="0" w:line="240" w:lineRule="auto"/>
        <w:contextualSpacing/>
        <w:jc w:val="both"/>
        <w:rPr>
          <w:rFonts w:ascii="Times New Roman" w:eastAsia="Times New Roman" w:hAnsi="Times New Roman"/>
          <w:sz w:val="24"/>
          <w:szCs w:val="24"/>
          <w:lang w:val="es-ES" w:eastAsia="es-ES"/>
        </w:rPr>
      </w:pPr>
      <w:r>
        <w:rPr>
          <w:rFonts w:ascii="Times New Roman" w:eastAsia="Times New Roman" w:hAnsi="Times New Roman"/>
          <w:sz w:val="24"/>
          <w:szCs w:val="24"/>
          <w:lang w:val="es-ES" w:eastAsia="es-ES"/>
        </w:rPr>
        <w:t>Una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expectativa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su</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posible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impacto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región.</w:t>
      </w:r>
      <w:r w:rsidR="00D136BB">
        <w:rPr>
          <w:rFonts w:ascii="Times New Roman" w:eastAsia="Times New Roman" w:hAnsi="Times New Roman"/>
          <w:sz w:val="24"/>
          <w:szCs w:val="24"/>
          <w:lang w:val="es-ES" w:eastAsia="es-ES"/>
        </w:rPr>
        <w:t xml:space="preserve"> </w:t>
      </w:r>
    </w:p>
    <w:p w14:paraId="6D5577CF" w14:textId="77777777" w:rsidR="002C21C1" w:rsidRDefault="002C21C1" w:rsidP="00EA0293">
      <w:pPr>
        <w:pStyle w:val="BodyText"/>
        <w:rPr>
          <w:lang w:val="es-ES"/>
        </w:rPr>
      </w:pPr>
    </w:p>
    <w:p w14:paraId="02E2285B" w14:textId="77777777" w:rsidR="00DA479D" w:rsidRPr="00C36E86" w:rsidRDefault="00DA479D" w:rsidP="00EA0293">
      <w:pPr>
        <w:pStyle w:val="BodyText"/>
        <w:rPr>
          <w:lang w:val="es-ES"/>
        </w:rPr>
      </w:pPr>
    </w:p>
    <w:p w14:paraId="3932CAC1" w14:textId="4A5B00FB" w:rsidR="00DA479D" w:rsidRDefault="00DA479D" w:rsidP="00A56304">
      <w:pPr>
        <w:pStyle w:val="Heading2"/>
      </w:pPr>
      <w:bookmarkStart w:id="9" w:name="_Toc385241545"/>
      <w:r w:rsidRPr="00561504">
        <w:t>METODOLOGÍA</w:t>
      </w:r>
      <w:r w:rsidR="00D136BB">
        <w:t xml:space="preserve"> </w:t>
      </w:r>
      <w:r w:rsidR="003D6B4B">
        <w:t>PARA</w:t>
      </w:r>
      <w:r w:rsidR="00D136BB">
        <w:t xml:space="preserve"> </w:t>
      </w:r>
      <w:r w:rsidR="003D6B4B">
        <w:t>LA</w:t>
      </w:r>
      <w:r w:rsidR="00D136BB">
        <w:t xml:space="preserve"> </w:t>
      </w:r>
      <w:r w:rsidR="003D6B4B">
        <w:t>FORMULACIÓN</w:t>
      </w:r>
      <w:r w:rsidR="00D136BB">
        <w:t xml:space="preserve"> </w:t>
      </w:r>
      <w:r w:rsidR="003D6B4B">
        <w:t>DEL</w:t>
      </w:r>
      <w:r w:rsidR="00D136BB">
        <w:t xml:space="preserve"> </w:t>
      </w:r>
      <w:r w:rsidR="004664E1">
        <w:t>PERFIL ESTRATÉGICO REGIONAL</w:t>
      </w:r>
    </w:p>
    <w:p w14:paraId="6C992195" w14:textId="0D994F29" w:rsidR="003D6B4B" w:rsidRPr="00C951F6" w:rsidRDefault="003D6B4B" w:rsidP="003D6B4B">
      <w:pPr>
        <w:spacing w:after="0" w:line="240" w:lineRule="auto"/>
        <w:jc w:val="both"/>
        <w:rPr>
          <w:rFonts w:ascii="Times New Roman" w:eastAsia="Times New Roman" w:hAnsi="Times New Roman"/>
          <w:b/>
          <w:caps/>
          <w:sz w:val="24"/>
          <w:szCs w:val="24"/>
          <w:lang w:val="es-ES" w:eastAsia="es-ES"/>
        </w:rPr>
      </w:pPr>
      <w:r w:rsidRPr="00C951F6">
        <w:rPr>
          <w:rFonts w:ascii="Times New Roman" w:eastAsia="Times New Roman" w:hAnsi="Times New Roman"/>
          <w:sz w:val="24"/>
          <w:szCs w:val="24"/>
          <w:lang w:val="es-ES" w:eastAsia="es-ES"/>
        </w:rPr>
        <w:t>A</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partir</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un</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diagnóstico</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sectorial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regional</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y</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la</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identificación</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las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necesidades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o</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problemas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priorizados,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con</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sus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respectivos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objetivos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estratégicos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e</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indicadores,</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se</w:t>
      </w:r>
      <w:r w:rsidR="00D136BB">
        <w:rPr>
          <w:rFonts w:ascii="Times New Roman" w:eastAsia="Times New Roman" w:hAnsi="Times New Roman"/>
          <w:sz w:val="24"/>
          <w:szCs w:val="24"/>
          <w:lang w:val="es-ES" w:eastAsia="es-ES"/>
        </w:rPr>
        <w:t xml:space="preserve"> </w:t>
      </w:r>
      <w:r w:rsidR="004664E1">
        <w:rPr>
          <w:rFonts w:ascii="Times New Roman" w:eastAsia="Times New Roman" w:hAnsi="Times New Roman"/>
          <w:sz w:val="24"/>
          <w:szCs w:val="24"/>
          <w:lang w:val="es-ES" w:eastAsia="es-ES"/>
        </w:rPr>
        <w:t>ha formulado</w:t>
      </w:r>
      <w:r w:rsidR="004664E1">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el</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PER</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para</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el</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período</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2022-2029,</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tomando</w:t>
      </w:r>
      <w:r w:rsidR="00D136BB">
        <w:rPr>
          <w:rFonts w:ascii="Times New Roman" w:eastAsia="Times New Roman" w:hAnsi="Times New Roman"/>
          <w:sz w:val="24"/>
          <w:szCs w:val="24"/>
          <w:lang w:val="es-ES" w:eastAsia="es-ES"/>
        </w:rPr>
        <w:t xml:space="preserve"> </w:t>
      </w:r>
      <w:r w:rsidRPr="00C951F6">
        <w:rPr>
          <w:rFonts w:ascii="Times New Roman" w:eastAsia="Times New Roman" w:hAnsi="Times New Roman"/>
          <w:sz w:val="24"/>
          <w:szCs w:val="24"/>
          <w:lang w:val="es-ES" w:eastAsia="es-ES"/>
        </w:rPr>
        <w:t>en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cuenta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los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Objetivos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Desarrollo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Sostenible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las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Naciones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Unidas,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para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los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cuales</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tecnología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nuclear</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puede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contribuir,</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acuerdo</w:t>
      </w:r>
      <w:r w:rsidR="00D136BB">
        <w:rPr>
          <w:rFonts w:ascii="Times New Roman" w:eastAsia="Times New Roman" w:hAnsi="Times New Roman"/>
          <w:sz w:val="24"/>
          <w:szCs w:val="24"/>
          <w:lang w:val="es-ES" w:eastAsia="es-ES"/>
        </w:rPr>
        <w:t xml:space="preserve"> </w:t>
      </w:r>
      <w:r w:rsidR="00020638">
        <w:rPr>
          <w:rFonts w:ascii="Times New Roman" w:eastAsia="Times New Roman" w:hAnsi="Times New Roman"/>
          <w:sz w:val="24"/>
          <w:szCs w:val="24"/>
          <w:lang w:val="es-ES" w:eastAsia="es-ES"/>
        </w:rPr>
        <w:t>con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la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orientación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Organismo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Internacional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Energía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Atómica</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(OIEA).</w:t>
      </w:r>
    </w:p>
    <w:p w14:paraId="49AA4F4F" w14:textId="77777777" w:rsidR="003D6B4B" w:rsidRDefault="003D6B4B" w:rsidP="003D6B4B">
      <w:pPr>
        <w:spacing w:after="0" w:line="240" w:lineRule="auto"/>
        <w:jc w:val="both"/>
        <w:rPr>
          <w:rFonts w:ascii="Times New Roman" w:eastAsia="Times New Roman" w:hAnsi="Times New Roman"/>
          <w:dstrike/>
          <w:sz w:val="24"/>
          <w:szCs w:val="24"/>
          <w:lang w:eastAsia="es-ES"/>
        </w:rPr>
      </w:pPr>
    </w:p>
    <w:p w14:paraId="25B15F0B" w14:textId="65D21670" w:rsidR="003D6B4B" w:rsidRDefault="003D6B4B" w:rsidP="003D6B4B">
      <w:pPr>
        <w:spacing w:after="0" w:line="240" w:lineRule="auto"/>
        <w:jc w:val="both"/>
        <w:rPr>
          <w:rFonts w:ascii="Times New Roman" w:eastAsia="Times New Roman" w:hAnsi="Times New Roman"/>
          <w:bCs/>
          <w:sz w:val="24"/>
          <w:szCs w:val="24"/>
          <w:lang w:val="es-BO" w:eastAsia="es-ES"/>
        </w:rPr>
      </w:pPr>
      <w:r>
        <w:rPr>
          <w:rFonts w:ascii="Times New Roman" w:eastAsia="Times New Roman" w:hAnsi="Times New Roman"/>
          <w:sz w:val="24"/>
          <w:szCs w:val="24"/>
          <w:lang w:val="es-ES" w:eastAsia="es-ES"/>
        </w:rPr>
        <w:lastRenderedPageBreak/>
        <w:t>El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proceso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preparación</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del</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PER</w:t>
      </w:r>
      <w:r w:rsidR="00D136BB">
        <w:rPr>
          <w:rFonts w:ascii="Times New Roman" w:eastAsia="Times New Roman" w:hAnsi="Times New Roman"/>
          <w:sz w:val="24"/>
          <w:szCs w:val="24"/>
          <w:lang w:val="es-ES" w:eastAsia="es-ES"/>
        </w:rPr>
        <w:t xml:space="preserve"> </w:t>
      </w:r>
      <w:r w:rsidR="002C0F56">
        <w:rPr>
          <w:rFonts w:ascii="Times New Roman" w:eastAsia="Times New Roman" w:hAnsi="Times New Roman"/>
          <w:sz w:val="24"/>
          <w:szCs w:val="24"/>
          <w:lang w:val="es-ES" w:eastAsia="es-ES"/>
        </w:rPr>
        <w:t>fue</w:t>
      </w:r>
      <w:r w:rsidR="002C0F56">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coordinado</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por</w:t>
      </w:r>
      <w:r w:rsidR="00D136BB">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el</w:t>
      </w:r>
      <w:r w:rsidR="00D136BB">
        <w:rPr>
          <w:rFonts w:ascii="Times New Roman" w:eastAsia="Times New Roman" w:hAnsi="Times New Roman"/>
          <w:sz w:val="24"/>
          <w:szCs w:val="24"/>
          <w:lang w:val="es-ES" w:eastAsia="es-ES"/>
        </w:rPr>
        <w:t xml:space="preserve"> </w:t>
      </w:r>
      <w:r w:rsidRPr="00BB078C">
        <w:rPr>
          <w:rFonts w:ascii="Times New Roman" w:eastAsia="Times New Roman" w:hAnsi="Times New Roman"/>
          <w:sz w:val="24"/>
          <w:szCs w:val="24"/>
          <w:lang w:val="es-BO" w:eastAsia="es-ES"/>
        </w:rPr>
        <w:t>Grupo</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Seguimiento</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y</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Evaluación</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del</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PER,</w:t>
      </w:r>
      <w:r w:rsidR="00D136BB">
        <w:rPr>
          <w:rFonts w:ascii="Times New Roman" w:eastAsia="Times New Roman" w:hAnsi="Times New Roman"/>
          <w:b/>
          <w:sz w:val="24"/>
          <w:szCs w:val="24"/>
          <w:lang w:val="es-BO" w:eastAsia="es-ES"/>
        </w:rPr>
        <w:t xml:space="preserve"> </w:t>
      </w:r>
      <w:r w:rsidRPr="00BB078C">
        <w:rPr>
          <w:rFonts w:ascii="Times New Roman" w:eastAsia="Times New Roman" w:hAnsi="Times New Roman"/>
          <w:bCs/>
          <w:sz w:val="24"/>
          <w:szCs w:val="24"/>
          <w:lang w:val="es-BO" w:eastAsia="es-ES"/>
        </w:rPr>
        <w:t>compuesto</w:t>
      </w:r>
      <w:r w:rsidR="00D136BB">
        <w:rPr>
          <w:rFonts w:ascii="Times New Roman" w:eastAsia="Times New Roman" w:hAnsi="Times New Roman"/>
          <w:bCs/>
          <w:sz w:val="24"/>
          <w:szCs w:val="24"/>
          <w:lang w:val="es-BO" w:eastAsia="es-ES"/>
        </w:rPr>
        <w:t xml:space="preserve"> </w:t>
      </w:r>
      <w:r w:rsidRPr="00BB078C">
        <w:rPr>
          <w:rFonts w:ascii="Times New Roman" w:eastAsia="Times New Roman" w:hAnsi="Times New Roman"/>
          <w:bCs/>
          <w:sz w:val="24"/>
          <w:szCs w:val="24"/>
          <w:lang w:val="es-BO" w:eastAsia="es-ES"/>
        </w:rPr>
        <w:t>por</w:t>
      </w:r>
      <w:r w:rsidR="00D136BB">
        <w:rPr>
          <w:rFonts w:ascii="Times New Roman" w:eastAsia="Times New Roman" w:hAnsi="Times New Roman"/>
          <w:bCs/>
          <w:sz w:val="24"/>
          <w:szCs w:val="24"/>
          <w:lang w:val="es-BO" w:eastAsia="es-ES"/>
        </w:rPr>
        <w:t xml:space="preserve"> </w:t>
      </w:r>
      <w:r w:rsidR="002C0F56">
        <w:rPr>
          <w:rFonts w:ascii="Times New Roman" w:eastAsia="Times New Roman" w:hAnsi="Times New Roman"/>
          <w:bCs/>
          <w:sz w:val="24"/>
          <w:szCs w:val="24"/>
          <w:lang w:val="es-BO" w:eastAsia="es-ES"/>
        </w:rPr>
        <w:t>siete</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Coordinadores</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Nacionales</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de</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ARCAL</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y</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por</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un</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representante</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de</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la</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institución</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CIEMAT,</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de</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España,</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socio</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estratégico</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del</w:t>
      </w:r>
      <w:r w:rsidR="00D136BB">
        <w:rPr>
          <w:rFonts w:ascii="Times New Roman" w:eastAsia="Times New Roman" w:hAnsi="Times New Roman"/>
          <w:bCs/>
          <w:sz w:val="24"/>
          <w:szCs w:val="24"/>
          <w:lang w:val="es-BO" w:eastAsia="es-ES"/>
        </w:rPr>
        <w:t xml:space="preserve"> </w:t>
      </w:r>
      <w:r>
        <w:rPr>
          <w:rFonts w:ascii="Times New Roman" w:eastAsia="Times New Roman" w:hAnsi="Times New Roman"/>
          <w:bCs/>
          <w:sz w:val="24"/>
          <w:szCs w:val="24"/>
          <w:lang w:val="es-BO" w:eastAsia="es-ES"/>
        </w:rPr>
        <w:t>ARCAL.</w:t>
      </w:r>
    </w:p>
    <w:p w14:paraId="2097FE91" w14:textId="77777777" w:rsidR="003D6B4B" w:rsidRPr="00BA3AA0" w:rsidRDefault="003D6B4B" w:rsidP="003D6B4B">
      <w:pPr>
        <w:spacing w:after="0" w:line="240" w:lineRule="auto"/>
        <w:ind w:left="360"/>
        <w:jc w:val="both"/>
        <w:rPr>
          <w:rFonts w:ascii="Times New Roman" w:eastAsia="Times New Roman" w:hAnsi="Times New Roman"/>
          <w:bCs/>
          <w:sz w:val="24"/>
          <w:szCs w:val="24"/>
          <w:lang w:eastAsia="es-ES"/>
        </w:rPr>
      </w:pPr>
    </w:p>
    <w:p w14:paraId="020DC4CA" w14:textId="5369B276" w:rsidR="003D6B4B" w:rsidRPr="00BA3AA0" w:rsidRDefault="003D6B4B" w:rsidP="003D6B4B">
      <w:pPr>
        <w:spacing w:after="0" w:line="240" w:lineRule="auto"/>
        <w:jc w:val="both"/>
        <w:rPr>
          <w:rFonts w:ascii="Times New Roman" w:eastAsia="Times New Roman" w:hAnsi="Times New Roman"/>
          <w:bCs/>
          <w:sz w:val="24"/>
          <w:szCs w:val="24"/>
          <w:lang w:eastAsia="es-ES"/>
        </w:rPr>
      </w:pPr>
      <w:r w:rsidRPr="00BA3AA0">
        <w:rPr>
          <w:rFonts w:ascii="Times New Roman" w:eastAsia="Times New Roman" w:hAnsi="Times New Roman"/>
          <w:bCs/>
          <w:sz w:val="24"/>
          <w:szCs w:val="24"/>
          <w:lang w:eastAsia="es-ES"/>
        </w:rPr>
        <w:t>Para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la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tarea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coordinación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del</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proceso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preparación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del</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PER</w:t>
      </w:r>
      <w:r w:rsidR="002C0F56">
        <w:rPr>
          <w:rFonts w:ascii="Times New Roman" w:eastAsia="Times New Roman" w:hAnsi="Times New Roman"/>
          <w:bCs/>
          <w:sz w:val="24"/>
          <w:szCs w:val="24"/>
          <w:lang w:eastAsia="es-ES"/>
        </w:rPr>
        <w:t>,</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el</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Grupo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S</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y</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w:t>
      </w:r>
      <w:r w:rsidR="00D136BB">
        <w:rPr>
          <w:rFonts w:ascii="Times New Roman" w:eastAsia="Times New Roman" w:hAnsi="Times New Roman"/>
          <w:bCs/>
          <w:sz w:val="24"/>
          <w:szCs w:val="24"/>
          <w:lang w:eastAsia="es-ES"/>
        </w:rPr>
        <w:t xml:space="preserve"> </w:t>
      </w:r>
      <w:r w:rsidR="002C0F56">
        <w:rPr>
          <w:rFonts w:ascii="Times New Roman" w:eastAsia="Times New Roman" w:hAnsi="Times New Roman"/>
          <w:bCs/>
          <w:sz w:val="24"/>
          <w:szCs w:val="24"/>
          <w:lang w:eastAsia="es-ES"/>
        </w:rPr>
        <w:t>contó</w:t>
      </w:r>
      <w:r w:rsidR="002C0F56">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con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el</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apoyo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los</w:t>
      </w:r>
      <w:r w:rsidR="00D136BB">
        <w:rPr>
          <w:rFonts w:ascii="Times New Roman" w:eastAsia="Times New Roman" w:hAnsi="Times New Roman"/>
          <w:bCs/>
          <w:sz w:val="24"/>
          <w:szCs w:val="24"/>
          <w:lang w:eastAsia="es-ES"/>
        </w:rPr>
        <w:t xml:space="preserve"> </w:t>
      </w:r>
      <w:r w:rsidR="00BA3AA0" w:rsidRPr="00BA3AA0">
        <w:rPr>
          <w:rFonts w:ascii="Times New Roman" w:eastAsia="Times New Roman" w:hAnsi="Times New Roman"/>
          <w:bCs/>
          <w:sz w:val="24"/>
          <w:szCs w:val="24"/>
          <w:lang w:eastAsia="es-ES"/>
        </w:rPr>
        <w:t>siguientes</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participantes:</w:t>
      </w:r>
      <w:r w:rsidR="00D136BB">
        <w:rPr>
          <w:rFonts w:ascii="Times New Roman" w:eastAsia="Times New Roman" w:hAnsi="Times New Roman"/>
          <w:bCs/>
          <w:sz w:val="24"/>
          <w:szCs w:val="24"/>
          <w:lang w:eastAsia="es-ES"/>
        </w:rPr>
        <w:t xml:space="preserve"> </w:t>
      </w:r>
    </w:p>
    <w:p w14:paraId="65433121" w14:textId="77777777" w:rsidR="003D6B4B" w:rsidRPr="00BA3AA0" w:rsidRDefault="003D6B4B" w:rsidP="003D6B4B">
      <w:pPr>
        <w:spacing w:after="0" w:line="240" w:lineRule="auto"/>
        <w:jc w:val="both"/>
        <w:rPr>
          <w:rFonts w:ascii="Times New Roman" w:eastAsia="Times New Roman" w:hAnsi="Times New Roman"/>
          <w:bCs/>
          <w:sz w:val="24"/>
          <w:szCs w:val="24"/>
          <w:lang w:eastAsia="es-ES"/>
        </w:rPr>
      </w:pPr>
    </w:p>
    <w:p w14:paraId="5DC09E39" w14:textId="44D4EC50" w:rsidR="003D6B4B" w:rsidRPr="00BA3AA0" w:rsidRDefault="003D6B4B" w:rsidP="00FD57B1">
      <w:pPr>
        <w:numPr>
          <w:ilvl w:val="0"/>
          <w:numId w:val="8"/>
        </w:numPr>
        <w:spacing w:after="0" w:line="240" w:lineRule="auto"/>
        <w:jc w:val="both"/>
        <w:rPr>
          <w:rFonts w:ascii="Times New Roman" w:eastAsia="Times New Roman" w:hAnsi="Times New Roman"/>
          <w:bCs/>
          <w:sz w:val="24"/>
          <w:szCs w:val="24"/>
          <w:lang w:eastAsia="es-ES"/>
        </w:rPr>
      </w:pPr>
      <w:r w:rsidRPr="00BA3AA0">
        <w:rPr>
          <w:rFonts w:ascii="Times New Roman" w:eastAsia="Times New Roman" w:hAnsi="Times New Roman"/>
          <w:bCs/>
          <w:sz w:val="24"/>
          <w:szCs w:val="24"/>
          <w:lang w:eastAsia="es-ES"/>
        </w:rPr>
        <w:t>Un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Experto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Planificación.</w:t>
      </w:r>
    </w:p>
    <w:p w14:paraId="4182DC61" w14:textId="2624F70E" w:rsidR="003D6B4B" w:rsidRPr="00BA3AA0" w:rsidRDefault="003D6B4B" w:rsidP="00FD57B1">
      <w:pPr>
        <w:numPr>
          <w:ilvl w:val="0"/>
          <w:numId w:val="8"/>
        </w:numPr>
        <w:spacing w:after="0" w:line="240" w:lineRule="auto"/>
        <w:jc w:val="both"/>
        <w:rPr>
          <w:rFonts w:ascii="Times New Roman" w:eastAsia="Times New Roman" w:hAnsi="Times New Roman"/>
          <w:bCs/>
          <w:sz w:val="24"/>
          <w:szCs w:val="24"/>
          <w:lang w:eastAsia="es-ES"/>
        </w:rPr>
      </w:pPr>
      <w:r w:rsidRPr="00BA3AA0">
        <w:rPr>
          <w:rFonts w:ascii="Times New Roman" w:eastAsia="Times New Roman" w:hAnsi="Times New Roman"/>
          <w:bCs/>
          <w:sz w:val="24"/>
          <w:szCs w:val="24"/>
          <w:lang w:eastAsia="es-ES"/>
        </w:rPr>
        <w:t>Un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funcionario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del</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OIEA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designado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por</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el</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Director</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la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División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para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América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Latina</w:t>
      </w:r>
    </w:p>
    <w:p w14:paraId="544D4FC0" w14:textId="77777777" w:rsidR="003D6B4B" w:rsidRPr="00BA3AA0" w:rsidRDefault="003D6B4B" w:rsidP="003D6B4B">
      <w:pPr>
        <w:spacing w:after="0" w:line="240" w:lineRule="auto"/>
        <w:jc w:val="both"/>
        <w:rPr>
          <w:rFonts w:ascii="Times New Roman" w:eastAsia="Times New Roman" w:hAnsi="Times New Roman"/>
          <w:bCs/>
          <w:sz w:val="24"/>
          <w:szCs w:val="24"/>
          <w:lang w:eastAsia="es-ES"/>
        </w:rPr>
      </w:pPr>
    </w:p>
    <w:p w14:paraId="34F962C6" w14:textId="2D7B75D2" w:rsidR="003D6B4B" w:rsidRPr="00864DC9" w:rsidRDefault="003D6B4B" w:rsidP="003D6B4B">
      <w:pPr>
        <w:spacing w:after="0" w:line="240" w:lineRule="auto"/>
        <w:jc w:val="both"/>
        <w:rPr>
          <w:rFonts w:ascii="Times New Roman" w:eastAsia="Times New Roman" w:hAnsi="Times New Roman"/>
          <w:bCs/>
          <w:sz w:val="24"/>
          <w:szCs w:val="24"/>
          <w:lang w:val="es-ES" w:eastAsia="es-ES"/>
        </w:rPr>
      </w:pPr>
      <w:r w:rsidRPr="00BA3AA0">
        <w:rPr>
          <w:rFonts w:ascii="Times New Roman" w:eastAsia="Times New Roman" w:hAnsi="Times New Roman"/>
          <w:bCs/>
          <w:sz w:val="24"/>
          <w:szCs w:val="24"/>
          <w:lang w:eastAsia="es-ES"/>
        </w:rPr>
        <w:t>El</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Grupo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de</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Seguimiento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y</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Evaluación</w:t>
      </w:r>
      <w:r w:rsidR="00D136BB">
        <w:rPr>
          <w:rFonts w:ascii="Times New Roman" w:eastAsia="Times New Roman" w:hAnsi="Times New Roman"/>
          <w:bCs/>
          <w:sz w:val="24"/>
          <w:szCs w:val="24"/>
          <w:lang w:eastAsia="es-ES"/>
        </w:rPr>
        <w:t xml:space="preserve"> </w:t>
      </w:r>
      <w:r w:rsidR="002C0F56">
        <w:rPr>
          <w:rFonts w:ascii="Times New Roman" w:eastAsia="Times New Roman" w:hAnsi="Times New Roman"/>
          <w:bCs/>
          <w:sz w:val="24"/>
          <w:szCs w:val="24"/>
          <w:lang w:eastAsia="es-ES"/>
        </w:rPr>
        <w:t>mantuvo</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una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estrecha</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comunicación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con</w:t>
      </w:r>
      <w:r w:rsidR="00D136BB">
        <w:rPr>
          <w:rFonts w:ascii="Times New Roman" w:eastAsia="Times New Roman" w:hAnsi="Times New Roman"/>
          <w:bCs/>
          <w:sz w:val="24"/>
          <w:szCs w:val="24"/>
          <w:lang w:eastAsia="es-ES"/>
        </w:rPr>
        <w:t xml:space="preserve"> </w:t>
      </w:r>
      <w:r w:rsidRPr="00BA3AA0">
        <w:rPr>
          <w:rFonts w:ascii="Times New Roman" w:eastAsia="Times New Roman" w:hAnsi="Times New Roman"/>
          <w:bCs/>
          <w:sz w:val="24"/>
          <w:szCs w:val="24"/>
          <w:lang w:eastAsia="es-ES"/>
        </w:rPr>
        <w:t>el</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Grupo</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Directivo</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de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ARCAL</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a</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los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efectos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de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informar</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sobre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los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trabajos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en</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curso</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y</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recibir</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retroalimentación.</w:t>
      </w:r>
    </w:p>
    <w:p w14:paraId="5E4F2097" w14:textId="77777777" w:rsidR="003D6B4B" w:rsidRPr="00BB078C" w:rsidRDefault="003D6B4B" w:rsidP="003D6B4B">
      <w:pPr>
        <w:spacing w:after="0" w:line="240" w:lineRule="auto"/>
        <w:ind w:left="1005"/>
        <w:rPr>
          <w:rFonts w:ascii="Times New Roman" w:eastAsia="Times New Roman" w:hAnsi="Times New Roman"/>
          <w:b/>
          <w:bCs/>
          <w:sz w:val="24"/>
          <w:szCs w:val="24"/>
          <w:lang w:val="es-ES" w:eastAsia="es-ES"/>
        </w:rPr>
      </w:pPr>
    </w:p>
    <w:p w14:paraId="1CA238D1" w14:textId="3262C4C9" w:rsidR="003D6B4B" w:rsidRPr="00BB078C" w:rsidRDefault="003D6B4B" w:rsidP="003D6B4B">
      <w:pPr>
        <w:spacing w:after="0" w:line="240" w:lineRule="auto"/>
        <w:jc w:val="both"/>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Para</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la</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elaboración</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del</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PER,</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para</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cada</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uno</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de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las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Áreas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Temáticas,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se</w:t>
      </w:r>
      <w:r w:rsidR="00D136BB">
        <w:rPr>
          <w:rFonts w:ascii="Times New Roman" w:eastAsia="Times New Roman" w:hAnsi="Times New Roman"/>
          <w:bCs/>
          <w:sz w:val="24"/>
          <w:szCs w:val="24"/>
          <w:lang w:val="es-ES" w:eastAsia="es-ES"/>
        </w:rPr>
        <w:t xml:space="preserve"> </w:t>
      </w:r>
      <w:r w:rsidR="002C0F56">
        <w:rPr>
          <w:rFonts w:ascii="Times New Roman" w:eastAsia="Times New Roman" w:hAnsi="Times New Roman"/>
          <w:bCs/>
          <w:sz w:val="24"/>
          <w:szCs w:val="24"/>
          <w:lang w:val="es-ES" w:eastAsia="es-ES"/>
        </w:rPr>
        <w:t>ha conformado</w:t>
      </w:r>
      <w:r w:rsidR="002C0F56">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un</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Grupo</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de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Trabajo</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integrado</w:t>
      </w:r>
      <w:r w:rsidR="00D136BB">
        <w:rPr>
          <w:rFonts w:ascii="Times New Roman" w:eastAsia="Times New Roman" w:hAnsi="Times New Roman"/>
          <w:bCs/>
          <w:sz w:val="24"/>
          <w:szCs w:val="24"/>
          <w:lang w:val="es-ES" w:eastAsia="es-ES"/>
        </w:rPr>
        <w:t xml:space="preserve"> </w:t>
      </w:r>
      <w:r w:rsidRPr="00BB078C">
        <w:rPr>
          <w:rFonts w:ascii="Times New Roman" w:eastAsia="Times New Roman" w:hAnsi="Times New Roman"/>
          <w:bCs/>
          <w:sz w:val="24"/>
          <w:szCs w:val="24"/>
          <w:lang w:val="es-ES" w:eastAsia="es-ES"/>
        </w:rPr>
        <w:t>por:</w:t>
      </w:r>
    </w:p>
    <w:p w14:paraId="166A7C5A" w14:textId="169D9AA0" w:rsidR="003D6B4B" w:rsidRPr="00BB078C" w:rsidRDefault="00D136BB" w:rsidP="003D6B4B">
      <w:pPr>
        <w:spacing w:after="0" w:line="240" w:lineRule="auto"/>
        <w:ind w:left="645"/>
        <w:rPr>
          <w:rFonts w:ascii="Times New Roman" w:eastAsia="Times New Roman" w:hAnsi="Times New Roman"/>
          <w:color w:val="000000"/>
          <w:sz w:val="24"/>
          <w:szCs w:val="24"/>
          <w:lang w:val="es-BO" w:eastAsia="es-ES"/>
        </w:rPr>
      </w:pPr>
      <w:r>
        <w:rPr>
          <w:rFonts w:ascii="Times New Roman" w:eastAsia="Times New Roman" w:hAnsi="Times New Roman"/>
          <w:b/>
          <w:bCs/>
          <w:sz w:val="24"/>
          <w:szCs w:val="24"/>
          <w:lang w:val="es-ES" w:eastAsia="es-ES"/>
        </w:rPr>
        <w:t xml:space="preserve"> </w:t>
      </w:r>
    </w:p>
    <w:p w14:paraId="0E3134AE" w14:textId="6127B537" w:rsidR="003D6B4B" w:rsidRPr="00BB078C" w:rsidRDefault="003D6B4B" w:rsidP="00FD57B1">
      <w:pPr>
        <w:numPr>
          <w:ilvl w:val="0"/>
          <w:numId w:val="9"/>
        </w:numPr>
        <w:tabs>
          <w:tab w:val="left" w:pos="57"/>
        </w:tabs>
        <w:spacing w:after="0" w:line="280" w:lineRule="atLeast"/>
        <w:ind w:left="709" w:hanging="425"/>
        <w:jc w:val="both"/>
        <w:rPr>
          <w:rFonts w:ascii="Times New Roman" w:eastAsia="Times New Roman" w:hAnsi="Times New Roman"/>
          <w:sz w:val="24"/>
          <w:szCs w:val="24"/>
          <w:lang w:val="es-BO" w:eastAsia="es-ES"/>
        </w:rPr>
      </w:pPr>
      <w:r>
        <w:rPr>
          <w:rFonts w:ascii="Times New Roman" w:eastAsia="Times New Roman" w:hAnsi="Times New Roman"/>
          <w:sz w:val="24"/>
          <w:szCs w:val="24"/>
          <w:lang w:val="es-BO" w:eastAsia="es-ES"/>
        </w:rPr>
        <w:t>Coordinador</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Área</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Temática</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(CAT).</w:t>
      </w:r>
      <w:r w:rsidR="00D136BB">
        <w:rPr>
          <w:rFonts w:ascii="Times New Roman" w:eastAsia="Times New Roman" w:hAnsi="Times New Roman"/>
          <w:sz w:val="24"/>
          <w:szCs w:val="24"/>
          <w:lang w:val="es-BO" w:eastAsia="es-ES"/>
        </w:rPr>
        <w:t xml:space="preserve"> </w:t>
      </w:r>
    </w:p>
    <w:p w14:paraId="10BEC298" w14:textId="77777777" w:rsidR="003D6B4B" w:rsidRPr="00BB078C" w:rsidRDefault="003D6B4B" w:rsidP="003D6B4B">
      <w:pPr>
        <w:tabs>
          <w:tab w:val="left" w:pos="57"/>
        </w:tabs>
        <w:spacing w:after="0" w:line="280" w:lineRule="atLeast"/>
        <w:ind w:left="709" w:hanging="425"/>
        <w:jc w:val="both"/>
        <w:rPr>
          <w:rFonts w:ascii="Times New Roman" w:eastAsia="Times New Roman" w:hAnsi="Times New Roman"/>
          <w:sz w:val="24"/>
          <w:szCs w:val="24"/>
          <w:lang w:val="es-BO" w:eastAsia="es-ES"/>
        </w:rPr>
      </w:pPr>
    </w:p>
    <w:p w14:paraId="013BEA5C" w14:textId="4EFB4C2B" w:rsidR="003D6B4B" w:rsidRPr="008F4A52" w:rsidRDefault="003D6B4B" w:rsidP="00FD57B1">
      <w:pPr>
        <w:numPr>
          <w:ilvl w:val="0"/>
          <w:numId w:val="9"/>
        </w:numPr>
        <w:spacing w:after="0" w:line="240" w:lineRule="auto"/>
        <w:ind w:left="709" w:hanging="425"/>
        <w:jc w:val="both"/>
        <w:rPr>
          <w:rFonts w:ascii="Times New Roman" w:eastAsia="Times New Roman" w:hAnsi="Times New Roman"/>
          <w:bCs/>
          <w:sz w:val="24"/>
          <w:szCs w:val="24"/>
          <w:lang w:val="es-BO" w:eastAsia="es-ES"/>
        </w:rPr>
      </w:pPr>
      <w:r w:rsidRPr="00BB078C">
        <w:rPr>
          <w:rFonts w:ascii="Times New Roman" w:eastAsia="Times New Roman" w:hAnsi="Times New Roman"/>
          <w:sz w:val="24"/>
          <w:szCs w:val="24"/>
          <w:lang w:val="es-BO" w:eastAsia="es-ES"/>
        </w:rPr>
        <w:t>Personal</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del</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OIEA:</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un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Oficial</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Administración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Programa</w:t>
      </w:r>
      <w:r>
        <w:rPr>
          <w:rFonts w:ascii="Times New Roman" w:eastAsia="Times New Roman" w:hAnsi="Times New Roman"/>
          <w:sz w:val="24"/>
          <w:szCs w:val="24"/>
          <w:lang w:val="es-BO" w:eastAsia="es-ES"/>
        </w:rPr>
        <w:t>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(PMO)</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designado</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por</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el</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Director</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la</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División</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para</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América</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Latina</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para</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prestar</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asistencia</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en</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materia</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gestión</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proyectos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a</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cada</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uno</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los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sectores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temáticos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y</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Oficiales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Técnicos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(TO)</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designados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a</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tal</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efecto</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por</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los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Departamentos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Técnicos</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del</w:t>
      </w:r>
      <w:r w:rsidR="00D136BB">
        <w:rPr>
          <w:rFonts w:ascii="Times New Roman" w:eastAsia="Times New Roman" w:hAnsi="Times New Roman"/>
          <w:sz w:val="24"/>
          <w:szCs w:val="24"/>
          <w:lang w:val="es-BO" w:eastAsia="es-ES"/>
        </w:rPr>
        <w:t xml:space="preserve"> </w:t>
      </w:r>
      <w:r w:rsidRPr="008F4A52">
        <w:rPr>
          <w:rFonts w:ascii="Times New Roman" w:eastAsia="Times New Roman" w:hAnsi="Times New Roman"/>
          <w:sz w:val="24"/>
          <w:szCs w:val="24"/>
          <w:lang w:val="es-BO" w:eastAsia="es-ES"/>
        </w:rPr>
        <w:t>OIEA.</w:t>
      </w:r>
    </w:p>
    <w:p w14:paraId="729A742E" w14:textId="77777777" w:rsidR="003D6B4B" w:rsidRPr="00BB078C" w:rsidRDefault="003D6B4B" w:rsidP="003D6B4B">
      <w:pPr>
        <w:spacing w:after="0" w:line="240" w:lineRule="auto"/>
        <w:ind w:left="709" w:hanging="425"/>
        <w:jc w:val="both"/>
        <w:rPr>
          <w:rFonts w:ascii="Times New Roman" w:eastAsia="Times New Roman" w:hAnsi="Times New Roman"/>
          <w:bCs/>
          <w:sz w:val="24"/>
          <w:szCs w:val="24"/>
          <w:lang w:val="es-BO" w:eastAsia="es-ES"/>
        </w:rPr>
      </w:pPr>
    </w:p>
    <w:p w14:paraId="2A6801B9" w14:textId="46BCE86A" w:rsidR="003D6B4B" w:rsidRPr="00BB078C" w:rsidRDefault="003D6B4B" w:rsidP="00FD57B1">
      <w:pPr>
        <w:numPr>
          <w:ilvl w:val="0"/>
          <w:numId w:val="9"/>
        </w:numPr>
        <w:spacing w:after="0" w:line="240" w:lineRule="auto"/>
        <w:ind w:left="709" w:hanging="425"/>
        <w:jc w:val="both"/>
        <w:rPr>
          <w:rFonts w:ascii="Times New Roman" w:eastAsia="Times New Roman" w:hAnsi="Times New Roman"/>
          <w:bCs/>
          <w:sz w:val="24"/>
          <w:szCs w:val="24"/>
          <w:lang w:val="es-BO" w:eastAsia="es-ES"/>
        </w:rPr>
      </w:pPr>
      <w:r>
        <w:rPr>
          <w:rFonts w:ascii="Times New Roman" w:eastAsia="Times New Roman" w:hAnsi="Times New Roman"/>
          <w:sz w:val="24"/>
          <w:szCs w:val="24"/>
          <w:lang w:val="es-BO" w:eastAsia="es-ES"/>
        </w:rPr>
        <w:t>Dos</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o</w:t>
      </w:r>
      <w:r w:rsidR="00D136BB">
        <w:rPr>
          <w:rFonts w:ascii="Times New Roman" w:eastAsia="Times New Roman" w:hAnsi="Times New Roman"/>
          <w:sz w:val="24"/>
          <w:szCs w:val="24"/>
          <w:lang w:val="es-BO" w:eastAsia="es-ES"/>
        </w:rPr>
        <w:t xml:space="preserve"> </w:t>
      </w:r>
      <w:r>
        <w:rPr>
          <w:rFonts w:ascii="Times New Roman" w:eastAsia="Times New Roman" w:hAnsi="Times New Roman"/>
          <w:sz w:val="24"/>
          <w:szCs w:val="24"/>
          <w:lang w:val="es-BO" w:eastAsia="es-ES"/>
        </w:rPr>
        <w:t>t</w:t>
      </w:r>
      <w:r w:rsidRPr="00BB078C">
        <w:rPr>
          <w:rFonts w:ascii="Times New Roman" w:eastAsia="Times New Roman" w:hAnsi="Times New Roman"/>
          <w:sz w:val="24"/>
          <w:szCs w:val="24"/>
          <w:lang w:val="es-BO" w:eastAsia="es-ES"/>
        </w:rPr>
        <w:t>res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expertos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en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el</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sector</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referencia</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que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van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a</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proporcionar</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un</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balance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especialidades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técnicas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dentro</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de</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una</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misma</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temática,</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éstos</w:t>
      </w:r>
      <w:r w:rsidR="00D136BB">
        <w:rPr>
          <w:rFonts w:ascii="Times New Roman" w:eastAsia="Times New Roman" w:hAnsi="Times New Roman"/>
          <w:sz w:val="24"/>
          <w:szCs w:val="24"/>
          <w:lang w:val="es-BO" w:eastAsia="es-ES"/>
        </w:rPr>
        <w:t xml:space="preserve"> </w:t>
      </w:r>
      <w:r w:rsidRPr="00BB078C">
        <w:rPr>
          <w:rFonts w:ascii="Times New Roman" w:eastAsia="Times New Roman" w:hAnsi="Times New Roman"/>
          <w:sz w:val="24"/>
          <w:szCs w:val="24"/>
          <w:lang w:val="es-BO" w:eastAsia="es-ES"/>
        </w:rPr>
        <w:t>son:</w:t>
      </w:r>
    </w:p>
    <w:p w14:paraId="7316E2B5" w14:textId="77777777" w:rsidR="003D6B4B" w:rsidRPr="00BB078C" w:rsidRDefault="003D6B4B" w:rsidP="003D6B4B">
      <w:pPr>
        <w:spacing w:after="0" w:line="240" w:lineRule="auto"/>
        <w:ind w:hanging="360"/>
        <w:jc w:val="both"/>
        <w:rPr>
          <w:rFonts w:ascii="Times New Roman" w:eastAsia="Times New Roman" w:hAnsi="Times New Roman"/>
          <w:sz w:val="24"/>
          <w:szCs w:val="24"/>
          <w:lang w:val="es-BO" w:eastAsia="es-ES"/>
        </w:rPr>
      </w:pPr>
    </w:p>
    <w:p w14:paraId="5004250D" w14:textId="65836481" w:rsidR="003D6B4B" w:rsidRPr="00BB078C" w:rsidRDefault="003D6B4B" w:rsidP="00FD57B1">
      <w:pPr>
        <w:numPr>
          <w:ilvl w:val="0"/>
          <w:numId w:val="10"/>
        </w:numPr>
        <w:autoSpaceDE w:val="0"/>
        <w:autoSpaceDN w:val="0"/>
        <w:adjustRightInd w:val="0"/>
        <w:spacing w:after="0" w:line="240" w:lineRule="auto"/>
        <w:ind w:left="993" w:hanging="284"/>
        <w:contextualSpacing/>
        <w:jc w:val="both"/>
        <w:rPr>
          <w:rFonts w:ascii="Times New Roman" w:eastAsia="Times New Roman" w:hAnsi="Times New Roman"/>
          <w:sz w:val="24"/>
          <w:szCs w:val="24"/>
          <w:lang w:val="es-ES" w:eastAsia="es-CR"/>
        </w:rPr>
      </w:pPr>
      <w:r w:rsidRPr="00BB078C">
        <w:rPr>
          <w:rFonts w:ascii="Times New Roman" w:eastAsia="Times New Roman" w:hAnsi="Times New Roman"/>
          <w:sz w:val="24"/>
          <w:szCs w:val="24"/>
          <w:lang w:val="es-ES" w:eastAsia="es-CR"/>
        </w:rPr>
        <w:t>Expertos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de</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la</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región</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nominados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a</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través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de</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sus</w:t>
      </w:r>
      <w:r w:rsidR="00D136BB">
        <w:rPr>
          <w:rFonts w:ascii="Times New Roman" w:eastAsia="Times New Roman" w:hAnsi="Times New Roman"/>
          <w:sz w:val="24"/>
          <w:szCs w:val="24"/>
          <w:lang w:val="es-ES" w:eastAsia="es-CR"/>
        </w:rPr>
        <w:t xml:space="preserve"> </w:t>
      </w:r>
      <w:r>
        <w:rPr>
          <w:rFonts w:ascii="Times New Roman" w:eastAsia="Times New Roman" w:hAnsi="Times New Roman"/>
          <w:sz w:val="24"/>
          <w:szCs w:val="24"/>
          <w:lang w:val="es-ES" w:eastAsia="es-CR"/>
        </w:rPr>
        <w:t>C</w:t>
      </w:r>
      <w:r w:rsidRPr="00BB078C">
        <w:rPr>
          <w:rFonts w:ascii="Times New Roman" w:eastAsia="Times New Roman" w:hAnsi="Times New Roman"/>
          <w:sz w:val="24"/>
          <w:szCs w:val="24"/>
          <w:lang w:val="es-ES" w:eastAsia="es-CR"/>
        </w:rPr>
        <w:t>oordinadores</w:t>
      </w:r>
      <w:r w:rsidR="00D136BB">
        <w:rPr>
          <w:rFonts w:ascii="Times New Roman" w:eastAsia="Times New Roman" w:hAnsi="Times New Roman"/>
          <w:sz w:val="24"/>
          <w:szCs w:val="24"/>
          <w:lang w:val="es-ES" w:eastAsia="es-CR"/>
        </w:rPr>
        <w:t xml:space="preserve"> </w:t>
      </w:r>
      <w:r>
        <w:rPr>
          <w:rFonts w:ascii="Times New Roman" w:eastAsia="Times New Roman" w:hAnsi="Times New Roman"/>
          <w:sz w:val="24"/>
          <w:szCs w:val="24"/>
          <w:lang w:val="es-ES" w:eastAsia="es-CR"/>
        </w:rPr>
        <w:t>N</w:t>
      </w:r>
      <w:r w:rsidRPr="00BB078C">
        <w:rPr>
          <w:rFonts w:ascii="Times New Roman" w:eastAsia="Times New Roman" w:hAnsi="Times New Roman"/>
          <w:sz w:val="24"/>
          <w:szCs w:val="24"/>
          <w:lang w:val="es-ES" w:eastAsia="es-CR"/>
        </w:rPr>
        <w:t>acionales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de</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ARCAL,</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que</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serán</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los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expertos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líderes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de</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su</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grupo.</w:t>
      </w:r>
    </w:p>
    <w:p w14:paraId="4A0E41C2" w14:textId="36D22CFA" w:rsidR="003D6B4B" w:rsidRPr="00BB078C" w:rsidRDefault="003D6B4B" w:rsidP="00FD57B1">
      <w:pPr>
        <w:numPr>
          <w:ilvl w:val="0"/>
          <w:numId w:val="10"/>
        </w:numPr>
        <w:autoSpaceDE w:val="0"/>
        <w:autoSpaceDN w:val="0"/>
        <w:adjustRightInd w:val="0"/>
        <w:spacing w:after="0" w:line="240" w:lineRule="auto"/>
        <w:ind w:left="993" w:hanging="284"/>
        <w:contextualSpacing/>
        <w:jc w:val="both"/>
        <w:rPr>
          <w:rFonts w:ascii="Times New Roman" w:eastAsia="Times New Roman" w:hAnsi="Times New Roman"/>
          <w:sz w:val="24"/>
          <w:szCs w:val="24"/>
          <w:lang w:val="es-ES" w:eastAsia="es-CR"/>
        </w:rPr>
      </w:pPr>
      <w:r w:rsidRPr="00BB078C">
        <w:rPr>
          <w:rFonts w:ascii="Times New Roman" w:eastAsia="Times New Roman" w:hAnsi="Times New Roman"/>
          <w:sz w:val="24"/>
          <w:szCs w:val="24"/>
          <w:lang w:val="es-ES" w:eastAsia="es-CR"/>
        </w:rPr>
        <w:t>Los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expertos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indicados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por</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los</w:t>
      </w:r>
      <w:r w:rsidR="00D136BB">
        <w:rPr>
          <w:rFonts w:ascii="Times New Roman" w:eastAsia="Times New Roman" w:hAnsi="Times New Roman"/>
          <w:sz w:val="24"/>
          <w:szCs w:val="24"/>
          <w:lang w:val="es-ES" w:eastAsia="es-CR"/>
        </w:rPr>
        <w:t xml:space="preserve"> </w:t>
      </w:r>
      <w:r>
        <w:rPr>
          <w:rFonts w:ascii="Times New Roman" w:eastAsia="Times New Roman" w:hAnsi="Times New Roman"/>
          <w:sz w:val="24"/>
          <w:szCs w:val="24"/>
          <w:lang w:val="es-ES" w:eastAsia="es-CR"/>
        </w:rPr>
        <w:t>o</w:t>
      </w:r>
      <w:r w:rsidRPr="00BB078C">
        <w:rPr>
          <w:rFonts w:ascii="Times New Roman" w:eastAsia="Times New Roman" w:hAnsi="Times New Roman"/>
          <w:sz w:val="24"/>
          <w:szCs w:val="24"/>
          <w:lang w:val="es-ES" w:eastAsia="es-CR"/>
        </w:rPr>
        <w:t>rganismos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regionales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y/o</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de</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Naciones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Unidas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invitados</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a</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participar</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en</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el</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proceso</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de</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formulación</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del</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nuevo</w:t>
      </w:r>
      <w:r w:rsidR="00D136BB">
        <w:rPr>
          <w:rFonts w:ascii="Times New Roman" w:eastAsia="Times New Roman" w:hAnsi="Times New Roman"/>
          <w:sz w:val="24"/>
          <w:szCs w:val="24"/>
          <w:lang w:val="es-ES" w:eastAsia="es-CR"/>
        </w:rPr>
        <w:t xml:space="preserve"> </w:t>
      </w:r>
      <w:r w:rsidRPr="00BB078C">
        <w:rPr>
          <w:rFonts w:ascii="Times New Roman" w:eastAsia="Times New Roman" w:hAnsi="Times New Roman"/>
          <w:sz w:val="24"/>
          <w:szCs w:val="24"/>
          <w:lang w:val="es-ES" w:eastAsia="es-CR"/>
        </w:rPr>
        <w:t>PER.</w:t>
      </w:r>
    </w:p>
    <w:p w14:paraId="1FFD87BF" w14:textId="1EC3327A" w:rsidR="003D6B4B" w:rsidRPr="00FE2E7F" w:rsidRDefault="003D6B4B" w:rsidP="00FD57B1">
      <w:pPr>
        <w:numPr>
          <w:ilvl w:val="0"/>
          <w:numId w:val="10"/>
        </w:numPr>
        <w:autoSpaceDE w:val="0"/>
        <w:autoSpaceDN w:val="0"/>
        <w:adjustRightInd w:val="0"/>
        <w:spacing w:after="0" w:line="240" w:lineRule="auto"/>
        <w:ind w:left="993" w:hanging="284"/>
        <w:contextualSpacing/>
        <w:jc w:val="both"/>
        <w:rPr>
          <w:rFonts w:ascii="Times New Roman" w:eastAsia="Times New Roman" w:hAnsi="Times New Roman"/>
          <w:sz w:val="24"/>
          <w:szCs w:val="24"/>
          <w:lang w:val="es-ES" w:eastAsia="es-ES"/>
        </w:rPr>
      </w:pPr>
      <w:r w:rsidRPr="00FE2E7F">
        <w:rPr>
          <w:rFonts w:ascii="Times New Roman" w:eastAsia="Times New Roman" w:hAnsi="Times New Roman"/>
          <w:sz w:val="24"/>
          <w:szCs w:val="24"/>
          <w:lang w:val="es-ES" w:eastAsia="es-CR"/>
        </w:rPr>
        <w:t>Expertos</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del</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OIEA</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que</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serán</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nominados</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por</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la</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Secretar</w:t>
      </w:r>
      <w:r w:rsidR="00FA651F">
        <w:rPr>
          <w:rFonts w:ascii="Times New Roman" w:eastAsia="Times New Roman" w:hAnsi="Times New Roman"/>
          <w:sz w:val="24"/>
          <w:szCs w:val="24"/>
          <w:lang w:val="es-ES" w:eastAsia="es-CR"/>
        </w:rPr>
        <w:t>í</w:t>
      </w:r>
      <w:r w:rsidRPr="00FE2E7F">
        <w:rPr>
          <w:rFonts w:ascii="Times New Roman" w:eastAsia="Times New Roman" w:hAnsi="Times New Roman"/>
          <w:sz w:val="24"/>
          <w:szCs w:val="24"/>
          <w:lang w:val="es-ES" w:eastAsia="es-CR"/>
        </w:rPr>
        <w:t>a</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para</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participar</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en</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los</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grupos</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de</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trabajo</w:t>
      </w:r>
      <w:r w:rsidR="00D136BB">
        <w:rPr>
          <w:rFonts w:ascii="Times New Roman" w:eastAsia="Times New Roman" w:hAnsi="Times New Roman"/>
          <w:sz w:val="24"/>
          <w:szCs w:val="24"/>
          <w:lang w:val="es-ES" w:eastAsia="es-CR"/>
        </w:rPr>
        <w:t xml:space="preserve"> </w:t>
      </w:r>
      <w:r w:rsidRPr="00FE2E7F">
        <w:rPr>
          <w:rFonts w:ascii="Times New Roman" w:eastAsia="Times New Roman" w:hAnsi="Times New Roman"/>
          <w:sz w:val="24"/>
          <w:szCs w:val="24"/>
          <w:lang w:val="es-ES" w:eastAsia="es-CR"/>
        </w:rPr>
        <w:t>temáticos.</w:t>
      </w:r>
    </w:p>
    <w:p w14:paraId="5C4D5CD0" w14:textId="77777777" w:rsidR="003D6B4B" w:rsidRPr="00BB078C" w:rsidRDefault="003D6B4B" w:rsidP="003D6B4B">
      <w:pPr>
        <w:spacing w:after="0" w:line="240" w:lineRule="auto"/>
        <w:jc w:val="both"/>
        <w:rPr>
          <w:rFonts w:ascii="Times New Roman" w:eastAsia="Times New Roman" w:hAnsi="Times New Roman"/>
          <w:sz w:val="24"/>
          <w:szCs w:val="24"/>
          <w:lang w:val="es-BO" w:eastAsia="es-ES"/>
        </w:rPr>
      </w:pPr>
    </w:p>
    <w:p w14:paraId="1EEE7AC5" w14:textId="77777777" w:rsidR="00DA479D" w:rsidRDefault="00DA479D" w:rsidP="00A56304">
      <w:pPr>
        <w:pStyle w:val="Heading2"/>
        <w:numPr>
          <w:ilvl w:val="0"/>
          <w:numId w:val="0"/>
        </w:numPr>
        <w:ind w:left="567"/>
      </w:pPr>
    </w:p>
    <w:p w14:paraId="3DE89DED" w14:textId="208A2CE5" w:rsidR="00D657A4" w:rsidRDefault="00A11D1F" w:rsidP="00A56304">
      <w:pPr>
        <w:pStyle w:val="Heading2"/>
      </w:pPr>
      <w:r w:rsidRPr="00561504">
        <w:t>RESULTADOS</w:t>
      </w:r>
      <w:r w:rsidR="00D136BB">
        <w:t xml:space="preserve"> </w:t>
      </w:r>
      <w:bookmarkStart w:id="10" w:name="_Hlk31657903"/>
      <w:r w:rsidRPr="00561504">
        <w:t>GENER</w:t>
      </w:r>
      <w:bookmarkEnd w:id="10"/>
      <w:r w:rsidRPr="00561504">
        <w:t>ALES</w:t>
      </w:r>
    </w:p>
    <w:p w14:paraId="1FFF5615" w14:textId="5FEC0CA4" w:rsidR="00B90D66" w:rsidRDefault="00B90D66" w:rsidP="00B90D66">
      <w:pPr>
        <w:pStyle w:val="BodyText"/>
        <w:rPr>
          <w:lang w:val="es-ES"/>
        </w:rPr>
      </w:pPr>
      <w:r w:rsidRPr="00C36E86">
        <w:rPr>
          <w:lang w:val="es-ES"/>
        </w:rPr>
        <w:t>Un</w:t>
      </w:r>
      <w:r w:rsidR="00D136BB">
        <w:rPr>
          <w:lang w:val="es-ES"/>
        </w:rPr>
        <w:t xml:space="preserve"> </w:t>
      </w:r>
      <w:r w:rsidRPr="00C36E86">
        <w:rPr>
          <w:lang w:val="es-ES"/>
        </w:rPr>
        <w:t>total</w:t>
      </w:r>
      <w:r w:rsidR="00D136BB">
        <w:rPr>
          <w:lang w:val="es-ES"/>
        </w:rPr>
        <w:t xml:space="preserve"> </w:t>
      </w:r>
      <w:r w:rsidRPr="00C36E86">
        <w:rPr>
          <w:lang w:val="es-ES"/>
        </w:rPr>
        <w:t>de</w:t>
      </w:r>
      <w:r w:rsidR="00D136BB">
        <w:rPr>
          <w:lang w:val="es-ES"/>
        </w:rPr>
        <w:t xml:space="preserve"> </w:t>
      </w:r>
      <w:r w:rsidR="001C1B0E" w:rsidRPr="001C1B0E">
        <w:rPr>
          <w:lang w:val="es-ES"/>
        </w:rPr>
        <w:t>44</w:t>
      </w:r>
      <w:r w:rsidR="00D136BB">
        <w:rPr>
          <w:lang w:val="es-ES"/>
        </w:rPr>
        <w:t xml:space="preserve"> </w:t>
      </w:r>
      <w:r w:rsidR="00D73936">
        <w:rPr>
          <w:lang w:val="es-ES"/>
        </w:rPr>
        <w:t>N</w:t>
      </w:r>
      <w:r w:rsidRPr="00C36E86">
        <w:rPr>
          <w:lang w:val="es-ES"/>
        </w:rPr>
        <w:t>ecesidades/</w:t>
      </w:r>
      <w:r w:rsidR="00D73936">
        <w:rPr>
          <w:lang w:val="es-ES"/>
        </w:rPr>
        <w:t>P</w:t>
      </w:r>
      <w:r w:rsidRPr="00C36E86">
        <w:rPr>
          <w:lang w:val="es-ES"/>
        </w:rPr>
        <w:t>roblemas</w:t>
      </w:r>
      <w:r w:rsidR="00D136BB">
        <w:rPr>
          <w:lang w:val="es-ES"/>
        </w:rPr>
        <w:t xml:space="preserve"> </w:t>
      </w:r>
      <w:r w:rsidRPr="00C36E86">
        <w:rPr>
          <w:lang w:val="es-ES"/>
        </w:rPr>
        <w:t>fueron</w:t>
      </w:r>
      <w:r w:rsidR="00D136BB">
        <w:rPr>
          <w:lang w:val="es-ES"/>
        </w:rPr>
        <w:t xml:space="preserve"> </w:t>
      </w:r>
      <w:r w:rsidRPr="00C36E86">
        <w:rPr>
          <w:lang w:val="es-ES"/>
        </w:rPr>
        <w:t>identificadas</w:t>
      </w:r>
      <w:r w:rsidR="00D136BB">
        <w:rPr>
          <w:lang w:val="es-ES"/>
        </w:rPr>
        <w:t xml:space="preserve"> </w:t>
      </w:r>
      <w:r w:rsidRPr="00C36E86">
        <w:rPr>
          <w:lang w:val="es-ES"/>
        </w:rPr>
        <w:t>por</w:t>
      </w:r>
      <w:r w:rsidR="00D136BB">
        <w:rPr>
          <w:lang w:val="es-ES"/>
        </w:rPr>
        <w:t xml:space="preserve"> </w:t>
      </w:r>
      <w:r w:rsidRPr="00C36E86">
        <w:rPr>
          <w:lang w:val="es-ES"/>
        </w:rPr>
        <w:t>los</w:t>
      </w:r>
      <w:r w:rsidR="00D136BB">
        <w:rPr>
          <w:lang w:val="es-ES"/>
        </w:rPr>
        <w:t xml:space="preserve"> </w:t>
      </w:r>
      <w:r w:rsidRPr="00C36E86">
        <w:rPr>
          <w:lang w:val="es-ES"/>
        </w:rPr>
        <w:t>Grupos</w:t>
      </w:r>
      <w:r w:rsidR="00D136BB">
        <w:rPr>
          <w:lang w:val="es-ES"/>
        </w:rPr>
        <w:t xml:space="preserve"> </w:t>
      </w:r>
      <w:r w:rsidRPr="00C36E86">
        <w:rPr>
          <w:lang w:val="es-ES"/>
        </w:rPr>
        <w:t>Temáticos.</w:t>
      </w:r>
      <w:r w:rsidR="00D136BB">
        <w:rPr>
          <w:lang w:val="es-ES"/>
        </w:rPr>
        <w:t xml:space="preserve"> </w:t>
      </w:r>
      <w:r w:rsidRPr="00C36E86">
        <w:rPr>
          <w:lang w:val="es-ES"/>
        </w:rPr>
        <w:t>El</w:t>
      </w:r>
      <w:r w:rsidR="00D136BB">
        <w:rPr>
          <w:lang w:val="es-ES"/>
        </w:rPr>
        <w:t xml:space="preserve"> </w:t>
      </w:r>
      <w:r w:rsidRPr="00C36E86">
        <w:rPr>
          <w:lang w:val="es-ES"/>
        </w:rPr>
        <w:t>análisis</w:t>
      </w:r>
      <w:r w:rsidR="00D136BB">
        <w:rPr>
          <w:lang w:val="es-ES"/>
        </w:rPr>
        <w:t xml:space="preserve"> </w:t>
      </w:r>
      <w:r w:rsidRPr="00C36E86">
        <w:rPr>
          <w:lang w:val="es-ES"/>
        </w:rPr>
        <w:t>específico,</w:t>
      </w:r>
      <w:r w:rsidR="00D136BB">
        <w:rPr>
          <w:lang w:val="es-ES"/>
        </w:rPr>
        <w:t xml:space="preserve"> </w:t>
      </w:r>
      <w:r w:rsidRPr="00C36E86">
        <w:rPr>
          <w:lang w:val="es-ES"/>
        </w:rPr>
        <w:t>conforme</w:t>
      </w:r>
      <w:r w:rsidR="00D136BB">
        <w:rPr>
          <w:lang w:val="es-ES"/>
        </w:rPr>
        <w:t xml:space="preserve"> </w:t>
      </w:r>
      <w:r w:rsidRPr="00C36E86">
        <w:rPr>
          <w:lang w:val="es-ES"/>
        </w:rPr>
        <w:t>a</w:t>
      </w:r>
      <w:r w:rsidR="00D136BB">
        <w:rPr>
          <w:lang w:val="es-ES"/>
        </w:rPr>
        <w:t xml:space="preserve"> </w:t>
      </w:r>
      <w:r w:rsidRPr="00C36E86">
        <w:rPr>
          <w:lang w:val="es-ES"/>
        </w:rPr>
        <w:t>la</w:t>
      </w:r>
      <w:r w:rsidR="00D136BB">
        <w:rPr>
          <w:lang w:val="es-ES"/>
        </w:rPr>
        <w:t xml:space="preserve"> </w:t>
      </w:r>
      <w:r w:rsidRPr="00C36E86">
        <w:rPr>
          <w:lang w:val="es-ES"/>
        </w:rPr>
        <w:t>metodología</w:t>
      </w:r>
      <w:r w:rsidR="00D136BB">
        <w:rPr>
          <w:lang w:val="es-ES"/>
        </w:rPr>
        <w:t xml:space="preserve"> </w:t>
      </w:r>
      <w:r w:rsidRPr="00C36E86">
        <w:rPr>
          <w:lang w:val="es-ES"/>
        </w:rPr>
        <w:t>aplicada,</w:t>
      </w:r>
      <w:r w:rsidR="00D136BB">
        <w:rPr>
          <w:lang w:val="es-ES"/>
        </w:rPr>
        <w:t xml:space="preserve"> </w:t>
      </w:r>
      <w:r w:rsidRPr="00C36E86">
        <w:rPr>
          <w:lang w:val="es-ES"/>
        </w:rPr>
        <w:t>se</w:t>
      </w:r>
      <w:r w:rsidR="00D136BB">
        <w:rPr>
          <w:lang w:val="es-ES"/>
        </w:rPr>
        <w:t xml:space="preserve"> </w:t>
      </w:r>
      <w:r w:rsidRPr="00C36E86">
        <w:rPr>
          <w:lang w:val="es-ES"/>
        </w:rPr>
        <w:t>encuentra</w:t>
      </w:r>
      <w:r w:rsidR="00D136BB">
        <w:rPr>
          <w:lang w:val="es-ES"/>
        </w:rPr>
        <w:t xml:space="preserve"> </w:t>
      </w:r>
      <w:r w:rsidRPr="00C36E86">
        <w:rPr>
          <w:lang w:val="es-ES"/>
        </w:rPr>
        <w:t>en</w:t>
      </w:r>
      <w:r w:rsidR="00D136BB">
        <w:rPr>
          <w:lang w:val="es-ES"/>
        </w:rPr>
        <w:t xml:space="preserve"> </w:t>
      </w:r>
      <w:r w:rsidRPr="00C36E86">
        <w:rPr>
          <w:lang w:val="es-ES"/>
        </w:rPr>
        <w:t>cada</w:t>
      </w:r>
      <w:r w:rsidR="00D136BB">
        <w:rPr>
          <w:lang w:val="es-ES"/>
        </w:rPr>
        <w:t xml:space="preserve"> </w:t>
      </w:r>
      <w:r w:rsidRPr="00C36E86">
        <w:rPr>
          <w:lang w:val="es-ES"/>
        </w:rPr>
        <w:t>una</w:t>
      </w:r>
      <w:r w:rsidR="00D136BB">
        <w:rPr>
          <w:lang w:val="es-ES"/>
        </w:rPr>
        <w:t xml:space="preserve"> </w:t>
      </w:r>
      <w:r w:rsidRPr="00C36E86">
        <w:rPr>
          <w:lang w:val="es-ES"/>
        </w:rPr>
        <w:t>de</w:t>
      </w:r>
      <w:r w:rsidR="00D136BB">
        <w:rPr>
          <w:lang w:val="es-ES"/>
        </w:rPr>
        <w:t xml:space="preserve"> </w:t>
      </w:r>
      <w:r w:rsidRPr="00C36E86">
        <w:rPr>
          <w:lang w:val="es-ES"/>
        </w:rPr>
        <w:t>las</w:t>
      </w:r>
      <w:r w:rsidR="00D136BB">
        <w:rPr>
          <w:lang w:val="es-ES"/>
        </w:rPr>
        <w:t xml:space="preserve"> </w:t>
      </w:r>
      <w:r w:rsidRPr="00C36E86">
        <w:rPr>
          <w:lang w:val="es-ES"/>
        </w:rPr>
        <w:t>secciones</w:t>
      </w:r>
      <w:r w:rsidR="00D136BB">
        <w:rPr>
          <w:lang w:val="es-ES"/>
        </w:rPr>
        <w:t xml:space="preserve"> </w:t>
      </w:r>
      <w:r w:rsidRPr="00C36E86">
        <w:rPr>
          <w:lang w:val="es-ES"/>
        </w:rPr>
        <w:t>de</w:t>
      </w:r>
      <w:r w:rsidR="00D136BB">
        <w:rPr>
          <w:lang w:val="es-ES"/>
        </w:rPr>
        <w:t xml:space="preserve"> </w:t>
      </w:r>
      <w:r w:rsidRPr="00C36E86">
        <w:rPr>
          <w:lang w:val="es-ES"/>
        </w:rPr>
        <w:t>este</w:t>
      </w:r>
      <w:r w:rsidR="00D136BB">
        <w:rPr>
          <w:lang w:val="es-ES"/>
        </w:rPr>
        <w:t xml:space="preserve"> </w:t>
      </w:r>
      <w:r w:rsidRPr="00C36E86">
        <w:rPr>
          <w:lang w:val="es-ES"/>
        </w:rPr>
        <w:t>documento.</w:t>
      </w:r>
      <w:r w:rsidR="00D136BB">
        <w:rPr>
          <w:lang w:val="es-ES"/>
        </w:rPr>
        <w:t xml:space="preserve"> </w:t>
      </w:r>
      <w:r w:rsidRPr="00C36E86">
        <w:rPr>
          <w:lang w:val="es-ES"/>
        </w:rPr>
        <w:t>A</w:t>
      </w:r>
      <w:r w:rsidR="00D136BB">
        <w:rPr>
          <w:lang w:val="es-ES"/>
        </w:rPr>
        <w:t xml:space="preserve"> </w:t>
      </w:r>
      <w:r w:rsidRPr="00C36E86">
        <w:rPr>
          <w:lang w:val="es-ES"/>
        </w:rPr>
        <w:t>continuación,</w:t>
      </w:r>
      <w:r w:rsidR="00D136BB">
        <w:rPr>
          <w:lang w:val="es-ES"/>
        </w:rPr>
        <w:t xml:space="preserve"> </w:t>
      </w:r>
      <w:r w:rsidRPr="00C36E86">
        <w:rPr>
          <w:lang w:val="es-ES"/>
        </w:rPr>
        <w:t>se</w:t>
      </w:r>
      <w:r w:rsidR="00D136BB">
        <w:rPr>
          <w:lang w:val="es-ES"/>
        </w:rPr>
        <w:t xml:space="preserve"> </w:t>
      </w:r>
      <w:r w:rsidRPr="00C36E86">
        <w:rPr>
          <w:lang w:val="es-ES"/>
        </w:rPr>
        <w:t>presenta</w:t>
      </w:r>
      <w:r w:rsidR="002C0F56">
        <w:rPr>
          <w:lang w:val="es-ES"/>
        </w:rPr>
        <w:t>n</w:t>
      </w:r>
      <w:r w:rsidR="00D136BB">
        <w:rPr>
          <w:lang w:val="es-ES"/>
        </w:rPr>
        <w:t xml:space="preserve"> </w:t>
      </w:r>
      <w:r>
        <w:rPr>
          <w:lang w:val="es-ES"/>
        </w:rPr>
        <w:t>los</w:t>
      </w:r>
      <w:r w:rsidR="00D136BB">
        <w:rPr>
          <w:lang w:val="es-ES"/>
        </w:rPr>
        <w:t xml:space="preserve"> </w:t>
      </w:r>
      <w:r w:rsidRPr="00C36E86">
        <w:rPr>
          <w:lang w:val="es-ES"/>
        </w:rPr>
        <w:t>resultado</w:t>
      </w:r>
      <w:r>
        <w:rPr>
          <w:lang w:val="es-ES"/>
        </w:rPr>
        <w:t>s</w:t>
      </w:r>
      <w:r w:rsidR="00D136BB">
        <w:rPr>
          <w:lang w:val="es-ES"/>
        </w:rPr>
        <w:t xml:space="preserve"> </w:t>
      </w:r>
      <w:r>
        <w:rPr>
          <w:lang w:val="es-ES"/>
        </w:rPr>
        <w:t>generales</w:t>
      </w:r>
      <w:r w:rsidR="00D136BB">
        <w:rPr>
          <w:lang w:val="es-ES"/>
        </w:rPr>
        <w:t xml:space="preserve"> </w:t>
      </w:r>
      <w:r w:rsidRPr="00C36E86">
        <w:rPr>
          <w:lang w:val="es-ES"/>
        </w:rPr>
        <w:t>de</w:t>
      </w:r>
      <w:r w:rsidR="00D136BB">
        <w:rPr>
          <w:lang w:val="es-ES"/>
        </w:rPr>
        <w:t xml:space="preserve"> </w:t>
      </w:r>
      <w:r w:rsidRPr="00C36E86">
        <w:rPr>
          <w:lang w:val="es-ES"/>
        </w:rPr>
        <w:t>las</w:t>
      </w:r>
      <w:r w:rsidR="00D136BB">
        <w:rPr>
          <w:lang w:val="es-ES"/>
        </w:rPr>
        <w:t xml:space="preserve"> </w:t>
      </w:r>
      <w:r w:rsidRPr="00C36E86">
        <w:rPr>
          <w:lang w:val="es-ES"/>
        </w:rPr>
        <w:t>mismas</w:t>
      </w:r>
      <w:r w:rsidR="00922E67">
        <w:rPr>
          <w:lang w:val="es-ES"/>
        </w:rPr>
        <w:t>.</w:t>
      </w:r>
    </w:p>
    <w:p w14:paraId="6214A801" w14:textId="1CCD4D8A" w:rsidR="00922E67" w:rsidRDefault="00D73936" w:rsidP="00BE3BCB">
      <w:pPr>
        <w:pStyle w:val="BodyText"/>
        <w:numPr>
          <w:ilvl w:val="0"/>
          <w:numId w:val="53"/>
        </w:numPr>
        <w:rPr>
          <w:lang w:val="es-ES"/>
        </w:rPr>
      </w:pPr>
      <w:bookmarkStart w:id="11" w:name="_Hlk31792811"/>
      <w:r>
        <w:rPr>
          <w:lang w:val="es-ES"/>
        </w:rPr>
        <w:t>N</w:t>
      </w:r>
      <w:r w:rsidRPr="00C36E86">
        <w:rPr>
          <w:lang w:val="es-ES"/>
        </w:rPr>
        <w:t>ecesidades/</w:t>
      </w:r>
      <w:r>
        <w:rPr>
          <w:lang w:val="es-ES"/>
        </w:rPr>
        <w:t>P</w:t>
      </w:r>
      <w:r w:rsidRPr="00C36E86">
        <w:rPr>
          <w:lang w:val="es-ES"/>
        </w:rPr>
        <w:t>roblemas</w:t>
      </w:r>
      <w:r w:rsidR="00D136BB">
        <w:rPr>
          <w:lang w:val="es-ES"/>
        </w:rPr>
        <w:t xml:space="preserve"> </w:t>
      </w:r>
      <w:r>
        <w:rPr>
          <w:lang w:val="es-ES"/>
        </w:rPr>
        <w:t>e</w:t>
      </w:r>
      <w:r w:rsidR="00922E67">
        <w:rPr>
          <w:lang w:val="es-ES"/>
        </w:rPr>
        <w:t>n</w:t>
      </w:r>
      <w:r w:rsidR="00D136BB">
        <w:rPr>
          <w:lang w:val="es-ES"/>
        </w:rPr>
        <w:t xml:space="preserve"> </w:t>
      </w:r>
      <w:bookmarkEnd w:id="11"/>
      <w:r w:rsidR="00C41191">
        <w:rPr>
          <w:lang w:val="es-ES"/>
        </w:rPr>
        <w:t>Alimentación y Agricultura</w:t>
      </w:r>
      <w:r w:rsidR="00922E67">
        <w:rPr>
          <w:lang w:val="es-ES"/>
        </w:rPr>
        <w:t>:</w:t>
      </w:r>
    </w:p>
    <w:p w14:paraId="77248386" w14:textId="757D3346" w:rsidR="00922E67" w:rsidRDefault="00922E67" w:rsidP="00BE3BCB">
      <w:pPr>
        <w:pStyle w:val="BodyText"/>
        <w:numPr>
          <w:ilvl w:val="0"/>
          <w:numId w:val="55"/>
        </w:numPr>
        <w:rPr>
          <w:lang w:val="es-ES"/>
        </w:rPr>
      </w:pPr>
      <w:r w:rsidRPr="00922E67">
        <w:rPr>
          <w:lang w:val="es-ES"/>
        </w:rPr>
        <w:t>A1.</w:t>
      </w:r>
      <w:r w:rsidR="00D136BB">
        <w:rPr>
          <w:lang w:val="es-ES"/>
        </w:rPr>
        <w:t xml:space="preserve"> </w:t>
      </w:r>
      <w:r w:rsidRPr="00922E67">
        <w:rPr>
          <w:lang w:val="es-ES"/>
        </w:rPr>
        <w:t>Mejoramiento</w:t>
      </w:r>
      <w:r w:rsidR="00D136BB">
        <w:rPr>
          <w:lang w:val="es-ES"/>
        </w:rPr>
        <w:t xml:space="preserve"> </w:t>
      </w:r>
      <w:r w:rsidRPr="00922E67">
        <w:rPr>
          <w:lang w:val="es-ES"/>
        </w:rPr>
        <w:t>de</w:t>
      </w:r>
      <w:r w:rsidR="00D136BB">
        <w:rPr>
          <w:lang w:val="es-ES"/>
        </w:rPr>
        <w:t xml:space="preserve"> </w:t>
      </w:r>
      <w:r w:rsidRPr="00922E67">
        <w:rPr>
          <w:lang w:val="es-ES"/>
        </w:rPr>
        <w:t>prácticas</w:t>
      </w:r>
      <w:r w:rsidR="00D136BB">
        <w:rPr>
          <w:lang w:val="es-ES"/>
        </w:rPr>
        <w:t xml:space="preserve"> </w:t>
      </w:r>
      <w:r w:rsidRPr="00922E67">
        <w:rPr>
          <w:lang w:val="es-ES"/>
        </w:rPr>
        <w:t>de</w:t>
      </w:r>
      <w:r w:rsidR="00D136BB">
        <w:rPr>
          <w:lang w:val="es-ES"/>
        </w:rPr>
        <w:t xml:space="preserve"> </w:t>
      </w:r>
      <w:r w:rsidRPr="00922E67">
        <w:rPr>
          <w:lang w:val="es-ES"/>
        </w:rPr>
        <w:t>manejo</w:t>
      </w:r>
      <w:r w:rsidR="00D136BB">
        <w:rPr>
          <w:lang w:val="es-ES"/>
        </w:rPr>
        <w:t xml:space="preserve"> </w:t>
      </w:r>
      <w:r w:rsidRPr="00922E67">
        <w:rPr>
          <w:lang w:val="es-ES"/>
        </w:rPr>
        <w:t>de</w:t>
      </w:r>
      <w:r w:rsidR="00D136BB">
        <w:rPr>
          <w:lang w:val="es-ES"/>
        </w:rPr>
        <w:t xml:space="preserve"> </w:t>
      </w:r>
      <w:r w:rsidRPr="00922E67">
        <w:rPr>
          <w:lang w:val="es-ES"/>
        </w:rPr>
        <w:t>agua,</w:t>
      </w:r>
      <w:r w:rsidR="00D136BB">
        <w:rPr>
          <w:lang w:val="es-ES"/>
        </w:rPr>
        <w:t xml:space="preserve"> </w:t>
      </w:r>
      <w:r w:rsidRPr="00922E67">
        <w:rPr>
          <w:lang w:val="es-ES"/>
        </w:rPr>
        <w:t>suelo,</w:t>
      </w:r>
      <w:r w:rsidR="00D136BB">
        <w:rPr>
          <w:lang w:val="es-ES"/>
        </w:rPr>
        <w:t xml:space="preserve"> </w:t>
      </w:r>
      <w:r w:rsidRPr="00922E67">
        <w:rPr>
          <w:lang w:val="es-ES"/>
        </w:rPr>
        <w:t>agroquímicos</w:t>
      </w:r>
      <w:r w:rsidR="00D136BB">
        <w:rPr>
          <w:lang w:val="es-ES"/>
        </w:rPr>
        <w:t xml:space="preserve"> </w:t>
      </w:r>
      <w:r w:rsidRPr="00922E67">
        <w:rPr>
          <w:lang w:val="es-ES"/>
        </w:rPr>
        <w:t>y</w:t>
      </w:r>
      <w:r w:rsidR="00D136BB">
        <w:rPr>
          <w:lang w:val="es-ES"/>
        </w:rPr>
        <w:t xml:space="preserve"> </w:t>
      </w:r>
      <w:r w:rsidRPr="00922E67">
        <w:rPr>
          <w:lang w:val="es-ES"/>
        </w:rPr>
        <w:t>biofertilizantes</w:t>
      </w:r>
      <w:r w:rsidR="00D136BB">
        <w:rPr>
          <w:lang w:val="es-ES"/>
        </w:rPr>
        <w:t xml:space="preserve"> </w:t>
      </w:r>
      <w:r w:rsidRPr="00922E67">
        <w:rPr>
          <w:lang w:val="es-ES"/>
        </w:rPr>
        <w:t>(incluido</w:t>
      </w:r>
      <w:r w:rsidR="00D136BB">
        <w:rPr>
          <w:lang w:val="es-ES"/>
        </w:rPr>
        <w:t xml:space="preserve"> </w:t>
      </w:r>
      <w:r w:rsidRPr="00922E67">
        <w:rPr>
          <w:lang w:val="es-ES"/>
        </w:rPr>
        <w:t>la</w:t>
      </w:r>
      <w:r w:rsidR="00D136BB">
        <w:rPr>
          <w:lang w:val="es-ES"/>
        </w:rPr>
        <w:t xml:space="preserve"> </w:t>
      </w:r>
      <w:r w:rsidRPr="00922E67">
        <w:rPr>
          <w:lang w:val="es-ES"/>
        </w:rPr>
        <w:t>fijación</w:t>
      </w:r>
      <w:r w:rsidR="00D136BB">
        <w:rPr>
          <w:lang w:val="es-ES"/>
        </w:rPr>
        <w:t xml:space="preserve"> </w:t>
      </w:r>
      <w:r w:rsidRPr="00922E67">
        <w:rPr>
          <w:lang w:val="es-ES"/>
        </w:rPr>
        <w:t>biológica</w:t>
      </w:r>
      <w:r w:rsidR="00D136BB">
        <w:rPr>
          <w:lang w:val="es-ES"/>
        </w:rPr>
        <w:t xml:space="preserve"> </w:t>
      </w:r>
      <w:r w:rsidRPr="00922E67">
        <w:rPr>
          <w:lang w:val="es-ES"/>
        </w:rPr>
        <w:t>de</w:t>
      </w:r>
      <w:r w:rsidR="00D136BB">
        <w:rPr>
          <w:lang w:val="es-ES"/>
        </w:rPr>
        <w:t xml:space="preserve"> </w:t>
      </w:r>
      <w:r w:rsidRPr="00922E67">
        <w:rPr>
          <w:lang w:val="es-ES"/>
        </w:rPr>
        <w:t>nitrógeno)</w:t>
      </w:r>
      <w:r w:rsidR="00D136BB">
        <w:rPr>
          <w:lang w:val="es-ES"/>
        </w:rPr>
        <w:t xml:space="preserve"> </w:t>
      </w:r>
      <w:r w:rsidRPr="00922E67">
        <w:rPr>
          <w:lang w:val="es-ES"/>
        </w:rPr>
        <w:t>en</w:t>
      </w:r>
      <w:r w:rsidR="00D136BB">
        <w:rPr>
          <w:lang w:val="es-ES"/>
        </w:rPr>
        <w:t xml:space="preserve"> </w:t>
      </w:r>
      <w:r w:rsidRPr="00922E67">
        <w:rPr>
          <w:lang w:val="es-ES"/>
        </w:rPr>
        <w:t>LAC.</w:t>
      </w:r>
    </w:p>
    <w:p w14:paraId="59561E9A" w14:textId="14A3A72F" w:rsidR="00922E67" w:rsidRDefault="00922E67" w:rsidP="00BE3BCB">
      <w:pPr>
        <w:pStyle w:val="BodyText"/>
        <w:numPr>
          <w:ilvl w:val="0"/>
          <w:numId w:val="54"/>
        </w:numPr>
        <w:rPr>
          <w:lang w:val="es-ES"/>
        </w:rPr>
      </w:pPr>
      <w:r w:rsidRPr="00922E67">
        <w:rPr>
          <w:lang w:val="es-ES"/>
        </w:rPr>
        <w:lastRenderedPageBreak/>
        <w:t>A2.</w:t>
      </w:r>
      <w:r w:rsidR="00D136BB">
        <w:rPr>
          <w:lang w:val="es-ES"/>
        </w:rPr>
        <w:t xml:space="preserve"> </w:t>
      </w:r>
      <w:r w:rsidRPr="00922E67">
        <w:rPr>
          <w:lang w:val="es-ES"/>
        </w:rPr>
        <w:t>Mejoramiento</w:t>
      </w:r>
      <w:r w:rsidR="00D136BB">
        <w:rPr>
          <w:lang w:val="es-ES"/>
        </w:rPr>
        <w:t xml:space="preserve"> </w:t>
      </w:r>
      <w:r w:rsidRPr="00922E67">
        <w:rPr>
          <w:lang w:val="es-ES"/>
        </w:rPr>
        <w:t>de</w:t>
      </w:r>
      <w:r w:rsidR="00D136BB">
        <w:rPr>
          <w:lang w:val="es-ES"/>
        </w:rPr>
        <w:t xml:space="preserve"> </w:t>
      </w:r>
      <w:r w:rsidRPr="00922E67">
        <w:rPr>
          <w:lang w:val="es-ES"/>
        </w:rPr>
        <w:t>cultivos</w:t>
      </w:r>
      <w:r w:rsidR="00D136BB">
        <w:rPr>
          <w:lang w:val="es-ES"/>
        </w:rPr>
        <w:t xml:space="preserve"> </w:t>
      </w:r>
      <w:r w:rsidRPr="00922E67">
        <w:rPr>
          <w:lang w:val="es-ES"/>
        </w:rPr>
        <w:t>alimenticios</w:t>
      </w:r>
      <w:r w:rsidR="00D136BB">
        <w:rPr>
          <w:lang w:val="es-ES"/>
        </w:rPr>
        <w:t xml:space="preserve"> </w:t>
      </w:r>
      <w:r w:rsidRPr="00922E67">
        <w:rPr>
          <w:lang w:val="es-ES"/>
        </w:rPr>
        <w:t>y</w:t>
      </w:r>
      <w:r w:rsidR="00D136BB">
        <w:rPr>
          <w:lang w:val="es-ES"/>
        </w:rPr>
        <w:t xml:space="preserve"> </w:t>
      </w:r>
      <w:r w:rsidRPr="00922E67">
        <w:rPr>
          <w:lang w:val="es-ES"/>
        </w:rPr>
        <w:t>de</w:t>
      </w:r>
      <w:r w:rsidR="00D136BB">
        <w:rPr>
          <w:lang w:val="es-ES"/>
        </w:rPr>
        <w:t xml:space="preserve"> </w:t>
      </w:r>
      <w:r w:rsidRPr="00922E67">
        <w:rPr>
          <w:lang w:val="es-ES"/>
        </w:rPr>
        <w:t>importancia</w:t>
      </w:r>
      <w:r w:rsidR="00D136BB">
        <w:rPr>
          <w:lang w:val="es-ES"/>
        </w:rPr>
        <w:t xml:space="preserve"> </w:t>
      </w:r>
      <w:r w:rsidRPr="00922E67">
        <w:rPr>
          <w:lang w:val="es-ES"/>
        </w:rPr>
        <w:t>económica</w:t>
      </w:r>
      <w:r w:rsidR="00D136BB">
        <w:rPr>
          <w:lang w:val="es-ES"/>
        </w:rPr>
        <w:t xml:space="preserve"> </w:t>
      </w:r>
      <w:r w:rsidRPr="00922E67">
        <w:rPr>
          <w:lang w:val="es-ES"/>
        </w:rPr>
        <w:t>para</w:t>
      </w:r>
      <w:r w:rsidR="00D136BB">
        <w:rPr>
          <w:lang w:val="es-ES"/>
        </w:rPr>
        <w:t xml:space="preserve"> </w:t>
      </w:r>
      <w:r w:rsidRPr="00922E67">
        <w:rPr>
          <w:lang w:val="es-ES"/>
        </w:rPr>
        <w:t>diversas</w:t>
      </w:r>
      <w:r w:rsidR="00D136BB">
        <w:rPr>
          <w:lang w:val="es-ES"/>
        </w:rPr>
        <w:t xml:space="preserve"> </w:t>
      </w:r>
      <w:r w:rsidRPr="00922E67">
        <w:rPr>
          <w:lang w:val="es-ES"/>
        </w:rPr>
        <w:t>condiciones</w:t>
      </w:r>
      <w:r w:rsidR="00D136BB">
        <w:rPr>
          <w:lang w:val="es-ES"/>
        </w:rPr>
        <w:t xml:space="preserve"> </w:t>
      </w:r>
      <w:r w:rsidRPr="00922E67">
        <w:rPr>
          <w:lang w:val="es-ES"/>
        </w:rPr>
        <w:t>de</w:t>
      </w:r>
      <w:r w:rsidR="00D136BB">
        <w:rPr>
          <w:lang w:val="es-ES"/>
        </w:rPr>
        <w:t xml:space="preserve"> </w:t>
      </w:r>
      <w:r w:rsidRPr="00922E67">
        <w:rPr>
          <w:lang w:val="es-ES"/>
        </w:rPr>
        <w:t>estrés</w:t>
      </w:r>
      <w:r w:rsidR="00D136BB">
        <w:rPr>
          <w:lang w:val="es-ES"/>
        </w:rPr>
        <w:t xml:space="preserve"> </w:t>
      </w:r>
      <w:r w:rsidRPr="00922E67">
        <w:rPr>
          <w:lang w:val="es-ES"/>
        </w:rPr>
        <w:t>bióticos</w:t>
      </w:r>
      <w:r w:rsidR="00D136BB">
        <w:rPr>
          <w:lang w:val="es-ES"/>
        </w:rPr>
        <w:t xml:space="preserve"> </w:t>
      </w:r>
      <w:r w:rsidRPr="00922E67">
        <w:rPr>
          <w:lang w:val="es-ES"/>
        </w:rPr>
        <w:t>y</w:t>
      </w:r>
      <w:r w:rsidR="00D136BB">
        <w:rPr>
          <w:lang w:val="es-ES"/>
        </w:rPr>
        <w:t xml:space="preserve"> </w:t>
      </w:r>
      <w:r w:rsidRPr="00922E67">
        <w:rPr>
          <w:lang w:val="es-ES"/>
        </w:rPr>
        <w:t>abióticos.</w:t>
      </w:r>
    </w:p>
    <w:p w14:paraId="7B0FBA81" w14:textId="211A4805" w:rsidR="00922E67" w:rsidRDefault="00922E67" w:rsidP="00BE3BCB">
      <w:pPr>
        <w:pStyle w:val="ListParagraph"/>
        <w:numPr>
          <w:ilvl w:val="0"/>
          <w:numId w:val="54"/>
        </w:numPr>
        <w:jc w:val="both"/>
        <w:rPr>
          <w:rFonts w:ascii="Times New Roman" w:hAnsi="Times New Roman" w:cs="Times New Roman"/>
          <w:bCs/>
          <w:sz w:val="24"/>
          <w:szCs w:val="24"/>
        </w:rPr>
      </w:pPr>
      <w:r w:rsidRPr="00922E67">
        <w:rPr>
          <w:rFonts w:ascii="Times New Roman" w:hAnsi="Times New Roman" w:cs="Times New Roman"/>
          <w:bCs/>
          <w:sz w:val="24"/>
          <w:szCs w:val="24"/>
        </w:rPr>
        <w:t>A3.</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Mejoramiento</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animales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reconocida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importancia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económica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apoyo</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iniciativas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mejorar</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rendimiento/producción</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potencial</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comercial</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animales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biodiversidad</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regional.</w:t>
      </w:r>
    </w:p>
    <w:p w14:paraId="4DD70408" w14:textId="77777777" w:rsidR="00922E67" w:rsidRDefault="00922E67" w:rsidP="00922E67">
      <w:pPr>
        <w:pStyle w:val="ListParagraph"/>
        <w:jc w:val="both"/>
        <w:rPr>
          <w:rFonts w:ascii="Times New Roman" w:hAnsi="Times New Roman" w:cs="Times New Roman"/>
          <w:bCs/>
          <w:sz w:val="24"/>
          <w:szCs w:val="24"/>
        </w:rPr>
      </w:pPr>
    </w:p>
    <w:p w14:paraId="6F07A699" w14:textId="3FFFFAAF" w:rsidR="00922E67" w:rsidRDefault="00922E67" w:rsidP="00BE3BCB">
      <w:pPr>
        <w:pStyle w:val="ListParagraph"/>
        <w:numPr>
          <w:ilvl w:val="0"/>
          <w:numId w:val="54"/>
        </w:numPr>
        <w:spacing w:after="0" w:line="240" w:lineRule="auto"/>
        <w:ind w:left="714" w:hanging="357"/>
        <w:jc w:val="both"/>
        <w:rPr>
          <w:rFonts w:ascii="Times New Roman" w:hAnsi="Times New Roman" w:cs="Times New Roman"/>
          <w:bCs/>
          <w:sz w:val="24"/>
          <w:szCs w:val="24"/>
          <w:lang w:val="es-DO"/>
        </w:rPr>
      </w:pPr>
      <w:r w:rsidRPr="00922E67">
        <w:rPr>
          <w:rFonts w:ascii="Times New Roman" w:hAnsi="Times New Roman" w:cs="Times New Roman"/>
          <w:bCs/>
          <w:sz w:val="24"/>
          <w:szCs w:val="24"/>
          <w:lang w:val="es-DO"/>
        </w:rPr>
        <w:t>A4.</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Ocurrencia</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de</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enfermedades</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de</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carácter</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transfronterizo</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y</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de</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declaración</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obligatoria,</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incluyendo</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aquellas</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que</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tienen</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repercusiones</w:t>
      </w:r>
      <w:r w:rsidR="00D136BB">
        <w:rPr>
          <w:rFonts w:ascii="Times New Roman" w:hAnsi="Times New Roman" w:cs="Times New Roman"/>
          <w:bCs/>
          <w:sz w:val="24"/>
          <w:szCs w:val="24"/>
          <w:lang w:val="es-DO"/>
        </w:rPr>
        <w:t xml:space="preserve"> </w:t>
      </w:r>
      <w:r w:rsidRPr="00922E67">
        <w:rPr>
          <w:rFonts w:ascii="Times New Roman" w:hAnsi="Times New Roman" w:cs="Times New Roman"/>
          <w:bCs/>
          <w:sz w:val="24"/>
          <w:szCs w:val="24"/>
          <w:lang w:val="es-DO"/>
        </w:rPr>
        <w:t>zoonóticas</w:t>
      </w:r>
      <w:r>
        <w:rPr>
          <w:rFonts w:ascii="Times New Roman" w:hAnsi="Times New Roman" w:cs="Times New Roman"/>
          <w:bCs/>
          <w:sz w:val="24"/>
          <w:szCs w:val="24"/>
          <w:lang w:val="es-DO"/>
        </w:rPr>
        <w:t>.</w:t>
      </w:r>
    </w:p>
    <w:p w14:paraId="018FDB54" w14:textId="77777777" w:rsidR="00922E67" w:rsidRPr="00922E67" w:rsidRDefault="00922E67" w:rsidP="00922E67">
      <w:pPr>
        <w:spacing w:after="0" w:line="240" w:lineRule="auto"/>
        <w:jc w:val="both"/>
        <w:rPr>
          <w:rFonts w:ascii="Times New Roman" w:hAnsi="Times New Roman" w:cs="Times New Roman"/>
          <w:bCs/>
          <w:sz w:val="24"/>
          <w:szCs w:val="24"/>
          <w:lang w:val="es-DO"/>
        </w:rPr>
      </w:pPr>
    </w:p>
    <w:p w14:paraId="1A9493E1" w14:textId="4E0E4B30" w:rsidR="00922E67" w:rsidRDefault="00922E67" w:rsidP="00BE3BCB">
      <w:pPr>
        <w:pStyle w:val="ListParagraph"/>
        <w:numPr>
          <w:ilvl w:val="0"/>
          <w:numId w:val="54"/>
        </w:numPr>
        <w:spacing w:after="0" w:line="240" w:lineRule="auto"/>
        <w:ind w:left="714" w:hanging="357"/>
        <w:jc w:val="both"/>
        <w:rPr>
          <w:rFonts w:ascii="Times New Roman" w:hAnsi="Times New Roman" w:cs="Times New Roman"/>
          <w:sz w:val="24"/>
          <w:szCs w:val="24"/>
        </w:rPr>
      </w:pPr>
      <w:r w:rsidRPr="00922E67">
        <w:rPr>
          <w:rFonts w:ascii="Times New Roman" w:hAnsi="Times New Roman" w:cs="Times New Roman"/>
          <w:sz w:val="24"/>
          <w:szCs w:val="24"/>
          <w:lang w:val="es-ES"/>
        </w:rPr>
        <w:t>A5</w:t>
      </w:r>
      <w:r w:rsidRPr="00922E67">
        <w:rPr>
          <w:rFonts w:ascii="Times New Roman" w:hAnsi="Times New Roman" w:cs="Times New Roman"/>
          <w:sz w:val="24"/>
          <w:szCs w:val="24"/>
        </w:rPr>
        <w:t>.</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Disponibilidad</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de</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de</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origen</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animal</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(incluyendo</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los</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derivados</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de</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la</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acuicultura)</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y</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vegetal</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que</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cumplan</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con</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los</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estándares</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de</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seguridad</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y</w:t>
      </w:r>
      <w:r w:rsidR="00D136BB">
        <w:rPr>
          <w:rFonts w:ascii="Times New Roman" w:hAnsi="Times New Roman" w:cs="Times New Roman"/>
          <w:sz w:val="24"/>
          <w:szCs w:val="24"/>
        </w:rPr>
        <w:t xml:space="preserve"> </w:t>
      </w:r>
      <w:r w:rsidRPr="00922E67">
        <w:rPr>
          <w:rFonts w:ascii="Times New Roman" w:hAnsi="Times New Roman" w:cs="Times New Roman"/>
          <w:sz w:val="24"/>
          <w:szCs w:val="24"/>
        </w:rPr>
        <w:t>calidad.</w:t>
      </w:r>
    </w:p>
    <w:p w14:paraId="290D9114" w14:textId="77777777" w:rsidR="00922E67" w:rsidRPr="00922E67" w:rsidRDefault="00922E67" w:rsidP="00922E67">
      <w:pPr>
        <w:spacing w:after="0" w:line="240" w:lineRule="auto"/>
        <w:jc w:val="both"/>
        <w:rPr>
          <w:rFonts w:ascii="Times New Roman" w:hAnsi="Times New Roman" w:cs="Times New Roman"/>
          <w:sz w:val="24"/>
          <w:szCs w:val="24"/>
        </w:rPr>
      </w:pPr>
    </w:p>
    <w:p w14:paraId="670DC783" w14:textId="4ABD3E0F" w:rsidR="00922E67" w:rsidRDefault="00922E67" w:rsidP="00BE3BCB">
      <w:pPr>
        <w:pStyle w:val="ListParagraph"/>
        <w:widowControl w:val="0"/>
        <w:numPr>
          <w:ilvl w:val="0"/>
          <w:numId w:val="54"/>
        </w:numPr>
        <w:tabs>
          <w:tab w:val="left" w:pos="700"/>
        </w:tabs>
        <w:autoSpaceDE w:val="0"/>
        <w:autoSpaceDN w:val="0"/>
        <w:adjustRightInd w:val="0"/>
        <w:jc w:val="both"/>
        <w:rPr>
          <w:rFonts w:ascii="Times New Roman" w:hAnsi="Times New Roman" w:cs="Times New Roman"/>
          <w:bCs/>
          <w:sz w:val="24"/>
          <w:szCs w:val="24"/>
        </w:rPr>
      </w:pPr>
      <w:r w:rsidRPr="00922E67">
        <w:rPr>
          <w:rFonts w:ascii="Times New Roman" w:hAnsi="Times New Roman" w:cs="Times New Roman"/>
          <w:bCs/>
          <w:sz w:val="24"/>
          <w:szCs w:val="24"/>
        </w:rPr>
        <w:t>A6.</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Daño</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causado</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por</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plagas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alimentos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animales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vegetales</w:t>
      </w:r>
      <w:r>
        <w:rPr>
          <w:rFonts w:ascii="Times New Roman" w:hAnsi="Times New Roman" w:cs="Times New Roman"/>
          <w:bCs/>
          <w:sz w:val="24"/>
          <w:szCs w:val="24"/>
        </w:rPr>
        <w:t>.</w:t>
      </w:r>
    </w:p>
    <w:p w14:paraId="2E496133" w14:textId="77777777" w:rsidR="00922E67" w:rsidRPr="00922E67" w:rsidRDefault="00922E67" w:rsidP="00922E67">
      <w:pPr>
        <w:pStyle w:val="ListParagraph"/>
        <w:rPr>
          <w:rFonts w:ascii="Times New Roman" w:hAnsi="Times New Roman" w:cs="Times New Roman"/>
          <w:bCs/>
          <w:sz w:val="24"/>
          <w:szCs w:val="24"/>
        </w:rPr>
      </w:pPr>
    </w:p>
    <w:p w14:paraId="0A05D294" w14:textId="21F4AA71" w:rsidR="00922E67" w:rsidRDefault="00922E67" w:rsidP="00BE3BCB">
      <w:pPr>
        <w:pStyle w:val="ListParagraph"/>
        <w:numPr>
          <w:ilvl w:val="0"/>
          <w:numId w:val="54"/>
        </w:numPr>
        <w:spacing w:after="0" w:line="240" w:lineRule="auto"/>
        <w:ind w:left="714" w:hanging="357"/>
        <w:jc w:val="both"/>
        <w:rPr>
          <w:rFonts w:ascii="Times New Roman" w:hAnsi="Times New Roman" w:cs="Times New Roman"/>
          <w:bCs/>
          <w:sz w:val="24"/>
          <w:szCs w:val="24"/>
        </w:rPr>
      </w:pPr>
      <w:r w:rsidRPr="00922E67">
        <w:rPr>
          <w:rFonts w:ascii="Times New Roman" w:hAnsi="Times New Roman" w:cs="Times New Roman"/>
          <w:bCs/>
          <w:sz w:val="24"/>
          <w:szCs w:val="24"/>
        </w:rPr>
        <w:t>A7.</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Apoyar</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iniciativas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desarrollo</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acuicultura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región.</w:t>
      </w:r>
    </w:p>
    <w:p w14:paraId="36CD6791" w14:textId="77777777" w:rsidR="00922E67" w:rsidRPr="00922E67" w:rsidRDefault="00922E67" w:rsidP="00922E67">
      <w:pPr>
        <w:spacing w:after="0" w:line="240" w:lineRule="auto"/>
        <w:jc w:val="both"/>
        <w:rPr>
          <w:rFonts w:ascii="Times New Roman" w:hAnsi="Times New Roman" w:cs="Times New Roman"/>
          <w:bCs/>
          <w:sz w:val="24"/>
          <w:szCs w:val="24"/>
        </w:rPr>
      </w:pPr>
    </w:p>
    <w:p w14:paraId="2A78D36A" w14:textId="01D19715" w:rsidR="00922E67" w:rsidRPr="00922E67" w:rsidRDefault="00922E67" w:rsidP="00BE3BCB">
      <w:pPr>
        <w:pStyle w:val="ListParagraph"/>
        <w:numPr>
          <w:ilvl w:val="0"/>
          <w:numId w:val="54"/>
        </w:numPr>
        <w:spacing w:after="0" w:line="240" w:lineRule="auto"/>
        <w:ind w:left="714" w:hanging="357"/>
        <w:jc w:val="both"/>
        <w:rPr>
          <w:rFonts w:ascii="Times New Roman" w:hAnsi="Times New Roman" w:cs="Times New Roman"/>
          <w:bCs/>
          <w:sz w:val="24"/>
          <w:szCs w:val="24"/>
        </w:rPr>
      </w:pPr>
      <w:r w:rsidRPr="00922E67">
        <w:rPr>
          <w:rFonts w:ascii="Times New Roman" w:hAnsi="Times New Roman" w:cs="Times New Roman"/>
          <w:bCs/>
          <w:sz w:val="24"/>
          <w:szCs w:val="24"/>
        </w:rPr>
        <w:t>A8.</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Fortalecimiento</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estrategias</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control</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922E67">
        <w:rPr>
          <w:rFonts w:ascii="Times New Roman" w:hAnsi="Times New Roman" w:cs="Times New Roman"/>
          <w:bCs/>
          <w:sz w:val="24"/>
          <w:szCs w:val="24"/>
        </w:rPr>
        <w:t>mosquitos</w:t>
      </w:r>
    </w:p>
    <w:p w14:paraId="23798BEC" w14:textId="77777777" w:rsidR="00922E67" w:rsidRPr="00922E67" w:rsidRDefault="00922E67" w:rsidP="00922E67">
      <w:pPr>
        <w:widowControl w:val="0"/>
        <w:tabs>
          <w:tab w:val="left" w:pos="700"/>
        </w:tabs>
        <w:autoSpaceDE w:val="0"/>
        <w:autoSpaceDN w:val="0"/>
        <w:adjustRightInd w:val="0"/>
        <w:jc w:val="both"/>
        <w:rPr>
          <w:rFonts w:ascii="Times New Roman" w:hAnsi="Times New Roman" w:cs="Times New Roman"/>
          <w:bCs/>
          <w:sz w:val="24"/>
          <w:szCs w:val="24"/>
        </w:rPr>
      </w:pPr>
    </w:p>
    <w:p w14:paraId="371E2E6F" w14:textId="2FDC5703" w:rsidR="00D73936" w:rsidRDefault="00D73936" w:rsidP="00BE3BCB">
      <w:pPr>
        <w:pStyle w:val="BodyText"/>
        <w:numPr>
          <w:ilvl w:val="0"/>
          <w:numId w:val="53"/>
        </w:numPr>
        <w:rPr>
          <w:lang w:val="es-ES"/>
        </w:rPr>
      </w:pPr>
      <w:r>
        <w:rPr>
          <w:lang w:val="es-ES"/>
        </w:rPr>
        <w:t>N</w:t>
      </w:r>
      <w:r w:rsidRPr="00C36E86">
        <w:rPr>
          <w:lang w:val="es-ES"/>
        </w:rPr>
        <w:t>ecesidades/</w:t>
      </w:r>
      <w:r>
        <w:rPr>
          <w:lang w:val="es-ES"/>
        </w:rPr>
        <w:t>P</w:t>
      </w:r>
      <w:r w:rsidRPr="00C36E86">
        <w:rPr>
          <w:lang w:val="es-ES"/>
        </w:rPr>
        <w:t>roblemas</w:t>
      </w:r>
      <w:r w:rsidR="00D136BB">
        <w:rPr>
          <w:lang w:val="es-ES"/>
        </w:rPr>
        <w:t xml:space="preserve"> </w:t>
      </w:r>
      <w:r>
        <w:rPr>
          <w:lang w:val="es-ES"/>
        </w:rPr>
        <w:t>en</w:t>
      </w:r>
      <w:r w:rsidR="00D136BB">
        <w:rPr>
          <w:lang w:val="es-ES"/>
        </w:rPr>
        <w:t xml:space="preserve"> </w:t>
      </w:r>
      <w:r w:rsidR="00922E67">
        <w:rPr>
          <w:lang w:val="es-ES"/>
        </w:rPr>
        <w:t>Salud</w:t>
      </w:r>
      <w:r w:rsidR="00D136BB">
        <w:rPr>
          <w:lang w:val="es-ES"/>
        </w:rPr>
        <w:t xml:space="preserve"> </w:t>
      </w:r>
      <w:r w:rsidR="00922E67">
        <w:rPr>
          <w:lang w:val="es-ES"/>
        </w:rPr>
        <w:t>Humana:</w:t>
      </w:r>
    </w:p>
    <w:p w14:paraId="4A420BE6" w14:textId="5169E095" w:rsidR="00922E67" w:rsidRDefault="0030156F" w:rsidP="00BE3BCB">
      <w:pPr>
        <w:pStyle w:val="BodyText"/>
        <w:numPr>
          <w:ilvl w:val="0"/>
          <w:numId w:val="56"/>
        </w:numPr>
        <w:rPr>
          <w:lang w:val="es-ES"/>
        </w:rPr>
      </w:pPr>
      <w:r w:rsidRPr="0030156F">
        <w:rPr>
          <w:lang w:val="es-ES"/>
        </w:rPr>
        <w:t>S1.</w:t>
      </w:r>
      <w:r w:rsidR="00D136BB">
        <w:rPr>
          <w:lang w:val="es-ES"/>
        </w:rPr>
        <w:t xml:space="preserve"> </w:t>
      </w:r>
      <w:r w:rsidRPr="0030156F">
        <w:rPr>
          <w:lang w:val="es-ES"/>
        </w:rPr>
        <w:t>Insuficiente</w:t>
      </w:r>
      <w:r w:rsidR="00D136BB">
        <w:rPr>
          <w:lang w:val="es-ES"/>
        </w:rPr>
        <w:t xml:space="preserve"> </w:t>
      </w:r>
      <w:r w:rsidRPr="0030156F">
        <w:rPr>
          <w:lang w:val="es-ES"/>
        </w:rPr>
        <w:t>número</w:t>
      </w:r>
      <w:r w:rsidR="00D136BB">
        <w:rPr>
          <w:lang w:val="es-ES"/>
        </w:rPr>
        <w:t xml:space="preserve"> </w:t>
      </w:r>
      <w:r w:rsidRPr="0030156F">
        <w:rPr>
          <w:lang w:val="es-ES"/>
        </w:rPr>
        <w:t>de</w:t>
      </w:r>
      <w:r w:rsidR="00D136BB">
        <w:rPr>
          <w:lang w:val="es-ES"/>
        </w:rPr>
        <w:t xml:space="preserve"> </w:t>
      </w:r>
      <w:r w:rsidRPr="0030156F">
        <w:rPr>
          <w:lang w:val="es-ES"/>
        </w:rPr>
        <w:t>profesionales</w:t>
      </w:r>
      <w:r w:rsidR="00D136BB">
        <w:rPr>
          <w:lang w:val="es-ES"/>
        </w:rPr>
        <w:t xml:space="preserve"> </w:t>
      </w:r>
      <w:r w:rsidRPr="0030156F">
        <w:rPr>
          <w:lang w:val="es-ES"/>
        </w:rPr>
        <w:t>capacitados</w:t>
      </w:r>
      <w:r w:rsidR="00D136BB">
        <w:rPr>
          <w:lang w:val="es-ES"/>
        </w:rPr>
        <w:t xml:space="preserve"> </w:t>
      </w:r>
      <w:r w:rsidRPr="0030156F">
        <w:rPr>
          <w:lang w:val="es-ES"/>
        </w:rPr>
        <w:t>y</w:t>
      </w:r>
      <w:r w:rsidR="00D136BB">
        <w:rPr>
          <w:lang w:val="es-ES"/>
        </w:rPr>
        <w:t xml:space="preserve"> </w:t>
      </w:r>
      <w:r w:rsidRPr="0030156F">
        <w:rPr>
          <w:lang w:val="es-ES"/>
        </w:rPr>
        <w:t>guías</w:t>
      </w:r>
      <w:r w:rsidR="00D136BB">
        <w:rPr>
          <w:lang w:val="es-ES"/>
        </w:rPr>
        <w:t xml:space="preserve"> </w:t>
      </w:r>
      <w:r w:rsidRPr="0030156F">
        <w:rPr>
          <w:lang w:val="es-ES"/>
        </w:rPr>
        <w:t>clínicas</w:t>
      </w:r>
      <w:r w:rsidR="00D136BB">
        <w:rPr>
          <w:lang w:val="es-ES"/>
        </w:rPr>
        <w:t xml:space="preserve"> </w:t>
      </w:r>
      <w:r w:rsidRPr="0030156F">
        <w:rPr>
          <w:lang w:val="es-ES"/>
        </w:rPr>
        <w:t>armonizadas</w:t>
      </w:r>
      <w:r w:rsidR="00D136BB">
        <w:rPr>
          <w:lang w:val="es-ES"/>
        </w:rPr>
        <w:t xml:space="preserve"> </w:t>
      </w:r>
      <w:r w:rsidRPr="0030156F">
        <w:rPr>
          <w:lang w:val="es-ES"/>
        </w:rPr>
        <w:t>para</w:t>
      </w:r>
      <w:r w:rsidR="00D136BB">
        <w:rPr>
          <w:lang w:val="es-ES"/>
        </w:rPr>
        <w:t xml:space="preserve"> </w:t>
      </w:r>
      <w:r w:rsidRPr="0030156F">
        <w:rPr>
          <w:lang w:val="es-ES"/>
        </w:rPr>
        <w:t>el</w:t>
      </w:r>
      <w:r w:rsidR="00D136BB">
        <w:rPr>
          <w:lang w:val="es-ES"/>
        </w:rPr>
        <w:t xml:space="preserve"> </w:t>
      </w:r>
      <w:r w:rsidRPr="0030156F">
        <w:rPr>
          <w:lang w:val="es-ES"/>
        </w:rPr>
        <w:t>uso</w:t>
      </w:r>
      <w:r w:rsidR="00D136BB">
        <w:rPr>
          <w:lang w:val="es-ES"/>
        </w:rPr>
        <w:t xml:space="preserve"> </w:t>
      </w:r>
      <w:r w:rsidRPr="0030156F">
        <w:rPr>
          <w:lang w:val="es-ES"/>
        </w:rPr>
        <w:t>de</w:t>
      </w:r>
      <w:r w:rsidR="00D136BB">
        <w:rPr>
          <w:lang w:val="es-ES"/>
        </w:rPr>
        <w:t xml:space="preserve"> </w:t>
      </w:r>
      <w:r w:rsidRPr="0030156F">
        <w:rPr>
          <w:lang w:val="es-ES"/>
        </w:rPr>
        <w:t>las</w:t>
      </w:r>
      <w:r w:rsidR="00D136BB">
        <w:rPr>
          <w:lang w:val="es-ES"/>
        </w:rPr>
        <w:t xml:space="preserve"> </w:t>
      </w:r>
      <w:r w:rsidRPr="0030156F">
        <w:rPr>
          <w:lang w:val="es-ES"/>
        </w:rPr>
        <w:t>nuevas</w:t>
      </w:r>
      <w:r w:rsidR="00D136BB">
        <w:rPr>
          <w:lang w:val="es-ES"/>
        </w:rPr>
        <w:t xml:space="preserve"> </w:t>
      </w:r>
      <w:r w:rsidRPr="0030156F">
        <w:rPr>
          <w:lang w:val="es-ES"/>
        </w:rPr>
        <w:t>tecnologías</w:t>
      </w:r>
      <w:r w:rsidR="00D136BB">
        <w:rPr>
          <w:lang w:val="es-ES"/>
        </w:rPr>
        <w:t xml:space="preserve"> </w:t>
      </w:r>
      <w:r w:rsidRPr="0030156F">
        <w:rPr>
          <w:lang w:val="es-ES"/>
        </w:rPr>
        <w:t>en</w:t>
      </w:r>
      <w:r w:rsidR="00D136BB">
        <w:rPr>
          <w:lang w:val="es-ES"/>
        </w:rPr>
        <w:t xml:space="preserve"> </w:t>
      </w:r>
      <w:r w:rsidRPr="0030156F">
        <w:rPr>
          <w:lang w:val="es-ES"/>
        </w:rPr>
        <w:t>el</w:t>
      </w:r>
      <w:r w:rsidR="00D136BB">
        <w:rPr>
          <w:lang w:val="es-ES"/>
        </w:rPr>
        <w:t xml:space="preserve"> </w:t>
      </w:r>
      <w:r w:rsidRPr="0030156F">
        <w:rPr>
          <w:lang w:val="es-ES"/>
        </w:rPr>
        <w:t>marco</w:t>
      </w:r>
      <w:r w:rsidR="00D136BB">
        <w:rPr>
          <w:lang w:val="es-ES"/>
        </w:rPr>
        <w:t xml:space="preserve"> </w:t>
      </w:r>
      <w:r w:rsidRPr="0030156F">
        <w:rPr>
          <w:lang w:val="es-ES"/>
        </w:rPr>
        <w:t>de</w:t>
      </w:r>
      <w:r w:rsidR="00D136BB">
        <w:rPr>
          <w:lang w:val="es-ES"/>
        </w:rPr>
        <w:t xml:space="preserve"> </w:t>
      </w:r>
      <w:r w:rsidRPr="0030156F">
        <w:rPr>
          <w:lang w:val="es-ES"/>
        </w:rPr>
        <w:t>la</w:t>
      </w:r>
      <w:r w:rsidR="00D136BB">
        <w:rPr>
          <w:lang w:val="es-ES"/>
        </w:rPr>
        <w:t xml:space="preserve"> </w:t>
      </w:r>
      <w:r w:rsidRPr="0030156F">
        <w:rPr>
          <w:lang w:val="es-ES"/>
        </w:rPr>
        <w:t>multimodalidad</w:t>
      </w:r>
      <w:r w:rsidR="00D136BB">
        <w:rPr>
          <w:lang w:val="es-ES"/>
        </w:rPr>
        <w:t xml:space="preserve"> </w:t>
      </w:r>
      <w:r w:rsidRPr="0030156F">
        <w:rPr>
          <w:lang w:val="es-ES"/>
        </w:rPr>
        <w:t>de</w:t>
      </w:r>
      <w:r w:rsidR="00D136BB">
        <w:rPr>
          <w:lang w:val="es-ES"/>
        </w:rPr>
        <w:t xml:space="preserve"> </w:t>
      </w:r>
      <w:r w:rsidRPr="0030156F">
        <w:rPr>
          <w:lang w:val="es-ES"/>
        </w:rPr>
        <w:t>imágenes</w:t>
      </w:r>
      <w:r w:rsidR="00D136BB">
        <w:rPr>
          <w:lang w:val="es-ES"/>
        </w:rPr>
        <w:t xml:space="preserve"> </w:t>
      </w:r>
      <w:r w:rsidRPr="0030156F">
        <w:rPr>
          <w:lang w:val="es-ES"/>
        </w:rPr>
        <w:t>para</w:t>
      </w:r>
      <w:r w:rsidR="00D136BB">
        <w:rPr>
          <w:lang w:val="es-ES"/>
        </w:rPr>
        <w:t xml:space="preserve"> </w:t>
      </w:r>
      <w:r w:rsidRPr="0030156F">
        <w:rPr>
          <w:lang w:val="es-ES"/>
        </w:rPr>
        <w:t>el</w:t>
      </w:r>
      <w:r w:rsidR="00D136BB">
        <w:rPr>
          <w:lang w:val="es-ES"/>
        </w:rPr>
        <w:t xml:space="preserve"> </w:t>
      </w:r>
      <w:r w:rsidRPr="0030156F">
        <w:rPr>
          <w:lang w:val="es-ES"/>
        </w:rPr>
        <w:t>diagnóstico,</w:t>
      </w:r>
      <w:r w:rsidR="00D136BB">
        <w:rPr>
          <w:lang w:val="es-ES"/>
        </w:rPr>
        <w:t xml:space="preserve"> </w:t>
      </w:r>
      <w:r w:rsidRPr="0030156F">
        <w:rPr>
          <w:lang w:val="es-ES"/>
        </w:rPr>
        <w:t>estratificación</w:t>
      </w:r>
      <w:r w:rsidR="00D136BB">
        <w:rPr>
          <w:lang w:val="es-ES"/>
        </w:rPr>
        <w:t xml:space="preserve"> </w:t>
      </w:r>
      <w:r w:rsidRPr="0030156F">
        <w:rPr>
          <w:lang w:val="es-ES"/>
        </w:rPr>
        <w:t>de</w:t>
      </w:r>
      <w:r w:rsidR="00D136BB">
        <w:rPr>
          <w:lang w:val="es-ES"/>
        </w:rPr>
        <w:t xml:space="preserve"> </w:t>
      </w:r>
      <w:r w:rsidRPr="0030156F">
        <w:rPr>
          <w:lang w:val="es-ES"/>
        </w:rPr>
        <w:t>riesgo,</w:t>
      </w:r>
      <w:r w:rsidR="00D136BB">
        <w:rPr>
          <w:lang w:val="es-ES"/>
        </w:rPr>
        <w:t xml:space="preserve"> </w:t>
      </w:r>
      <w:r w:rsidRPr="0030156F">
        <w:rPr>
          <w:lang w:val="es-ES"/>
        </w:rPr>
        <w:t>así</w:t>
      </w:r>
      <w:r w:rsidR="00D136BB">
        <w:rPr>
          <w:lang w:val="es-ES"/>
        </w:rPr>
        <w:t xml:space="preserve"> </w:t>
      </w:r>
      <w:r w:rsidRPr="0030156F">
        <w:rPr>
          <w:lang w:val="es-ES"/>
        </w:rPr>
        <w:t>como</w:t>
      </w:r>
      <w:r w:rsidR="00D136BB">
        <w:rPr>
          <w:lang w:val="es-ES"/>
        </w:rPr>
        <w:t xml:space="preserve"> </w:t>
      </w:r>
      <w:r w:rsidRPr="0030156F">
        <w:rPr>
          <w:lang w:val="es-ES"/>
        </w:rPr>
        <w:t>guías</w:t>
      </w:r>
      <w:r w:rsidR="00D136BB">
        <w:rPr>
          <w:lang w:val="es-ES"/>
        </w:rPr>
        <w:t xml:space="preserve"> </w:t>
      </w:r>
      <w:r w:rsidRPr="0030156F">
        <w:rPr>
          <w:lang w:val="es-ES"/>
        </w:rPr>
        <w:t>para</w:t>
      </w:r>
      <w:r w:rsidR="00D136BB">
        <w:rPr>
          <w:lang w:val="es-ES"/>
        </w:rPr>
        <w:t xml:space="preserve"> </w:t>
      </w:r>
      <w:r w:rsidRPr="0030156F">
        <w:rPr>
          <w:lang w:val="es-ES"/>
        </w:rPr>
        <w:t>un</w:t>
      </w:r>
      <w:r w:rsidR="00D136BB">
        <w:rPr>
          <w:lang w:val="es-ES"/>
        </w:rPr>
        <w:t xml:space="preserve"> </w:t>
      </w:r>
      <w:r w:rsidRPr="0030156F">
        <w:rPr>
          <w:lang w:val="es-ES"/>
        </w:rPr>
        <w:t>tratamiento</w:t>
      </w:r>
      <w:r w:rsidR="00D136BB">
        <w:rPr>
          <w:lang w:val="es-ES"/>
        </w:rPr>
        <w:t xml:space="preserve"> </w:t>
      </w:r>
      <w:r w:rsidRPr="0030156F">
        <w:rPr>
          <w:lang w:val="es-ES"/>
        </w:rPr>
        <w:t>adecuado</w:t>
      </w:r>
      <w:r w:rsidR="00D136BB">
        <w:rPr>
          <w:lang w:val="es-ES"/>
        </w:rPr>
        <w:t xml:space="preserve"> </w:t>
      </w:r>
      <w:r w:rsidRPr="0030156F">
        <w:rPr>
          <w:lang w:val="es-ES"/>
        </w:rPr>
        <w:t>de</w:t>
      </w:r>
      <w:r w:rsidR="00D136BB">
        <w:rPr>
          <w:lang w:val="es-ES"/>
        </w:rPr>
        <w:t xml:space="preserve"> </w:t>
      </w:r>
      <w:r w:rsidRPr="0030156F">
        <w:rPr>
          <w:lang w:val="es-ES"/>
        </w:rPr>
        <w:t>las</w:t>
      </w:r>
      <w:r w:rsidR="00D136BB">
        <w:rPr>
          <w:lang w:val="es-ES"/>
        </w:rPr>
        <w:t xml:space="preserve"> </w:t>
      </w:r>
      <w:r w:rsidRPr="0030156F">
        <w:rPr>
          <w:lang w:val="es-ES"/>
        </w:rPr>
        <w:t>enfermedades</w:t>
      </w:r>
      <w:r w:rsidR="00D136BB">
        <w:rPr>
          <w:lang w:val="es-ES"/>
        </w:rPr>
        <w:t xml:space="preserve"> </w:t>
      </w:r>
      <w:r w:rsidRPr="0030156F">
        <w:rPr>
          <w:lang w:val="es-ES"/>
        </w:rPr>
        <w:t>cardiovasculares</w:t>
      </w:r>
      <w:r w:rsidR="00D136BB">
        <w:rPr>
          <w:lang w:val="es-ES"/>
        </w:rPr>
        <w:t xml:space="preserve"> </w:t>
      </w:r>
      <w:r w:rsidRPr="0030156F">
        <w:rPr>
          <w:lang w:val="es-ES"/>
        </w:rPr>
        <w:t>y</w:t>
      </w:r>
      <w:r w:rsidR="00D136BB">
        <w:rPr>
          <w:lang w:val="es-ES"/>
        </w:rPr>
        <w:t xml:space="preserve"> </w:t>
      </w:r>
      <w:r w:rsidRPr="0030156F">
        <w:rPr>
          <w:lang w:val="es-ES"/>
        </w:rPr>
        <w:t>cerebrovasculares.</w:t>
      </w:r>
    </w:p>
    <w:p w14:paraId="1D6033C6" w14:textId="07FF7FD5" w:rsidR="0030156F" w:rsidRDefault="0030156F" w:rsidP="00BE3BCB">
      <w:pPr>
        <w:pStyle w:val="BodyText"/>
        <w:numPr>
          <w:ilvl w:val="0"/>
          <w:numId w:val="56"/>
        </w:numPr>
        <w:rPr>
          <w:lang w:val="es-ES"/>
        </w:rPr>
      </w:pPr>
      <w:r w:rsidRPr="0030156F">
        <w:rPr>
          <w:lang w:val="es-ES"/>
        </w:rPr>
        <w:t>S2.</w:t>
      </w:r>
      <w:r w:rsidR="00D136BB">
        <w:rPr>
          <w:lang w:val="es-ES"/>
        </w:rPr>
        <w:t xml:space="preserve"> </w:t>
      </w:r>
      <w:r w:rsidRPr="0030156F">
        <w:rPr>
          <w:lang w:val="es-ES"/>
        </w:rPr>
        <w:t>Insuficiente</w:t>
      </w:r>
      <w:r w:rsidR="00D136BB">
        <w:rPr>
          <w:lang w:val="es-ES"/>
        </w:rPr>
        <w:t xml:space="preserve"> </w:t>
      </w:r>
      <w:r w:rsidRPr="0030156F">
        <w:rPr>
          <w:lang w:val="es-ES"/>
        </w:rPr>
        <w:t>número</w:t>
      </w:r>
      <w:r w:rsidR="00D136BB">
        <w:rPr>
          <w:lang w:val="es-ES"/>
        </w:rPr>
        <w:t xml:space="preserve"> </w:t>
      </w:r>
      <w:r w:rsidRPr="0030156F">
        <w:rPr>
          <w:lang w:val="es-ES"/>
        </w:rPr>
        <w:t>de</w:t>
      </w:r>
      <w:r w:rsidR="00D136BB">
        <w:rPr>
          <w:lang w:val="es-ES"/>
        </w:rPr>
        <w:t xml:space="preserve"> </w:t>
      </w:r>
      <w:r w:rsidRPr="0030156F">
        <w:rPr>
          <w:lang w:val="es-ES"/>
        </w:rPr>
        <w:t>profesionales</w:t>
      </w:r>
      <w:r w:rsidR="00D136BB">
        <w:rPr>
          <w:lang w:val="es-ES"/>
        </w:rPr>
        <w:t xml:space="preserve"> </w:t>
      </w:r>
      <w:r w:rsidRPr="0030156F">
        <w:rPr>
          <w:lang w:val="es-ES"/>
        </w:rPr>
        <w:t>capacitados</w:t>
      </w:r>
      <w:r w:rsidR="00D136BB">
        <w:rPr>
          <w:lang w:val="es-ES"/>
        </w:rPr>
        <w:t xml:space="preserve"> </w:t>
      </w:r>
      <w:r w:rsidRPr="0030156F">
        <w:rPr>
          <w:lang w:val="es-ES"/>
        </w:rPr>
        <w:t>y</w:t>
      </w:r>
      <w:r w:rsidR="00D136BB">
        <w:rPr>
          <w:lang w:val="es-ES"/>
        </w:rPr>
        <w:t xml:space="preserve"> </w:t>
      </w:r>
      <w:r w:rsidRPr="0030156F">
        <w:rPr>
          <w:lang w:val="es-ES"/>
        </w:rPr>
        <w:t>guías</w:t>
      </w:r>
      <w:r w:rsidR="00D136BB">
        <w:rPr>
          <w:lang w:val="es-ES"/>
        </w:rPr>
        <w:t xml:space="preserve"> </w:t>
      </w:r>
      <w:r w:rsidRPr="0030156F">
        <w:rPr>
          <w:lang w:val="es-ES"/>
        </w:rPr>
        <w:t>clínicas</w:t>
      </w:r>
      <w:r w:rsidR="00D136BB">
        <w:rPr>
          <w:lang w:val="es-ES"/>
        </w:rPr>
        <w:t xml:space="preserve"> </w:t>
      </w:r>
      <w:r w:rsidRPr="0030156F">
        <w:rPr>
          <w:lang w:val="es-ES"/>
        </w:rPr>
        <w:t>armonizadas,</w:t>
      </w:r>
      <w:r w:rsidR="00D136BB">
        <w:rPr>
          <w:lang w:val="es-ES"/>
        </w:rPr>
        <w:t xml:space="preserve"> </w:t>
      </w:r>
      <w:r w:rsidRPr="0030156F">
        <w:rPr>
          <w:lang w:val="es-ES"/>
        </w:rPr>
        <w:t>para</w:t>
      </w:r>
      <w:r w:rsidR="00D136BB">
        <w:rPr>
          <w:lang w:val="es-ES"/>
        </w:rPr>
        <w:t xml:space="preserve"> </w:t>
      </w:r>
      <w:r w:rsidRPr="0030156F">
        <w:rPr>
          <w:lang w:val="es-ES"/>
        </w:rPr>
        <w:t>la</w:t>
      </w:r>
      <w:r w:rsidR="00D136BB">
        <w:rPr>
          <w:lang w:val="es-ES"/>
        </w:rPr>
        <w:t xml:space="preserve"> </w:t>
      </w:r>
      <w:r w:rsidRPr="0030156F">
        <w:rPr>
          <w:lang w:val="es-ES"/>
        </w:rPr>
        <w:t>utilización</w:t>
      </w:r>
      <w:r w:rsidR="00D136BB">
        <w:rPr>
          <w:lang w:val="es-ES"/>
        </w:rPr>
        <w:t xml:space="preserve"> </w:t>
      </w:r>
      <w:r w:rsidRPr="0030156F">
        <w:rPr>
          <w:lang w:val="es-ES"/>
        </w:rPr>
        <w:t>y</w:t>
      </w:r>
      <w:r w:rsidR="00D136BB">
        <w:rPr>
          <w:lang w:val="es-ES"/>
        </w:rPr>
        <w:t xml:space="preserve"> </w:t>
      </w:r>
      <w:r w:rsidRPr="0030156F">
        <w:rPr>
          <w:lang w:val="es-ES"/>
        </w:rPr>
        <w:t>desarrollo</w:t>
      </w:r>
      <w:r w:rsidR="00D136BB">
        <w:rPr>
          <w:lang w:val="es-ES"/>
        </w:rPr>
        <w:t xml:space="preserve"> </w:t>
      </w:r>
      <w:r w:rsidRPr="0030156F">
        <w:rPr>
          <w:lang w:val="es-ES"/>
        </w:rPr>
        <w:t>de</w:t>
      </w:r>
      <w:r w:rsidR="00D136BB">
        <w:rPr>
          <w:lang w:val="es-ES"/>
        </w:rPr>
        <w:t xml:space="preserve"> </w:t>
      </w:r>
      <w:r w:rsidRPr="0030156F">
        <w:rPr>
          <w:lang w:val="es-ES"/>
        </w:rPr>
        <w:t>radiofármacos</w:t>
      </w:r>
      <w:r w:rsidR="00D136BB">
        <w:rPr>
          <w:lang w:val="es-ES"/>
        </w:rPr>
        <w:t xml:space="preserve"> </w:t>
      </w:r>
      <w:r w:rsidRPr="0030156F">
        <w:rPr>
          <w:lang w:val="es-ES"/>
        </w:rPr>
        <w:t>y</w:t>
      </w:r>
      <w:r w:rsidR="00D136BB">
        <w:rPr>
          <w:lang w:val="es-ES"/>
        </w:rPr>
        <w:t xml:space="preserve"> </w:t>
      </w:r>
      <w:r w:rsidRPr="0030156F">
        <w:rPr>
          <w:lang w:val="es-ES"/>
        </w:rPr>
        <w:t>dosimetría</w:t>
      </w:r>
      <w:r w:rsidR="00D136BB">
        <w:rPr>
          <w:lang w:val="es-ES"/>
        </w:rPr>
        <w:t xml:space="preserve"> </w:t>
      </w:r>
      <w:r w:rsidRPr="0030156F">
        <w:rPr>
          <w:lang w:val="es-ES"/>
        </w:rPr>
        <w:t>para</w:t>
      </w:r>
      <w:r w:rsidR="00D136BB">
        <w:rPr>
          <w:lang w:val="es-ES"/>
        </w:rPr>
        <w:t xml:space="preserve"> </w:t>
      </w:r>
      <w:r w:rsidRPr="0030156F">
        <w:rPr>
          <w:lang w:val="es-ES"/>
        </w:rPr>
        <w:t>diagnóstico</w:t>
      </w:r>
      <w:r w:rsidR="00D136BB">
        <w:rPr>
          <w:lang w:val="es-ES"/>
        </w:rPr>
        <w:t xml:space="preserve"> </w:t>
      </w:r>
      <w:r w:rsidRPr="0030156F">
        <w:rPr>
          <w:lang w:val="es-ES"/>
        </w:rPr>
        <w:t>y</w:t>
      </w:r>
      <w:r w:rsidR="00D136BB">
        <w:rPr>
          <w:lang w:val="es-ES"/>
        </w:rPr>
        <w:t xml:space="preserve"> </w:t>
      </w:r>
      <w:r w:rsidRPr="0030156F">
        <w:rPr>
          <w:lang w:val="es-ES"/>
        </w:rPr>
        <w:t>tratamiento</w:t>
      </w:r>
      <w:r w:rsidR="00D136BB">
        <w:rPr>
          <w:lang w:val="es-ES"/>
        </w:rPr>
        <w:t xml:space="preserve"> </w:t>
      </w:r>
      <w:r w:rsidRPr="0030156F">
        <w:rPr>
          <w:lang w:val="es-ES"/>
        </w:rPr>
        <w:t>con</w:t>
      </w:r>
      <w:r w:rsidR="00D136BB">
        <w:rPr>
          <w:lang w:val="es-ES"/>
        </w:rPr>
        <w:t xml:space="preserve"> </w:t>
      </w:r>
      <w:r w:rsidRPr="0030156F">
        <w:rPr>
          <w:lang w:val="es-ES"/>
        </w:rPr>
        <w:t>teranósticos.</w:t>
      </w:r>
    </w:p>
    <w:p w14:paraId="7A948D56" w14:textId="7DE93CD0" w:rsidR="0030156F" w:rsidRDefault="0030156F" w:rsidP="00BE3BCB">
      <w:pPr>
        <w:pStyle w:val="BodyText"/>
        <w:numPr>
          <w:ilvl w:val="0"/>
          <w:numId w:val="56"/>
        </w:numPr>
        <w:rPr>
          <w:lang w:val="es-ES"/>
        </w:rPr>
      </w:pPr>
      <w:r w:rsidRPr="0030156F">
        <w:rPr>
          <w:lang w:val="es-ES"/>
        </w:rPr>
        <w:t>S3.</w:t>
      </w:r>
      <w:r w:rsidR="00D136BB">
        <w:rPr>
          <w:lang w:val="es-ES"/>
        </w:rPr>
        <w:t xml:space="preserve"> </w:t>
      </w:r>
      <w:r w:rsidRPr="0030156F">
        <w:rPr>
          <w:lang w:val="es-ES"/>
        </w:rPr>
        <w:t>Insuficiente</w:t>
      </w:r>
      <w:r w:rsidR="00D136BB">
        <w:rPr>
          <w:lang w:val="es-ES"/>
        </w:rPr>
        <w:t xml:space="preserve"> </w:t>
      </w:r>
      <w:r w:rsidRPr="0030156F">
        <w:rPr>
          <w:lang w:val="es-ES"/>
        </w:rPr>
        <w:t>número</w:t>
      </w:r>
      <w:r w:rsidR="00D136BB">
        <w:rPr>
          <w:lang w:val="es-ES"/>
        </w:rPr>
        <w:t xml:space="preserve"> </w:t>
      </w:r>
      <w:r w:rsidRPr="0030156F">
        <w:rPr>
          <w:lang w:val="es-ES"/>
        </w:rPr>
        <w:t>de</w:t>
      </w:r>
      <w:r w:rsidR="00D136BB">
        <w:rPr>
          <w:lang w:val="es-ES"/>
        </w:rPr>
        <w:t xml:space="preserve"> </w:t>
      </w:r>
      <w:r w:rsidRPr="0030156F">
        <w:rPr>
          <w:lang w:val="es-ES"/>
        </w:rPr>
        <w:t>profesionales</w:t>
      </w:r>
      <w:r w:rsidR="00D136BB">
        <w:rPr>
          <w:lang w:val="es-ES"/>
        </w:rPr>
        <w:t xml:space="preserve"> </w:t>
      </w:r>
      <w:r w:rsidRPr="0030156F">
        <w:rPr>
          <w:lang w:val="es-ES"/>
        </w:rPr>
        <w:t>capacitados</w:t>
      </w:r>
      <w:r w:rsidR="00D136BB">
        <w:rPr>
          <w:lang w:val="es-ES"/>
        </w:rPr>
        <w:t xml:space="preserve"> </w:t>
      </w:r>
      <w:r w:rsidRPr="0030156F">
        <w:rPr>
          <w:lang w:val="es-ES"/>
        </w:rPr>
        <w:t>y</w:t>
      </w:r>
      <w:r w:rsidR="00D136BB">
        <w:rPr>
          <w:lang w:val="es-ES"/>
        </w:rPr>
        <w:t xml:space="preserve"> </w:t>
      </w:r>
      <w:r w:rsidRPr="0030156F">
        <w:rPr>
          <w:lang w:val="es-ES"/>
        </w:rPr>
        <w:t>guías</w:t>
      </w:r>
      <w:r w:rsidR="00D136BB">
        <w:rPr>
          <w:lang w:val="es-ES"/>
        </w:rPr>
        <w:t xml:space="preserve"> </w:t>
      </w:r>
      <w:r w:rsidRPr="0030156F">
        <w:rPr>
          <w:lang w:val="es-ES"/>
        </w:rPr>
        <w:t>clínicas</w:t>
      </w:r>
      <w:r w:rsidR="00D136BB">
        <w:rPr>
          <w:lang w:val="es-ES"/>
        </w:rPr>
        <w:t xml:space="preserve"> </w:t>
      </w:r>
      <w:r w:rsidRPr="0030156F">
        <w:rPr>
          <w:lang w:val="es-ES"/>
        </w:rPr>
        <w:t>armonizadas</w:t>
      </w:r>
      <w:r w:rsidR="00D136BB">
        <w:rPr>
          <w:lang w:val="es-ES"/>
        </w:rPr>
        <w:t xml:space="preserve"> </w:t>
      </w:r>
      <w:r w:rsidRPr="0030156F">
        <w:rPr>
          <w:lang w:val="es-ES"/>
        </w:rPr>
        <w:t>para</w:t>
      </w:r>
      <w:r w:rsidR="00D136BB">
        <w:rPr>
          <w:lang w:val="es-ES"/>
        </w:rPr>
        <w:t xml:space="preserve"> </w:t>
      </w:r>
      <w:r w:rsidRPr="0030156F">
        <w:rPr>
          <w:lang w:val="es-ES"/>
        </w:rPr>
        <w:t>el</w:t>
      </w:r>
      <w:r w:rsidR="00D136BB">
        <w:rPr>
          <w:lang w:val="es-ES"/>
        </w:rPr>
        <w:t xml:space="preserve"> </w:t>
      </w:r>
      <w:r w:rsidRPr="0030156F">
        <w:rPr>
          <w:lang w:val="es-ES"/>
        </w:rPr>
        <w:t>uso</w:t>
      </w:r>
      <w:r w:rsidR="00D136BB">
        <w:rPr>
          <w:lang w:val="es-ES"/>
        </w:rPr>
        <w:t xml:space="preserve"> </w:t>
      </w:r>
      <w:r w:rsidRPr="0030156F">
        <w:rPr>
          <w:lang w:val="es-ES"/>
        </w:rPr>
        <w:t>de</w:t>
      </w:r>
      <w:r w:rsidR="00D136BB">
        <w:rPr>
          <w:lang w:val="es-ES"/>
        </w:rPr>
        <w:t xml:space="preserve"> </w:t>
      </w:r>
      <w:r w:rsidRPr="0030156F">
        <w:rPr>
          <w:lang w:val="es-ES"/>
        </w:rPr>
        <w:t>las</w:t>
      </w:r>
      <w:r w:rsidR="00D136BB">
        <w:rPr>
          <w:lang w:val="es-ES"/>
        </w:rPr>
        <w:t xml:space="preserve"> </w:t>
      </w:r>
      <w:r w:rsidRPr="0030156F">
        <w:rPr>
          <w:lang w:val="es-ES"/>
        </w:rPr>
        <w:t>nuevas</w:t>
      </w:r>
      <w:r w:rsidR="00D136BB">
        <w:rPr>
          <w:lang w:val="es-ES"/>
        </w:rPr>
        <w:t xml:space="preserve"> </w:t>
      </w:r>
      <w:r w:rsidRPr="0030156F">
        <w:rPr>
          <w:lang w:val="es-ES"/>
        </w:rPr>
        <w:t>tecnologías</w:t>
      </w:r>
      <w:r w:rsidR="00D136BB">
        <w:rPr>
          <w:lang w:val="es-ES"/>
        </w:rPr>
        <w:t xml:space="preserve"> </w:t>
      </w:r>
      <w:r w:rsidRPr="0030156F">
        <w:rPr>
          <w:lang w:val="es-ES"/>
        </w:rPr>
        <w:t>en</w:t>
      </w:r>
      <w:r w:rsidR="00D136BB">
        <w:rPr>
          <w:lang w:val="es-ES"/>
        </w:rPr>
        <w:t xml:space="preserve"> </w:t>
      </w:r>
      <w:r w:rsidRPr="0030156F">
        <w:rPr>
          <w:lang w:val="es-ES"/>
        </w:rPr>
        <w:t>medicina</w:t>
      </w:r>
      <w:r w:rsidR="00D136BB">
        <w:rPr>
          <w:lang w:val="es-ES"/>
        </w:rPr>
        <w:t xml:space="preserve"> </w:t>
      </w:r>
      <w:r w:rsidRPr="0030156F">
        <w:rPr>
          <w:lang w:val="es-ES"/>
        </w:rPr>
        <w:t>nuclear</w:t>
      </w:r>
      <w:r w:rsidR="00D136BB">
        <w:rPr>
          <w:lang w:val="es-ES"/>
        </w:rPr>
        <w:t xml:space="preserve"> </w:t>
      </w:r>
      <w:r w:rsidRPr="0030156F">
        <w:rPr>
          <w:lang w:val="es-ES"/>
        </w:rPr>
        <w:t>e</w:t>
      </w:r>
      <w:r w:rsidR="00D136BB">
        <w:rPr>
          <w:lang w:val="es-ES"/>
        </w:rPr>
        <w:t xml:space="preserve"> </w:t>
      </w:r>
      <w:r w:rsidRPr="0030156F">
        <w:rPr>
          <w:lang w:val="es-ES"/>
        </w:rPr>
        <w:t>imágenes</w:t>
      </w:r>
      <w:r w:rsidR="00D136BB">
        <w:rPr>
          <w:lang w:val="es-ES"/>
        </w:rPr>
        <w:t xml:space="preserve"> </w:t>
      </w:r>
      <w:r w:rsidRPr="0030156F">
        <w:rPr>
          <w:lang w:val="es-ES"/>
        </w:rPr>
        <w:t>diagnósticas,</w:t>
      </w:r>
      <w:r w:rsidR="00D136BB">
        <w:rPr>
          <w:lang w:val="es-ES"/>
        </w:rPr>
        <w:t xml:space="preserve"> </w:t>
      </w:r>
      <w:r w:rsidRPr="0030156F">
        <w:rPr>
          <w:lang w:val="es-ES"/>
        </w:rPr>
        <w:t>principalmente</w:t>
      </w:r>
      <w:r w:rsidR="00D136BB">
        <w:rPr>
          <w:lang w:val="es-ES"/>
        </w:rPr>
        <w:t xml:space="preserve"> </w:t>
      </w:r>
      <w:r w:rsidRPr="0030156F">
        <w:rPr>
          <w:lang w:val="es-ES"/>
        </w:rPr>
        <w:t>equipos</w:t>
      </w:r>
      <w:r w:rsidR="00D136BB">
        <w:rPr>
          <w:lang w:val="es-ES"/>
        </w:rPr>
        <w:t xml:space="preserve"> </w:t>
      </w:r>
      <w:r w:rsidRPr="0030156F">
        <w:rPr>
          <w:lang w:val="es-ES"/>
        </w:rPr>
        <w:t>híbridos</w:t>
      </w:r>
      <w:r w:rsidR="00D136BB">
        <w:rPr>
          <w:lang w:val="es-ES"/>
        </w:rPr>
        <w:t xml:space="preserve"> </w:t>
      </w:r>
      <w:r w:rsidRPr="0030156F">
        <w:rPr>
          <w:lang w:val="es-ES"/>
        </w:rPr>
        <w:t>y</w:t>
      </w:r>
      <w:r w:rsidR="00D136BB">
        <w:rPr>
          <w:lang w:val="es-ES"/>
        </w:rPr>
        <w:t xml:space="preserve"> </w:t>
      </w:r>
      <w:r w:rsidRPr="0030156F">
        <w:rPr>
          <w:lang w:val="es-ES"/>
        </w:rPr>
        <w:t>mejoramiento</w:t>
      </w:r>
      <w:r w:rsidR="00D136BB">
        <w:rPr>
          <w:lang w:val="es-ES"/>
        </w:rPr>
        <w:t xml:space="preserve"> </w:t>
      </w:r>
      <w:r w:rsidRPr="0030156F">
        <w:rPr>
          <w:lang w:val="es-ES"/>
        </w:rPr>
        <w:t>del</w:t>
      </w:r>
      <w:r w:rsidR="00D136BB">
        <w:rPr>
          <w:lang w:val="es-ES"/>
        </w:rPr>
        <w:t xml:space="preserve"> </w:t>
      </w:r>
      <w:r w:rsidRPr="0030156F">
        <w:rPr>
          <w:lang w:val="es-ES"/>
        </w:rPr>
        <w:t>equipamiento</w:t>
      </w:r>
      <w:r w:rsidR="00D136BB">
        <w:rPr>
          <w:lang w:val="es-ES"/>
        </w:rPr>
        <w:t xml:space="preserve"> </w:t>
      </w:r>
      <w:r w:rsidRPr="0030156F">
        <w:rPr>
          <w:lang w:val="es-ES"/>
        </w:rPr>
        <w:t>existente.</w:t>
      </w:r>
    </w:p>
    <w:p w14:paraId="09B17AB9" w14:textId="4ACA5871" w:rsidR="0030156F" w:rsidRDefault="0030156F" w:rsidP="00BE3BCB">
      <w:pPr>
        <w:pStyle w:val="BodyText"/>
        <w:numPr>
          <w:ilvl w:val="0"/>
          <w:numId w:val="56"/>
        </w:numPr>
        <w:rPr>
          <w:lang w:val="es-ES"/>
        </w:rPr>
      </w:pPr>
      <w:r w:rsidRPr="0030156F">
        <w:rPr>
          <w:lang w:val="es-ES"/>
        </w:rPr>
        <w:t>S4.</w:t>
      </w:r>
      <w:r w:rsidR="00D136BB">
        <w:rPr>
          <w:lang w:val="es-ES"/>
        </w:rPr>
        <w:t xml:space="preserve"> </w:t>
      </w:r>
      <w:r w:rsidRPr="0030156F">
        <w:rPr>
          <w:lang w:val="es-ES"/>
        </w:rPr>
        <w:t>Insuficiencia</w:t>
      </w:r>
      <w:r w:rsidR="00D136BB">
        <w:rPr>
          <w:lang w:val="es-ES"/>
        </w:rPr>
        <w:t xml:space="preserve"> </w:t>
      </w:r>
      <w:r w:rsidRPr="0030156F">
        <w:rPr>
          <w:lang w:val="es-ES"/>
        </w:rPr>
        <w:t>de</w:t>
      </w:r>
      <w:r w:rsidR="00D136BB">
        <w:rPr>
          <w:lang w:val="es-ES"/>
        </w:rPr>
        <w:t xml:space="preserve"> </w:t>
      </w:r>
      <w:r w:rsidRPr="0030156F">
        <w:rPr>
          <w:lang w:val="es-ES"/>
        </w:rPr>
        <w:t>recurso</w:t>
      </w:r>
      <w:r w:rsidR="00D136BB">
        <w:rPr>
          <w:lang w:val="es-ES"/>
        </w:rPr>
        <w:t xml:space="preserve"> </w:t>
      </w:r>
      <w:r w:rsidRPr="0030156F">
        <w:rPr>
          <w:lang w:val="es-ES"/>
        </w:rPr>
        <w:t>humano</w:t>
      </w:r>
      <w:r w:rsidR="00D136BB">
        <w:rPr>
          <w:lang w:val="es-ES"/>
        </w:rPr>
        <w:t xml:space="preserve"> </w:t>
      </w:r>
      <w:r w:rsidRPr="0030156F">
        <w:rPr>
          <w:lang w:val="es-ES"/>
        </w:rPr>
        <w:t>calificado</w:t>
      </w:r>
      <w:r w:rsidR="00D136BB">
        <w:rPr>
          <w:lang w:val="es-ES"/>
        </w:rPr>
        <w:t xml:space="preserve"> </w:t>
      </w:r>
      <w:r w:rsidRPr="0030156F">
        <w:rPr>
          <w:lang w:val="es-ES"/>
        </w:rPr>
        <w:t>en</w:t>
      </w:r>
      <w:r w:rsidR="00D136BB">
        <w:rPr>
          <w:lang w:val="es-ES"/>
        </w:rPr>
        <w:t xml:space="preserve"> </w:t>
      </w:r>
      <w:r w:rsidRPr="0030156F">
        <w:rPr>
          <w:lang w:val="es-ES"/>
        </w:rPr>
        <w:t>física</w:t>
      </w:r>
      <w:r w:rsidR="00D136BB">
        <w:rPr>
          <w:lang w:val="es-ES"/>
        </w:rPr>
        <w:t xml:space="preserve"> </w:t>
      </w:r>
      <w:r w:rsidRPr="0030156F">
        <w:rPr>
          <w:lang w:val="es-ES"/>
        </w:rPr>
        <w:t>médica</w:t>
      </w:r>
      <w:r w:rsidR="00D136BB">
        <w:rPr>
          <w:lang w:val="es-ES"/>
        </w:rPr>
        <w:t xml:space="preserve"> </w:t>
      </w:r>
      <w:r w:rsidRPr="0030156F">
        <w:rPr>
          <w:lang w:val="es-ES"/>
        </w:rPr>
        <w:t>en</w:t>
      </w:r>
      <w:r w:rsidR="00D136BB">
        <w:rPr>
          <w:lang w:val="es-ES"/>
        </w:rPr>
        <w:t xml:space="preserve"> </w:t>
      </w:r>
      <w:r w:rsidRPr="0030156F">
        <w:rPr>
          <w:lang w:val="es-ES"/>
        </w:rPr>
        <w:t>la</w:t>
      </w:r>
      <w:r w:rsidR="00D136BB">
        <w:rPr>
          <w:lang w:val="es-ES"/>
        </w:rPr>
        <w:t xml:space="preserve"> </w:t>
      </w:r>
      <w:r w:rsidRPr="0030156F">
        <w:rPr>
          <w:lang w:val="es-ES"/>
        </w:rPr>
        <w:t>región.</w:t>
      </w:r>
      <w:r w:rsidR="00D136BB">
        <w:rPr>
          <w:lang w:val="es-ES"/>
        </w:rPr>
        <w:t xml:space="preserve">  </w:t>
      </w:r>
    </w:p>
    <w:p w14:paraId="271B8B46" w14:textId="297CF047" w:rsidR="0030156F" w:rsidRDefault="0030156F" w:rsidP="00BE3BCB">
      <w:pPr>
        <w:pStyle w:val="BodyText"/>
        <w:numPr>
          <w:ilvl w:val="0"/>
          <w:numId w:val="56"/>
        </w:numPr>
        <w:rPr>
          <w:lang w:val="es-ES"/>
        </w:rPr>
      </w:pPr>
      <w:r w:rsidRPr="0030156F">
        <w:rPr>
          <w:lang w:val="es-ES"/>
        </w:rPr>
        <w:t>S5.</w:t>
      </w:r>
      <w:r w:rsidR="00D136BB">
        <w:rPr>
          <w:lang w:val="es-ES"/>
        </w:rPr>
        <w:t xml:space="preserve"> </w:t>
      </w:r>
      <w:r w:rsidRPr="0030156F">
        <w:rPr>
          <w:lang w:val="es-ES"/>
        </w:rPr>
        <w:t>Falta</w:t>
      </w:r>
      <w:r w:rsidR="00D136BB">
        <w:rPr>
          <w:lang w:val="es-ES"/>
        </w:rPr>
        <w:t xml:space="preserve"> </w:t>
      </w:r>
      <w:r w:rsidRPr="0030156F">
        <w:rPr>
          <w:lang w:val="es-ES"/>
        </w:rPr>
        <w:t>de</w:t>
      </w:r>
      <w:r w:rsidR="00D136BB">
        <w:rPr>
          <w:lang w:val="es-ES"/>
        </w:rPr>
        <w:t xml:space="preserve"> </w:t>
      </w:r>
      <w:r w:rsidRPr="0030156F">
        <w:rPr>
          <w:lang w:val="es-ES"/>
        </w:rPr>
        <w:t>servicios</w:t>
      </w:r>
      <w:r w:rsidR="00D136BB">
        <w:rPr>
          <w:lang w:val="es-ES"/>
        </w:rPr>
        <w:t xml:space="preserve"> </w:t>
      </w:r>
      <w:r w:rsidRPr="0030156F">
        <w:rPr>
          <w:lang w:val="es-ES"/>
        </w:rPr>
        <w:t>de</w:t>
      </w:r>
      <w:r w:rsidR="00D136BB">
        <w:rPr>
          <w:lang w:val="es-ES"/>
        </w:rPr>
        <w:t xml:space="preserve"> </w:t>
      </w:r>
      <w:r w:rsidRPr="0030156F">
        <w:rPr>
          <w:lang w:val="es-ES"/>
        </w:rPr>
        <w:t>radioterapia</w:t>
      </w:r>
      <w:r w:rsidR="00D136BB">
        <w:rPr>
          <w:lang w:val="es-ES"/>
        </w:rPr>
        <w:t xml:space="preserve"> </w:t>
      </w:r>
      <w:r w:rsidRPr="0030156F">
        <w:rPr>
          <w:lang w:val="es-ES"/>
        </w:rPr>
        <w:t>que</w:t>
      </w:r>
      <w:r w:rsidR="00D136BB">
        <w:rPr>
          <w:lang w:val="es-ES"/>
        </w:rPr>
        <w:t xml:space="preserve"> </w:t>
      </w:r>
      <w:r w:rsidRPr="0030156F">
        <w:rPr>
          <w:lang w:val="es-ES"/>
        </w:rPr>
        <w:t>dispongan</w:t>
      </w:r>
      <w:r w:rsidR="00D136BB">
        <w:rPr>
          <w:lang w:val="es-ES"/>
        </w:rPr>
        <w:t xml:space="preserve"> </w:t>
      </w:r>
      <w:r w:rsidRPr="0030156F">
        <w:rPr>
          <w:lang w:val="es-ES"/>
        </w:rPr>
        <w:t>de</w:t>
      </w:r>
      <w:r w:rsidR="00D136BB">
        <w:rPr>
          <w:lang w:val="es-ES"/>
        </w:rPr>
        <w:t xml:space="preserve"> </w:t>
      </w:r>
      <w:r w:rsidRPr="0030156F">
        <w:rPr>
          <w:lang w:val="es-ES"/>
        </w:rPr>
        <w:t>la</w:t>
      </w:r>
      <w:r w:rsidR="00D136BB">
        <w:rPr>
          <w:lang w:val="es-ES"/>
        </w:rPr>
        <w:t xml:space="preserve"> </w:t>
      </w:r>
      <w:r w:rsidRPr="0030156F">
        <w:rPr>
          <w:lang w:val="es-ES"/>
        </w:rPr>
        <w:t>tecnología</w:t>
      </w:r>
      <w:r w:rsidR="00D136BB">
        <w:rPr>
          <w:lang w:val="es-ES"/>
        </w:rPr>
        <w:t xml:space="preserve"> </w:t>
      </w:r>
      <w:r w:rsidRPr="0030156F">
        <w:rPr>
          <w:lang w:val="es-ES"/>
        </w:rPr>
        <w:t>adecuada,</w:t>
      </w:r>
      <w:r w:rsidR="00D136BB">
        <w:rPr>
          <w:lang w:val="es-ES"/>
        </w:rPr>
        <w:t xml:space="preserve"> </w:t>
      </w:r>
      <w:r w:rsidRPr="0030156F">
        <w:rPr>
          <w:lang w:val="es-ES"/>
        </w:rPr>
        <w:t>del</w:t>
      </w:r>
      <w:r w:rsidR="00D136BB">
        <w:rPr>
          <w:lang w:val="es-ES"/>
        </w:rPr>
        <w:t xml:space="preserve"> </w:t>
      </w:r>
      <w:r w:rsidRPr="0030156F">
        <w:rPr>
          <w:lang w:val="es-ES"/>
        </w:rPr>
        <w:t>recurso</w:t>
      </w:r>
      <w:r w:rsidR="00D136BB">
        <w:rPr>
          <w:lang w:val="es-ES"/>
        </w:rPr>
        <w:t xml:space="preserve"> </w:t>
      </w:r>
      <w:r w:rsidRPr="0030156F">
        <w:rPr>
          <w:lang w:val="es-ES"/>
        </w:rPr>
        <w:t>humano</w:t>
      </w:r>
      <w:r w:rsidR="00D136BB">
        <w:rPr>
          <w:lang w:val="es-ES"/>
        </w:rPr>
        <w:t xml:space="preserve"> </w:t>
      </w:r>
      <w:r w:rsidRPr="0030156F">
        <w:rPr>
          <w:lang w:val="es-ES"/>
        </w:rPr>
        <w:t>calificado</w:t>
      </w:r>
      <w:r w:rsidR="00D136BB">
        <w:rPr>
          <w:lang w:val="es-ES"/>
        </w:rPr>
        <w:t xml:space="preserve"> </w:t>
      </w:r>
      <w:r w:rsidRPr="0030156F">
        <w:rPr>
          <w:lang w:val="es-ES"/>
        </w:rPr>
        <w:t>y</w:t>
      </w:r>
      <w:r w:rsidR="00D136BB">
        <w:rPr>
          <w:lang w:val="es-ES"/>
        </w:rPr>
        <w:t xml:space="preserve"> </w:t>
      </w:r>
      <w:r w:rsidRPr="0030156F">
        <w:rPr>
          <w:lang w:val="es-ES"/>
        </w:rPr>
        <w:t>que</w:t>
      </w:r>
      <w:r w:rsidR="00D136BB">
        <w:rPr>
          <w:lang w:val="es-ES"/>
        </w:rPr>
        <w:t xml:space="preserve"> </w:t>
      </w:r>
      <w:r w:rsidRPr="0030156F">
        <w:rPr>
          <w:lang w:val="es-ES"/>
        </w:rPr>
        <w:t>utilice</w:t>
      </w:r>
      <w:r w:rsidR="00D136BB">
        <w:rPr>
          <w:lang w:val="es-ES"/>
        </w:rPr>
        <w:t xml:space="preserve"> </w:t>
      </w:r>
      <w:r w:rsidRPr="0030156F">
        <w:rPr>
          <w:lang w:val="es-ES"/>
        </w:rPr>
        <w:t>al</w:t>
      </w:r>
      <w:r w:rsidR="00D136BB">
        <w:rPr>
          <w:lang w:val="es-ES"/>
        </w:rPr>
        <w:t xml:space="preserve"> </w:t>
      </w:r>
      <w:r w:rsidRPr="0030156F">
        <w:rPr>
          <w:lang w:val="es-ES"/>
        </w:rPr>
        <w:t>máximo</w:t>
      </w:r>
      <w:r w:rsidR="00D136BB">
        <w:rPr>
          <w:lang w:val="es-ES"/>
        </w:rPr>
        <w:t xml:space="preserve"> </w:t>
      </w:r>
      <w:r w:rsidRPr="0030156F">
        <w:rPr>
          <w:lang w:val="es-ES"/>
        </w:rPr>
        <w:t>y</w:t>
      </w:r>
      <w:r w:rsidR="00D136BB">
        <w:rPr>
          <w:lang w:val="es-ES"/>
        </w:rPr>
        <w:t xml:space="preserve"> </w:t>
      </w:r>
      <w:r w:rsidRPr="0030156F">
        <w:rPr>
          <w:lang w:val="es-ES"/>
        </w:rPr>
        <w:t>de</w:t>
      </w:r>
      <w:r w:rsidR="00D136BB">
        <w:rPr>
          <w:lang w:val="es-ES"/>
        </w:rPr>
        <w:t xml:space="preserve"> </w:t>
      </w:r>
      <w:r w:rsidRPr="0030156F">
        <w:rPr>
          <w:lang w:val="es-ES"/>
        </w:rPr>
        <w:t>forma</w:t>
      </w:r>
      <w:r w:rsidR="00D136BB">
        <w:rPr>
          <w:lang w:val="es-ES"/>
        </w:rPr>
        <w:t xml:space="preserve"> </w:t>
      </w:r>
      <w:r w:rsidRPr="0030156F">
        <w:rPr>
          <w:lang w:val="es-ES"/>
        </w:rPr>
        <w:t>segura</w:t>
      </w:r>
      <w:r w:rsidR="00D136BB">
        <w:rPr>
          <w:lang w:val="es-ES"/>
        </w:rPr>
        <w:t xml:space="preserve"> </w:t>
      </w:r>
      <w:r w:rsidRPr="0030156F">
        <w:rPr>
          <w:lang w:val="es-ES"/>
        </w:rPr>
        <w:t>la</w:t>
      </w:r>
      <w:r w:rsidR="00D136BB">
        <w:rPr>
          <w:lang w:val="es-ES"/>
        </w:rPr>
        <w:t xml:space="preserve"> </w:t>
      </w:r>
      <w:r w:rsidRPr="0030156F">
        <w:rPr>
          <w:lang w:val="es-ES"/>
        </w:rPr>
        <w:t>tecnología</w:t>
      </w:r>
      <w:r w:rsidR="00D136BB">
        <w:rPr>
          <w:lang w:val="es-ES"/>
        </w:rPr>
        <w:t xml:space="preserve"> </w:t>
      </w:r>
      <w:r w:rsidRPr="0030156F">
        <w:rPr>
          <w:lang w:val="es-ES"/>
        </w:rPr>
        <w:t>disponible.</w:t>
      </w:r>
    </w:p>
    <w:p w14:paraId="092B8726" w14:textId="14E32117" w:rsidR="0030156F" w:rsidRDefault="0030156F" w:rsidP="00BE3BCB">
      <w:pPr>
        <w:pStyle w:val="BodyText"/>
        <w:numPr>
          <w:ilvl w:val="0"/>
          <w:numId w:val="56"/>
        </w:numPr>
        <w:rPr>
          <w:lang w:val="es-ES"/>
        </w:rPr>
      </w:pPr>
      <w:r w:rsidRPr="0030156F">
        <w:rPr>
          <w:lang w:val="es-ES"/>
        </w:rPr>
        <w:t>S6.</w:t>
      </w:r>
      <w:r w:rsidR="00D136BB">
        <w:rPr>
          <w:lang w:val="es-ES"/>
        </w:rPr>
        <w:t xml:space="preserve"> </w:t>
      </w:r>
      <w:r w:rsidRPr="0030156F">
        <w:rPr>
          <w:lang w:val="es-ES"/>
        </w:rPr>
        <w:t>Necesidad</w:t>
      </w:r>
      <w:r w:rsidR="00D136BB">
        <w:rPr>
          <w:lang w:val="es-ES"/>
        </w:rPr>
        <w:t xml:space="preserve"> </w:t>
      </w:r>
      <w:r w:rsidRPr="0030156F">
        <w:rPr>
          <w:lang w:val="es-ES"/>
        </w:rPr>
        <w:t>de</w:t>
      </w:r>
      <w:r w:rsidR="00D136BB">
        <w:rPr>
          <w:lang w:val="es-ES"/>
        </w:rPr>
        <w:t xml:space="preserve"> </w:t>
      </w:r>
      <w:r w:rsidRPr="0030156F">
        <w:rPr>
          <w:lang w:val="es-ES"/>
        </w:rPr>
        <w:t>adecuación</w:t>
      </w:r>
      <w:r w:rsidR="00D136BB">
        <w:rPr>
          <w:lang w:val="es-ES"/>
        </w:rPr>
        <w:t xml:space="preserve"> </w:t>
      </w:r>
      <w:r w:rsidRPr="0030156F">
        <w:rPr>
          <w:lang w:val="es-ES"/>
        </w:rPr>
        <w:t>tecnológica</w:t>
      </w:r>
      <w:r w:rsidR="00D136BB">
        <w:rPr>
          <w:lang w:val="es-ES"/>
        </w:rPr>
        <w:t xml:space="preserve"> </w:t>
      </w:r>
      <w:r w:rsidRPr="0030156F">
        <w:rPr>
          <w:lang w:val="es-ES"/>
        </w:rPr>
        <w:t>con</w:t>
      </w:r>
      <w:r w:rsidR="00D136BB">
        <w:rPr>
          <w:lang w:val="es-ES"/>
        </w:rPr>
        <w:t xml:space="preserve"> </w:t>
      </w:r>
      <w:r w:rsidRPr="0030156F">
        <w:rPr>
          <w:lang w:val="es-ES"/>
        </w:rPr>
        <w:t>aumento</w:t>
      </w:r>
      <w:r w:rsidR="00D136BB">
        <w:rPr>
          <w:lang w:val="es-ES"/>
        </w:rPr>
        <w:t xml:space="preserve"> </w:t>
      </w:r>
      <w:r w:rsidRPr="0030156F">
        <w:rPr>
          <w:lang w:val="es-ES"/>
        </w:rPr>
        <w:t>del</w:t>
      </w:r>
      <w:r w:rsidR="00D136BB">
        <w:rPr>
          <w:lang w:val="es-ES"/>
        </w:rPr>
        <w:t xml:space="preserve"> </w:t>
      </w:r>
      <w:r w:rsidRPr="0030156F">
        <w:rPr>
          <w:lang w:val="es-ES"/>
        </w:rPr>
        <w:t>número</w:t>
      </w:r>
      <w:r w:rsidR="00D136BB">
        <w:rPr>
          <w:lang w:val="es-ES"/>
        </w:rPr>
        <w:t xml:space="preserve"> </w:t>
      </w:r>
      <w:r w:rsidRPr="0030156F">
        <w:rPr>
          <w:lang w:val="es-ES"/>
        </w:rPr>
        <w:t>de</w:t>
      </w:r>
      <w:r w:rsidR="00D136BB">
        <w:rPr>
          <w:lang w:val="es-ES"/>
        </w:rPr>
        <w:t xml:space="preserve"> </w:t>
      </w:r>
      <w:r w:rsidRPr="0030156F">
        <w:rPr>
          <w:lang w:val="es-ES"/>
        </w:rPr>
        <w:t>unidades</w:t>
      </w:r>
      <w:r w:rsidR="00D136BB">
        <w:rPr>
          <w:lang w:val="es-ES"/>
        </w:rPr>
        <w:t xml:space="preserve"> </w:t>
      </w:r>
      <w:r w:rsidRPr="0030156F">
        <w:rPr>
          <w:lang w:val="es-ES"/>
        </w:rPr>
        <w:t>de</w:t>
      </w:r>
      <w:r w:rsidR="00D136BB">
        <w:rPr>
          <w:lang w:val="es-ES"/>
        </w:rPr>
        <w:t xml:space="preserve"> </w:t>
      </w:r>
      <w:r w:rsidRPr="0030156F">
        <w:rPr>
          <w:lang w:val="es-ES"/>
        </w:rPr>
        <w:t>braquiterapia</w:t>
      </w:r>
      <w:r w:rsidR="00D136BB">
        <w:rPr>
          <w:lang w:val="es-ES"/>
        </w:rPr>
        <w:t xml:space="preserve"> </w:t>
      </w:r>
      <w:r w:rsidRPr="0030156F">
        <w:rPr>
          <w:lang w:val="es-ES"/>
        </w:rPr>
        <w:t>y</w:t>
      </w:r>
      <w:r w:rsidR="00D136BB">
        <w:rPr>
          <w:lang w:val="es-ES"/>
        </w:rPr>
        <w:t xml:space="preserve"> </w:t>
      </w:r>
      <w:r w:rsidRPr="0030156F">
        <w:rPr>
          <w:lang w:val="es-ES"/>
        </w:rPr>
        <w:t>formación</w:t>
      </w:r>
      <w:r w:rsidR="00D136BB">
        <w:rPr>
          <w:lang w:val="es-ES"/>
        </w:rPr>
        <w:t xml:space="preserve"> </w:t>
      </w:r>
      <w:r w:rsidRPr="0030156F">
        <w:rPr>
          <w:lang w:val="es-ES"/>
        </w:rPr>
        <w:t>del</w:t>
      </w:r>
      <w:r w:rsidR="00D136BB">
        <w:rPr>
          <w:lang w:val="es-ES"/>
        </w:rPr>
        <w:t xml:space="preserve"> </w:t>
      </w:r>
      <w:r w:rsidRPr="0030156F">
        <w:rPr>
          <w:lang w:val="es-ES"/>
        </w:rPr>
        <w:t>recurso</w:t>
      </w:r>
      <w:r w:rsidR="00D136BB">
        <w:rPr>
          <w:lang w:val="es-ES"/>
        </w:rPr>
        <w:t xml:space="preserve"> </w:t>
      </w:r>
      <w:r w:rsidRPr="0030156F">
        <w:rPr>
          <w:lang w:val="es-ES"/>
        </w:rPr>
        <w:t>humano.</w:t>
      </w:r>
    </w:p>
    <w:p w14:paraId="6305074B" w14:textId="7D4366D7" w:rsidR="0030156F" w:rsidRDefault="0030156F" w:rsidP="00BE3BCB">
      <w:pPr>
        <w:pStyle w:val="BodyText"/>
        <w:numPr>
          <w:ilvl w:val="0"/>
          <w:numId w:val="56"/>
        </w:numPr>
        <w:rPr>
          <w:lang w:val="es-ES"/>
        </w:rPr>
      </w:pPr>
      <w:r w:rsidRPr="0030156F">
        <w:rPr>
          <w:lang w:val="es-ES"/>
        </w:rPr>
        <w:t>S7.</w:t>
      </w:r>
      <w:r w:rsidR="00D136BB">
        <w:rPr>
          <w:lang w:val="es-ES"/>
        </w:rPr>
        <w:t xml:space="preserve"> </w:t>
      </w:r>
      <w:r w:rsidRPr="0030156F">
        <w:rPr>
          <w:lang w:val="es-ES"/>
        </w:rPr>
        <w:t>Necesidad</w:t>
      </w:r>
      <w:r w:rsidR="00D136BB">
        <w:rPr>
          <w:lang w:val="es-ES"/>
        </w:rPr>
        <w:t xml:space="preserve"> </w:t>
      </w:r>
      <w:r w:rsidRPr="0030156F">
        <w:rPr>
          <w:lang w:val="es-ES"/>
        </w:rPr>
        <w:t>de</w:t>
      </w:r>
      <w:r w:rsidR="00D136BB">
        <w:rPr>
          <w:lang w:val="es-ES"/>
        </w:rPr>
        <w:t xml:space="preserve"> </w:t>
      </w:r>
      <w:r w:rsidRPr="0030156F">
        <w:rPr>
          <w:lang w:val="es-ES"/>
        </w:rPr>
        <w:t>fortalecer</w:t>
      </w:r>
      <w:r w:rsidR="00D136BB">
        <w:rPr>
          <w:lang w:val="es-ES"/>
        </w:rPr>
        <w:t xml:space="preserve"> </w:t>
      </w:r>
      <w:r w:rsidRPr="0030156F">
        <w:rPr>
          <w:lang w:val="es-ES"/>
        </w:rPr>
        <w:t>los</w:t>
      </w:r>
      <w:r w:rsidR="00D136BB">
        <w:rPr>
          <w:lang w:val="es-ES"/>
        </w:rPr>
        <w:t xml:space="preserve"> </w:t>
      </w:r>
      <w:r w:rsidRPr="0030156F">
        <w:rPr>
          <w:lang w:val="es-ES"/>
        </w:rPr>
        <w:t>sistemas</w:t>
      </w:r>
      <w:r w:rsidR="00D136BB">
        <w:rPr>
          <w:lang w:val="es-ES"/>
        </w:rPr>
        <w:t xml:space="preserve"> </w:t>
      </w:r>
      <w:r w:rsidRPr="0030156F">
        <w:rPr>
          <w:lang w:val="es-ES"/>
        </w:rPr>
        <w:t>de</w:t>
      </w:r>
      <w:r w:rsidR="00D136BB">
        <w:rPr>
          <w:lang w:val="es-ES"/>
        </w:rPr>
        <w:t xml:space="preserve"> </w:t>
      </w:r>
      <w:r w:rsidRPr="0030156F">
        <w:rPr>
          <w:lang w:val="es-ES"/>
        </w:rPr>
        <w:t>gestión</w:t>
      </w:r>
      <w:r w:rsidR="00D136BB">
        <w:rPr>
          <w:lang w:val="es-ES"/>
        </w:rPr>
        <w:t xml:space="preserve"> </w:t>
      </w:r>
      <w:r w:rsidRPr="0030156F">
        <w:rPr>
          <w:lang w:val="es-ES"/>
        </w:rPr>
        <w:t>de</w:t>
      </w:r>
      <w:r w:rsidR="00D136BB">
        <w:rPr>
          <w:lang w:val="es-ES"/>
        </w:rPr>
        <w:t xml:space="preserve"> </w:t>
      </w:r>
      <w:r w:rsidRPr="0030156F">
        <w:rPr>
          <w:lang w:val="es-ES"/>
        </w:rPr>
        <w:t>la</w:t>
      </w:r>
      <w:r w:rsidR="00D136BB">
        <w:rPr>
          <w:lang w:val="es-ES"/>
        </w:rPr>
        <w:t xml:space="preserve"> </w:t>
      </w:r>
      <w:r w:rsidRPr="0030156F">
        <w:rPr>
          <w:lang w:val="es-ES"/>
        </w:rPr>
        <w:t>calidad</w:t>
      </w:r>
      <w:r w:rsidR="00D136BB">
        <w:rPr>
          <w:lang w:val="es-ES"/>
        </w:rPr>
        <w:t xml:space="preserve"> </w:t>
      </w:r>
      <w:r w:rsidRPr="0030156F">
        <w:rPr>
          <w:lang w:val="es-ES"/>
        </w:rPr>
        <w:t>en</w:t>
      </w:r>
      <w:r w:rsidR="00D136BB">
        <w:rPr>
          <w:lang w:val="es-ES"/>
        </w:rPr>
        <w:t xml:space="preserve"> </w:t>
      </w:r>
      <w:r w:rsidRPr="0030156F">
        <w:rPr>
          <w:lang w:val="es-ES"/>
        </w:rPr>
        <w:t>medicina</w:t>
      </w:r>
      <w:r w:rsidR="00D136BB">
        <w:rPr>
          <w:lang w:val="es-ES"/>
        </w:rPr>
        <w:t xml:space="preserve"> </w:t>
      </w:r>
      <w:r w:rsidRPr="0030156F">
        <w:rPr>
          <w:lang w:val="es-ES"/>
        </w:rPr>
        <w:t>de</w:t>
      </w:r>
      <w:r w:rsidR="00D136BB">
        <w:rPr>
          <w:lang w:val="es-ES"/>
        </w:rPr>
        <w:t xml:space="preserve"> </w:t>
      </w:r>
      <w:r w:rsidRPr="0030156F">
        <w:rPr>
          <w:lang w:val="es-ES"/>
        </w:rPr>
        <w:t>las</w:t>
      </w:r>
      <w:r w:rsidR="00D136BB">
        <w:rPr>
          <w:lang w:val="es-ES"/>
        </w:rPr>
        <w:t xml:space="preserve"> </w:t>
      </w:r>
      <w:r w:rsidRPr="0030156F">
        <w:rPr>
          <w:lang w:val="es-ES"/>
        </w:rPr>
        <w:t>radiaciones</w:t>
      </w:r>
      <w:r w:rsidR="00D136BB">
        <w:rPr>
          <w:lang w:val="es-ES"/>
        </w:rPr>
        <w:t xml:space="preserve"> </w:t>
      </w:r>
      <w:r w:rsidRPr="0030156F">
        <w:rPr>
          <w:lang w:val="es-ES"/>
        </w:rPr>
        <w:t>en</w:t>
      </w:r>
      <w:r w:rsidR="00D136BB">
        <w:rPr>
          <w:lang w:val="es-ES"/>
        </w:rPr>
        <w:t xml:space="preserve"> </w:t>
      </w:r>
      <w:r w:rsidRPr="0030156F">
        <w:rPr>
          <w:lang w:val="es-ES"/>
        </w:rPr>
        <w:t>la</w:t>
      </w:r>
      <w:r w:rsidR="00D136BB">
        <w:rPr>
          <w:lang w:val="es-ES"/>
        </w:rPr>
        <w:t xml:space="preserve"> </w:t>
      </w:r>
      <w:r w:rsidRPr="0030156F">
        <w:rPr>
          <w:lang w:val="es-ES"/>
        </w:rPr>
        <w:t>región.</w:t>
      </w:r>
    </w:p>
    <w:p w14:paraId="7B368C43" w14:textId="558E36A5" w:rsidR="0030156F" w:rsidRDefault="0030156F" w:rsidP="00BE3BCB">
      <w:pPr>
        <w:pStyle w:val="BodyText"/>
        <w:numPr>
          <w:ilvl w:val="0"/>
          <w:numId w:val="56"/>
        </w:numPr>
        <w:rPr>
          <w:lang w:val="es-ES"/>
        </w:rPr>
      </w:pPr>
      <w:r w:rsidRPr="0030156F">
        <w:rPr>
          <w:lang w:val="es-ES"/>
        </w:rPr>
        <w:lastRenderedPageBreak/>
        <w:t>S8.</w:t>
      </w:r>
      <w:r w:rsidR="00D136BB">
        <w:rPr>
          <w:lang w:val="es-ES"/>
        </w:rPr>
        <w:t xml:space="preserve"> </w:t>
      </w:r>
      <w:r w:rsidRPr="0030156F">
        <w:rPr>
          <w:lang w:val="es-ES"/>
        </w:rPr>
        <w:t>Insuficiente</w:t>
      </w:r>
      <w:r w:rsidR="00D136BB">
        <w:rPr>
          <w:lang w:val="es-ES"/>
        </w:rPr>
        <w:t xml:space="preserve"> </w:t>
      </w:r>
      <w:r w:rsidRPr="0030156F">
        <w:rPr>
          <w:lang w:val="es-ES"/>
        </w:rPr>
        <w:t>capacidad</w:t>
      </w:r>
      <w:r w:rsidR="00D136BB">
        <w:rPr>
          <w:lang w:val="es-ES"/>
        </w:rPr>
        <w:t xml:space="preserve"> </w:t>
      </w:r>
      <w:r w:rsidRPr="0030156F">
        <w:rPr>
          <w:lang w:val="es-ES"/>
        </w:rPr>
        <w:t>para</w:t>
      </w:r>
      <w:r w:rsidR="00D136BB">
        <w:rPr>
          <w:lang w:val="es-ES"/>
        </w:rPr>
        <w:t xml:space="preserve"> </w:t>
      </w:r>
      <w:r w:rsidRPr="0030156F">
        <w:rPr>
          <w:lang w:val="es-ES"/>
        </w:rPr>
        <w:t>realizar</w:t>
      </w:r>
      <w:r w:rsidR="00D136BB">
        <w:rPr>
          <w:lang w:val="es-ES"/>
        </w:rPr>
        <w:t xml:space="preserve"> </w:t>
      </w:r>
      <w:r w:rsidRPr="0030156F">
        <w:rPr>
          <w:lang w:val="es-ES"/>
        </w:rPr>
        <w:t>las</w:t>
      </w:r>
      <w:r w:rsidR="00D136BB">
        <w:rPr>
          <w:lang w:val="es-ES"/>
        </w:rPr>
        <w:t xml:space="preserve"> </w:t>
      </w:r>
      <w:r w:rsidRPr="0030156F">
        <w:rPr>
          <w:lang w:val="es-ES"/>
        </w:rPr>
        <w:t>intervenciones</w:t>
      </w:r>
      <w:r w:rsidR="00D136BB">
        <w:rPr>
          <w:lang w:val="es-ES"/>
        </w:rPr>
        <w:t xml:space="preserve"> </w:t>
      </w:r>
      <w:r w:rsidRPr="0030156F">
        <w:rPr>
          <w:lang w:val="es-ES"/>
        </w:rPr>
        <w:t>necesarias</w:t>
      </w:r>
      <w:r w:rsidR="00D136BB">
        <w:rPr>
          <w:lang w:val="es-ES"/>
        </w:rPr>
        <w:t xml:space="preserve"> </w:t>
      </w:r>
      <w:r w:rsidRPr="0030156F">
        <w:rPr>
          <w:lang w:val="es-ES"/>
        </w:rPr>
        <w:t>para</w:t>
      </w:r>
      <w:r w:rsidR="00D136BB">
        <w:rPr>
          <w:lang w:val="es-ES"/>
        </w:rPr>
        <w:t xml:space="preserve"> </w:t>
      </w:r>
      <w:r w:rsidRPr="0030156F">
        <w:rPr>
          <w:lang w:val="es-ES"/>
        </w:rPr>
        <w:t>mejorar</w:t>
      </w:r>
      <w:r w:rsidR="00D136BB">
        <w:rPr>
          <w:lang w:val="es-ES"/>
        </w:rPr>
        <w:t xml:space="preserve"> </w:t>
      </w:r>
      <w:r w:rsidRPr="0030156F">
        <w:rPr>
          <w:lang w:val="es-ES"/>
        </w:rPr>
        <w:t>el</w:t>
      </w:r>
      <w:r w:rsidR="00D136BB">
        <w:rPr>
          <w:lang w:val="es-ES"/>
        </w:rPr>
        <w:t xml:space="preserve"> </w:t>
      </w:r>
      <w:r w:rsidRPr="0030156F">
        <w:rPr>
          <w:lang w:val="es-ES"/>
        </w:rPr>
        <w:t>estado</w:t>
      </w:r>
      <w:r w:rsidR="00D136BB">
        <w:rPr>
          <w:lang w:val="es-ES"/>
        </w:rPr>
        <w:t xml:space="preserve"> </w:t>
      </w:r>
      <w:r w:rsidRPr="0030156F">
        <w:rPr>
          <w:lang w:val="es-ES"/>
        </w:rPr>
        <w:t>nutricional</w:t>
      </w:r>
      <w:r w:rsidR="00D136BB">
        <w:rPr>
          <w:lang w:val="es-ES"/>
        </w:rPr>
        <w:t xml:space="preserve"> </w:t>
      </w:r>
      <w:r w:rsidRPr="0030156F">
        <w:rPr>
          <w:lang w:val="es-ES"/>
        </w:rPr>
        <w:t>de</w:t>
      </w:r>
      <w:r w:rsidR="00D136BB">
        <w:rPr>
          <w:lang w:val="es-ES"/>
        </w:rPr>
        <w:t xml:space="preserve"> </w:t>
      </w:r>
      <w:r w:rsidRPr="0030156F">
        <w:rPr>
          <w:lang w:val="es-ES"/>
        </w:rPr>
        <w:t>la</w:t>
      </w:r>
      <w:r w:rsidR="00D136BB">
        <w:rPr>
          <w:lang w:val="es-ES"/>
        </w:rPr>
        <w:t xml:space="preserve"> </w:t>
      </w:r>
      <w:r w:rsidRPr="0030156F">
        <w:rPr>
          <w:lang w:val="es-ES"/>
        </w:rPr>
        <w:t>población.</w:t>
      </w:r>
    </w:p>
    <w:p w14:paraId="3615128A" w14:textId="77777777" w:rsidR="00757684" w:rsidRDefault="00757684" w:rsidP="00757684">
      <w:pPr>
        <w:pStyle w:val="BodyText"/>
        <w:ind w:left="720"/>
        <w:rPr>
          <w:lang w:val="es-ES"/>
        </w:rPr>
      </w:pPr>
    </w:p>
    <w:p w14:paraId="6E9C48A3" w14:textId="198F321E" w:rsidR="006E683D" w:rsidRPr="006E683D" w:rsidRDefault="00757684" w:rsidP="00BE3BCB">
      <w:pPr>
        <w:pStyle w:val="BodyText"/>
        <w:numPr>
          <w:ilvl w:val="0"/>
          <w:numId w:val="53"/>
        </w:numPr>
        <w:rPr>
          <w:lang w:val="es-ES"/>
        </w:rPr>
      </w:pPr>
      <w:bookmarkStart w:id="12" w:name="_Hlk31796419"/>
      <w:r w:rsidRPr="00757684">
        <w:rPr>
          <w:lang w:val="es-ES"/>
        </w:rPr>
        <w:t>Necesidades/Problemas</w:t>
      </w:r>
      <w:r w:rsidR="00D136BB">
        <w:rPr>
          <w:lang w:val="es-ES"/>
        </w:rPr>
        <w:t xml:space="preserve"> </w:t>
      </w:r>
      <w:r w:rsidRPr="00757684">
        <w:rPr>
          <w:lang w:val="es-ES"/>
        </w:rPr>
        <w:t>en</w:t>
      </w:r>
      <w:r w:rsidR="00D136BB">
        <w:rPr>
          <w:lang w:val="es-ES"/>
        </w:rPr>
        <w:t xml:space="preserve"> </w:t>
      </w:r>
      <w:r w:rsidRPr="00757684">
        <w:rPr>
          <w:lang w:val="es-ES"/>
        </w:rPr>
        <w:t>Ambiente:</w:t>
      </w:r>
      <w:bookmarkEnd w:id="12"/>
    </w:p>
    <w:p w14:paraId="05654E3A" w14:textId="2C6B7572" w:rsidR="00922E67" w:rsidRPr="00E962FA" w:rsidRDefault="00757684" w:rsidP="00BE3BCB">
      <w:pPr>
        <w:pStyle w:val="BodyText"/>
        <w:numPr>
          <w:ilvl w:val="0"/>
          <w:numId w:val="57"/>
        </w:numPr>
        <w:rPr>
          <w:lang w:val="es-ES_tradnl"/>
        </w:rPr>
      </w:pPr>
      <w:r w:rsidRPr="00757684">
        <w:rPr>
          <w:iCs/>
          <w:lang w:val="es-ES_tradnl"/>
        </w:rPr>
        <w:t>M1.</w:t>
      </w:r>
      <w:r w:rsidR="00D136BB">
        <w:rPr>
          <w:iCs/>
          <w:lang w:val="es-ES_tradnl"/>
        </w:rPr>
        <w:t xml:space="preserve"> </w:t>
      </w:r>
      <w:r w:rsidRPr="00757684">
        <w:rPr>
          <w:iCs/>
          <w:lang w:val="es-ES_tradnl"/>
        </w:rPr>
        <w:t>Insuficiente</w:t>
      </w:r>
      <w:r w:rsidR="00D136BB">
        <w:rPr>
          <w:iCs/>
          <w:lang w:val="es-ES_tradnl"/>
        </w:rPr>
        <w:t xml:space="preserve"> </w:t>
      </w:r>
      <w:r w:rsidRPr="00757684">
        <w:rPr>
          <w:iCs/>
          <w:lang w:val="es-ES_tradnl"/>
        </w:rPr>
        <w:t>conocimiento</w:t>
      </w:r>
      <w:r w:rsidR="00D136BB">
        <w:rPr>
          <w:iCs/>
          <w:lang w:val="es-ES_tradnl"/>
        </w:rPr>
        <w:t xml:space="preserve"> </w:t>
      </w:r>
      <w:r w:rsidRPr="00757684">
        <w:rPr>
          <w:iCs/>
          <w:lang w:val="es-ES_tradnl"/>
        </w:rPr>
        <w:t>de</w:t>
      </w:r>
      <w:r w:rsidR="00D136BB">
        <w:rPr>
          <w:iCs/>
          <w:lang w:val="es-ES_tradnl"/>
        </w:rPr>
        <w:t xml:space="preserve"> </w:t>
      </w:r>
      <w:r w:rsidRPr="00757684">
        <w:rPr>
          <w:iCs/>
          <w:lang w:val="es-ES_tradnl"/>
        </w:rPr>
        <w:t>la</w:t>
      </w:r>
      <w:r w:rsidR="00D136BB">
        <w:rPr>
          <w:iCs/>
          <w:lang w:val="es-ES_tradnl"/>
        </w:rPr>
        <w:t xml:space="preserve"> </w:t>
      </w:r>
      <w:r w:rsidRPr="00757684">
        <w:rPr>
          <w:iCs/>
          <w:lang w:val="es-ES_tradnl"/>
        </w:rPr>
        <w:t>disponibilidad</w:t>
      </w:r>
      <w:r w:rsidR="00D136BB">
        <w:rPr>
          <w:iCs/>
          <w:lang w:val="es-ES_tradnl"/>
        </w:rPr>
        <w:t xml:space="preserve"> </w:t>
      </w:r>
      <w:r w:rsidRPr="00757684">
        <w:rPr>
          <w:iCs/>
          <w:lang w:val="es-ES_tradnl"/>
        </w:rPr>
        <w:t>e</w:t>
      </w:r>
      <w:r w:rsidR="00D136BB">
        <w:rPr>
          <w:iCs/>
          <w:lang w:val="es-ES_tradnl"/>
        </w:rPr>
        <w:t xml:space="preserve"> </w:t>
      </w:r>
      <w:r w:rsidRPr="00757684">
        <w:rPr>
          <w:iCs/>
          <w:lang w:val="es-ES_tradnl"/>
        </w:rPr>
        <w:t>inadecuada</w:t>
      </w:r>
      <w:r w:rsidR="00D136BB">
        <w:rPr>
          <w:iCs/>
          <w:lang w:val="es-ES_tradnl"/>
        </w:rPr>
        <w:t xml:space="preserve"> </w:t>
      </w:r>
      <w:r w:rsidRPr="00757684">
        <w:rPr>
          <w:iCs/>
          <w:lang w:val="es-ES_tradnl"/>
        </w:rPr>
        <w:t>gestión</w:t>
      </w:r>
      <w:r w:rsidR="00D136BB">
        <w:rPr>
          <w:iCs/>
          <w:lang w:val="es-ES_tradnl"/>
        </w:rPr>
        <w:t xml:space="preserve"> </w:t>
      </w:r>
      <w:r w:rsidRPr="00757684">
        <w:rPr>
          <w:iCs/>
          <w:lang w:val="es-ES_tradnl"/>
        </w:rPr>
        <w:t>de</w:t>
      </w:r>
      <w:r w:rsidR="00D136BB">
        <w:rPr>
          <w:iCs/>
          <w:lang w:val="es-ES_tradnl"/>
        </w:rPr>
        <w:t xml:space="preserve"> </w:t>
      </w:r>
      <w:r w:rsidRPr="00757684">
        <w:rPr>
          <w:iCs/>
          <w:lang w:val="es-ES_tradnl"/>
        </w:rPr>
        <w:t>los</w:t>
      </w:r>
      <w:r w:rsidR="00D136BB">
        <w:rPr>
          <w:iCs/>
          <w:lang w:val="es-ES_tradnl"/>
        </w:rPr>
        <w:t xml:space="preserve"> </w:t>
      </w:r>
      <w:r w:rsidRPr="00757684">
        <w:rPr>
          <w:iCs/>
          <w:lang w:val="es-ES_tradnl"/>
        </w:rPr>
        <w:t>Recursos</w:t>
      </w:r>
      <w:r w:rsidR="00D136BB">
        <w:rPr>
          <w:iCs/>
          <w:lang w:val="es-ES_tradnl"/>
        </w:rPr>
        <w:t xml:space="preserve"> </w:t>
      </w:r>
      <w:r w:rsidRPr="00757684">
        <w:rPr>
          <w:iCs/>
          <w:lang w:val="es-ES_tradnl"/>
        </w:rPr>
        <w:t>Hídricos.</w:t>
      </w:r>
    </w:p>
    <w:p w14:paraId="06D7D8C3" w14:textId="0744D18F" w:rsidR="00E962FA" w:rsidRDefault="00E962FA" w:rsidP="00BE3BCB">
      <w:pPr>
        <w:pStyle w:val="NormalWeb"/>
        <w:numPr>
          <w:ilvl w:val="0"/>
          <w:numId w:val="57"/>
        </w:numPr>
        <w:shd w:val="clear" w:color="auto" w:fill="FFFFFF"/>
        <w:spacing w:before="0" w:beforeAutospacing="0" w:after="0" w:afterAutospacing="0"/>
        <w:jc w:val="both"/>
        <w:rPr>
          <w:bCs/>
          <w:iCs/>
        </w:rPr>
      </w:pPr>
      <w:r w:rsidRPr="00E962FA">
        <w:rPr>
          <w:bCs/>
          <w:iCs/>
        </w:rPr>
        <w:t>M2.</w:t>
      </w:r>
      <w:r w:rsidR="00D136BB">
        <w:rPr>
          <w:bCs/>
          <w:iCs/>
        </w:rPr>
        <w:t xml:space="preserve"> </w:t>
      </w:r>
      <w:r w:rsidRPr="00E962FA">
        <w:rPr>
          <w:bCs/>
          <w:iCs/>
        </w:rPr>
        <w:t>Insuficiente</w:t>
      </w:r>
      <w:r w:rsidR="00D136BB">
        <w:rPr>
          <w:bCs/>
          <w:iCs/>
        </w:rPr>
        <w:t xml:space="preserve"> </w:t>
      </w:r>
      <w:r w:rsidRPr="00E962FA">
        <w:rPr>
          <w:bCs/>
          <w:iCs/>
        </w:rPr>
        <w:t>conocimiento</w:t>
      </w:r>
      <w:r w:rsidR="00D136BB">
        <w:rPr>
          <w:bCs/>
          <w:iCs/>
        </w:rPr>
        <w:t xml:space="preserve"> </w:t>
      </w:r>
      <w:r w:rsidRPr="00E962FA">
        <w:rPr>
          <w:bCs/>
          <w:iCs/>
        </w:rPr>
        <w:t>sobre</w:t>
      </w:r>
      <w:r w:rsidR="00D136BB">
        <w:rPr>
          <w:bCs/>
          <w:iCs/>
        </w:rPr>
        <w:t xml:space="preserve"> </w:t>
      </w:r>
      <w:r w:rsidRPr="00E962FA">
        <w:rPr>
          <w:bCs/>
          <w:iCs/>
        </w:rPr>
        <w:t>la</w:t>
      </w:r>
      <w:r w:rsidR="00D136BB">
        <w:rPr>
          <w:bCs/>
          <w:iCs/>
        </w:rPr>
        <w:t xml:space="preserve"> </w:t>
      </w:r>
      <w:r w:rsidRPr="00E962FA">
        <w:rPr>
          <w:bCs/>
          <w:iCs/>
        </w:rPr>
        <w:t>calidad</w:t>
      </w:r>
      <w:r w:rsidR="00D136BB">
        <w:rPr>
          <w:bCs/>
          <w:iCs/>
        </w:rPr>
        <w:t xml:space="preserve"> </w:t>
      </w:r>
      <w:r w:rsidRPr="00E962FA">
        <w:rPr>
          <w:bCs/>
          <w:iCs/>
        </w:rPr>
        <w:t>de</w:t>
      </w:r>
      <w:r w:rsidR="00D136BB">
        <w:rPr>
          <w:bCs/>
          <w:iCs/>
        </w:rPr>
        <w:t xml:space="preserve"> </w:t>
      </w:r>
      <w:r w:rsidRPr="00E962FA">
        <w:rPr>
          <w:bCs/>
          <w:iCs/>
        </w:rPr>
        <w:t>agua</w:t>
      </w:r>
      <w:r w:rsidR="00D136BB">
        <w:rPr>
          <w:bCs/>
          <w:iCs/>
        </w:rPr>
        <w:t xml:space="preserve"> </w:t>
      </w:r>
      <w:r w:rsidRPr="00E962FA">
        <w:rPr>
          <w:bCs/>
          <w:iCs/>
        </w:rPr>
        <w:t>y</w:t>
      </w:r>
      <w:r w:rsidR="00D136BB">
        <w:rPr>
          <w:bCs/>
          <w:iCs/>
        </w:rPr>
        <w:t xml:space="preserve"> </w:t>
      </w:r>
      <w:r w:rsidRPr="00E962FA">
        <w:rPr>
          <w:bCs/>
          <w:iCs/>
        </w:rPr>
        <w:t>de</w:t>
      </w:r>
      <w:r w:rsidR="00D136BB">
        <w:rPr>
          <w:bCs/>
          <w:iCs/>
        </w:rPr>
        <w:t xml:space="preserve"> </w:t>
      </w:r>
      <w:r w:rsidRPr="00E962FA">
        <w:rPr>
          <w:bCs/>
          <w:iCs/>
        </w:rPr>
        <w:t>las</w:t>
      </w:r>
      <w:r w:rsidR="00D136BB">
        <w:rPr>
          <w:bCs/>
          <w:iCs/>
        </w:rPr>
        <w:t xml:space="preserve"> </w:t>
      </w:r>
      <w:r w:rsidRPr="00E962FA">
        <w:rPr>
          <w:bCs/>
          <w:iCs/>
        </w:rPr>
        <w:t>posibles</w:t>
      </w:r>
      <w:r w:rsidR="00D136BB">
        <w:rPr>
          <w:bCs/>
          <w:iCs/>
        </w:rPr>
        <w:t xml:space="preserve"> </w:t>
      </w:r>
      <w:r w:rsidRPr="00E962FA">
        <w:rPr>
          <w:bCs/>
          <w:iCs/>
        </w:rPr>
        <w:t>fuentes</w:t>
      </w:r>
      <w:r w:rsidR="00D136BB">
        <w:rPr>
          <w:bCs/>
          <w:iCs/>
        </w:rPr>
        <w:t xml:space="preserve"> </w:t>
      </w:r>
      <w:r w:rsidRPr="00E962FA">
        <w:rPr>
          <w:bCs/>
          <w:iCs/>
        </w:rPr>
        <w:t>que</w:t>
      </w:r>
      <w:r w:rsidR="00D136BB">
        <w:rPr>
          <w:bCs/>
          <w:iCs/>
        </w:rPr>
        <w:t xml:space="preserve"> </w:t>
      </w:r>
      <w:r w:rsidRPr="00E962FA">
        <w:rPr>
          <w:bCs/>
          <w:iCs/>
        </w:rPr>
        <w:t>contribuyen</w:t>
      </w:r>
      <w:r w:rsidR="00D136BB">
        <w:rPr>
          <w:bCs/>
          <w:iCs/>
        </w:rPr>
        <w:t xml:space="preserve"> </w:t>
      </w:r>
      <w:r w:rsidRPr="00E962FA">
        <w:rPr>
          <w:bCs/>
          <w:iCs/>
        </w:rPr>
        <w:t>a</w:t>
      </w:r>
      <w:r w:rsidR="00D136BB">
        <w:rPr>
          <w:bCs/>
          <w:iCs/>
        </w:rPr>
        <w:t xml:space="preserve"> </w:t>
      </w:r>
      <w:r w:rsidRPr="00E962FA">
        <w:rPr>
          <w:bCs/>
          <w:iCs/>
        </w:rPr>
        <w:t>su</w:t>
      </w:r>
      <w:r w:rsidR="00D136BB">
        <w:rPr>
          <w:bCs/>
          <w:iCs/>
        </w:rPr>
        <w:t xml:space="preserve"> </w:t>
      </w:r>
      <w:r w:rsidRPr="00E962FA">
        <w:rPr>
          <w:bCs/>
          <w:iCs/>
        </w:rPr>
        <w:t>contaminación.</w:t>
      </w:r>
    </w:p>
    <w:p w14:paraId="3B92A4ED" w14:textId="77777777" w:rsidR="00E962FA" w:rsidRPr="00E962FA" w:rsidRDefault="00E962FA" w:rsidP="00E962FA">
      <w:pPr>
        <w:pStyle w:val="NormalWeb"/>
        <w:shd w:val="clear" w:color="auto" w:fill="FFFFFF"/>
        <w:spacing w:before="0" w:beforeAutospacing="0" w:after="0" w:afterAutospacing="0"/>
        <w:ind w:left="720"/>
        <w:jc w:val="both"/>
        <w:rPr>
          <w:bCs/>
          <w:iCs/>
        </w:rPr>
      </w:pPr>
    </w:p>
    <w:p w14:paraId="548507A9" w14:textId="26B760E8" w:rsidR="00E962FA" w:rsidRDefault="00E962FA" w:rsidP="00BE3BCB">
      <w:pPr>
        <w:pStyle w:val="ListParagraph"/>
        <w:numPr>
          <w:ilvl w:val="0"/>
          <w:numId w:val="57"/>
        </w:numPr>
        <w:spacing w:after="0" w:line="240" w:lineRule="auto"/>
        <w:ind w:left="714" w:hanging="357"/>
        <w:jc w:val="both"/>
        <w:rPr>
          <w:rFonts w:ascii="Times New Roman" w:hAnsi="Times New Roman" w:cs="Times New Roman"/>
          <w:iCs/>
          <w:sz w:val="24"/>
          <w:szCs w:val="24"/>
        </w:rPr>
      </w:pPr>
      <w:r w:rsidRPr="00E962FA">
        <w:rPr>
          <w:rFonts w:ascii="Times New Roman" w:hAnsi="Times New Roman" w:cs="Times New Roman"/>
          <w:iCs/>
          <w:sz w:val="24"/>
          <w:szCs w:val="24"/>
        </w:rPr>
        <w:t>M3.</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Insuficiente</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conocimiento</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de</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los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principales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procesos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que</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afectan</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las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zonas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costeras,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océanos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y</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los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recursos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marinos.</w:t>
      </w:r>
    </w:p>
    <w:p w14:paraId="3DC87732" w14:textId="77777777" w:rsidR="00E962FA" w:rsidRPr="00E962FA" w:rsidRDefault="00E962FA" w:rsidP="00E962FA">
      <w:pPr>
        <w:spacing w:after="0" w:line="240" w:lineRule="auto"/>
        <w:jc w:val="both"/>
        <w:rPr>
          <w:rFonts w:ascii="Times New Roman" w:hAnsi="Times New Roman" w:cs="Times New Roman"/>
          <w:iCs/>
          <w:sz w:val="24"/>
          <w:szCs w:val="24"/>
        </w:rPr>
      </w:pPr>
    </w:p>
    <w:p w14:paraId="5CA5A4C5" w14:textId="5C35DA0E" w:rsidR="00E962FA" w:rsidRPr="00E962FA" w:rsidRDefault="00E962FA" w:rsidP="00BE3BCB">
      <w:pPr>
        <w:pStyle w:val="ListParagraph"/>
        <w:numPr>
          <w:ilvl w:val="0"/>
          <w:numId w:val="57"/>
        </w:numPr>
        <w:spacing w:after="0" w:line="240" w:lineRule="auto"/>
        <w:ind w:left="714" w:hanging="357"/>
        <w:jc w:val="both"/>
        <w:rPr>
          <w:rFonts w:ascii="Times New Roman" w:hAnsi="Times New Roman" w:cs="Times New Roman"/>
          <w:iCs/>
          <w:sz w:val="24"/>
          <w:szCs w:val="24"/>
        </w:rPr>
      </w:pPr>
      <w:r w:rsidRPr="00E962FA">
        <w:rPr>
          <w:rFonts w:ascii="Times New Roman" w:hAnsi="Times New Roman" w:cs="Times New Roman"/>
          <w:iCs/>
          <w:color w:val="000000"/>
          <w:sz w:val="24"/>
          <w:szCs w:val="24"/>
          <w:lang w:eastAsia="es-AR"/>
        </w:rPr>
        <w:t>M4.</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Insuficiente</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conocimiento</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de</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los</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niveles</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de</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concentración</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de</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partículas</w:t>
      </w:r>
      <w:r w:rsidR="00D136BB">
        <w:rPr>
          <w:rFonts w:ascii="Times New Roman" w:hAnsi="Times New Roman" w:cs="Times New Roman"/>
          <w:iCs/>
          <w:color w:val="000000"/>
          <w:sz w:val="24"/>
          <w:szCs w:val="24"/>
          <w:lang w:eastAsia="es-AR"/>
        </w:rPr>
        <w:t xml:space="preserve"> </w:t>
      </w:r>
      <w:r w:rsidRPr="00E962FA">
        <w:rPr>
          <w:rFonts w:ascii="Times New Roman" w:hAnsi="Times New Roman" w:cs="Times New Roman"/>
          <w:iCs/>
          <w:color w:val="000000"/>
          <w:sz w:val="24"/>
          <w:szCs w:val="24"/>
          <w:lang w:eastAsia="es-AR"/>
        </w:rPr>
        <w:t>y</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aerosoles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atmosféricos,</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su</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composición</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e</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impacto</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en</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la</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salud</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humana.</w:t>
      </w:r>
    </w:p>
    <w:p w14:paraId="05D27887" w14:textId="77777777" w:rsidR="00E962FA" w:rsidRPr="00E962FA" w:rsidRDefault="00E962FA" w:rsidP="00E962FA">
      <w:pPr>
        <w:spacing w:after="0" w:line="240" w:lineRule="auto"/>
        <w:jc w:val="both"/>
        <w:rPr>
          <w:rFonts w:ascii="Times New Roman" w:hAnsi="Times New Roman" w:cs="Times New Roman"/>
          <w:iCs/>
          <w:sz w:val="24"/>
          <w:szCs w:val="24"/>
        </w:rPr>
      </w:pPr>
    </w:p>
    <w:p w14:paraId="48373E80" w14:textId="49219B04" w:rsidR="00E962FA" w:rsidRDefault="00E962FA" w:rsidP="00BE3BCB">
      <w:pPr>
        <w:pStyle w:val="ListParagraph"/>
        <w:numPr>
          <w:ilvl w:val="0"/>
          <w:numId w:val="57"/>
        </w:numPr>
        <w:jc w:val="both"/>
        <w:rPr>
          <w:rFonts w:ascii="Times New Roman" w:hAnsi="Times New Roman" w:cs="Times New Roman"/>
          <w:iCs/>
          <w:sz w:val="24"/>
          <w:szCs w:val="24"/>
        </w:rPr>
      </w:pPr>
      <w:r w:rsidRPr="00E962FA">
        <w:rPr>
          <w:rFonts w:ascii="Times New Roman" w:hAnsi="Times New Roman" w:cs="Times New Roman"/>
          <w:iCs/>
          <w:sz w:val="24"/>
          <w:szCs w:val="24"/>
        </w:rPr>
        <w:t>M5.</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Insuficiente</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evaluación</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de</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la</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degradación</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y</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contaminación</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del</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suelo</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y</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su</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impacto</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en</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la</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salud</w:t>
      </w:r>
      <w:r w:rsidR="00D136BB">
        <w:rPr>
          <w:rFonts w:ascii="Times New Roman" w:hAnsi="Times New Roman" w:cs="Times New Roman"/>
          <w:iCs/>
          <w:sz w:val="24"/>
          <w:szCs w:val="24"/>
        </w:rPr>
        <w:t xml:space="preserve"> </w:t>
      </w:r>
      <w:r w:rsidRPr="00E962FA">
        <w:rPr>
          <w:rFonts w:ascii="Times New Roman" w:hAnsi="Times New Roman" w:cs="Times New Roman"/>
          <w:iCs/>
          <w:sz w:val="24"/>
          <w:szCs w:val="24"/>
        </w:rPr>
        <w:t>humana.</w:t>
      </w:r>
    </w:p>
    <w:p w14:paraId="14A35002" w14:textId="77777777" w:rsidR="006E683D" w:rsidRPr="006E683D" w:rsidRDefault="006E683D" w:rsidP="006E683D">
      <w:pPr>
        <w:pStyle w:val="ListParagraph"/>
        <w:rPr>
          <w:rFonts w:ascii="Times New Roman" w:hAnsi="Times New Roman" w:cs="Times New Roman"/>
          <w:iCs/>
          <w:sz w:val="24"/>
          <w:szCs w:val="24"/>
        </w:rPr>
      </w:pPr>
    </w:p>
    <w:p w14:paraId="1948B062" w14:textId="77777777" w:rsidR="006E683D" w:rsidRPr="00E962FA" w:rsidRDefault="006E683D" w:rsidP="006E683D">
      <w:pPr>
        <w:pStyle w:val="ListParagraph"/>
        <w:jc w:val="both"/>
        <w:rPr>
          <w:rFonts w:ascii="Times New Roman" w:hAnsi="Times New Roman" w:cs="Times New Roman"/>
          <w:iCs/>
          <w:sz w:val="24"/>
          <w:szCs w:val="24"/>
        </w:rPr>
      </w:pPr>
    </w:p>
    <w:p w14:paraId="310EB2A0" w14:textId="750EB687" w:rsidR="006E683D" w:rsidRDefault="006E683D" w:rsidP="00BE3BCB">
      <w:pPr>
        <w:pStyle w:val="BodyText"/>
        <w:numPr>
          <w:ilvl w:val="0"/>
          <w:numId w:val="53"/>
        </w:numPr>
        <w:rPr>
          <w:lang w:val="es-ES"/>
        </w:rPr>
      </w:pPr>
      <w:bookmarkStart w:id="13" w:name="_Hlk31796996"/>
      <w:r w:rsidRPr="00757684">
        <w:rPr>
          <w:lang w:val="es-ES"/>
        </w:rPr>
        <w:t>Necesidades/Problemas</w:t>
      </w:r>
      <w:r w:rsidR="00D136BB">
        <w:rPr>
          <w:lang w:val="es-ES"/>
        </w:rPr>
        <w:t xml:space="preserve"> </w:t>
      </w:r>
      <w:r w:rsidRPr="00757684">
        <w:rPr>
          <w:lang w:val="es-ES"/>
        </w:rPr>
        <w:t>en</w:t>
      </w:r>
      <w:r w:rsidR="00D136BB">
        <w:rPr>
          <w:lang w:val="es-ES"/>
        </w:rPr>
        <w:t xml:space="preserve"> </w:t>
      </w:r>
      <w:bookmarkEnd w:id="13"/>
      <w:r>
        <w:rPr>
          <w:lang w:val="es-ES"/>
        </w:rPr>
        <w:t>Energía</w:t>
      </w:r>
      <w:r w:rsidRPr="00757684">
        <w:rPr>
          <w:lang w:val="es-ES"/>
        </w:rPr>
        <w:t>:</w:t>
      </w:r>
    </w:p>
    <w:p w14:paraId="7FC11C0B" w14:textId="793890AD" w:rsidR="006E683D" w:rsidRDefault="004002AE" w:rsidP="00BE3BCB">
      <w:pPr>
        <w:pStyle w:val="BodyText"/>
        <w:numPr>
          <w:ilvl w:val="0"/>
          <w:numId w:val="58"/>
        </w:numPr>
        <w:rPr>
          <w:lang w:val="es-ES"/>
        </w:rPr>
      </w:pPr>
      <w:r w:rsidRPr="004002AE">
        <w:rPr>
          <w:lang w:val="es-ES"/>
        </w:rPr>
        <w:t>E1</w:t>
      </w:r>
      <w:r>
        <w:rPr>
          <w:lang w:val="es-ES"/>
        </w:rPr>
        <w:t>.</w:t>
      </w:r>
      <w:r w:rsidR="00D136BB">
        <w:rPr>
          <w:lang w:val="es-ES"/>
        </w:rPr>
        <w:t xml:space="preserve"> </w:t>
      </w:r>
      <w:r w:rsidRPr="004002AE">
        <w:rPr>
          <w:lang w:val="es-ES"/>
        </w:rPr>
        <w:t>Incorporación</w:t>
      </w:r>
      <w:r w:rsidR="00D136BB">
        <w:rPr>
          <w:lang w:val="es-ES"/>
        </w:rPr>
        <w:t xml:space="preserve"> </w:t>
      </w:r>
      <w:r w:rsidRPr="004002AE">
        <w:rPr>
          <w:lang w:val="es-ES"/>
        </w:rPr>
        <w:t>del</w:t>
      </w:r>
      <w:r w:rsidR="00D136BB">
        <w:rPr>
          <w:lang w:val="es-ES"/>
        </w:rPr>
        <w:t xml:space="preserve"> </w:t>
      </w:r>
      <w:r w:rsidRPr="004002AE">
        <w:rPr>
          <w:lang w:val="es-ES"/>
        </w:rPr>
        <w:t>tema</w:t>
      </w:r>
      <w:r w:rsidR="00D136BB">
        <w:rPr>
          <w:lang w:val="es-ES"/>
        </w:rPr>
        <w:t xml:space="preserve"> </w:t>
      </w:r>
      <w:r w:rsidRPr="004002AE">
        <w:rPr>
          <w:lang w:val="es-ES"/>
        </w:rPr>
        <w:t>sistemas</w:t>
      </w:r>
      <w:r w:rsidR="00D136BB">
        <w:rPr>
          <w:lang w:val="es-ES"/>
        </w:rPr>
        <w:t xml:space="preserve"> </w:t>
      </w:r>
      <w:r w:rsidRPr="004002AE">
        <w:rPr>
          <w:lang w:val="es-ES"/>
        </w:rPr>
        <w:t>energéticos</w:t>
      </w:r>
      <w:r w:rsidR="00D136BB">
        <w:rPr>
          <w:lang w:val="es-ES"/>
        </w:rPr>
        <w:t xml:space="preserve"> </w:t>
      </w:r>
      <w:r w:rsidRPr="004002AE">
        <w:rPr>
          <w:lang w:val="es-ES"/>
        </w:rPr>
        <w:t>en</w:t>
      </w:r>
      <w:r w:rsidR="00D136BB">
        <w:rPr>
          <w:lang w:val="es-ES"/>
        </w:rPr>
        <w:t xml:space="preserve"> </w:t>
      </w:r>
      <w:r w:rsidRPr="004002AE">
        <w:rPr>
          <w:lang w:val="es-ES"/>
        </w:rPr>
        <w:t>los</w:t>
      </w:r>
      <w:r w:rsidR="00D136BB">
        <w:rPr>
          <w:lang w:val="es-ES"/>
        </w:rPr>
        <w:t xml:space="preserve"> </w:t>
      </w:r>
      <w:r w:rsidRPr="004002AE">
        <w:rPr>
          <w:lang w:val="es-ES"/>
        </w:rPr>
        <w:t>programas</w:t>
      </w:r>
      <w:r w:rsidR="00D136BB">
        <w:rPr>
          <w:lang w:val="es-ES"/>
        </w:rPr>
        <w:t xml:space="preserve"> </w:t>
      </w:r>
      <w:r w:rsidRPr="004002AE">
        <w:rPr>
          <w:lang w:val="es-ES"/>
        </w:rPr>
        <w:t>educativos,</w:t>
      </w:r>
      <w:r w:rsidR="00D136BB">
        <w:rPr>
          <w:lang w:val="es-ES"/>
        </w:rPr>
        <w:t xml:space="preserve"> </w:t>
      </w:r>
      <w:r w:rsidRPr="004002AE">
        <w:rPr>
          <w:lang w:val="es-ES"/>
        </w:rPr>
        <w:t>en</w:t>
      </w:r>
      <w:r w:rsidR="00D136BB">
        <w:rPr>
          <w:lang w:val="es-ES"/>
        </w:rPr>
        <w:t xml:space="preserve"> </w:t>
      </w:r>
      <w:r w:rsidRPr="004002AE">
        <w:rPr>
          <w:lang w:val="es-ES"/>
        </w:rPr>
        <w:t>los</w:t>
      </w:r>
      <w:r w:rsidR="00D136BB">
        <w:rPr>
          <w:lang w:val="es-ES"/>
        </w:rPr>
        <w:t xml:space="preserve"> </w:t>
      </w:r>
      <w:r w:rsidRPr="004002AE">
        <w:rPr>
          <w:lang w:val="es-ES"/>
        </w:rPr>
        <w:t>diferentes</w:t>
      </w:r>
      <w:r w:rsidR="00D136BB">
        <w:rPr>
          <w:lang w:val="es-ES"/>
        </w:rPr>
        <w:t xml:space="preserve"> </w:t>
      </w:r>
      <w:r w:rsidRPr="004002AE">
        <w:rPr>
          <w:lang w:val="es-ES"/>
        </w:rPr>
        <w:t>niveles</w:t>
      </w:r>
      <w:r w:rsidR="00D136BB">
        <w:rPr>
          <w:lang w:val="es-ES"/>
        </w:rPr>
        <w:t xml:space="preserve"> </w:t>
      </w:r>
      <w:r w:rsidRPr="004002AE">
        <w:rPr>
          <w:lang w:val="es-ES"/>
        </w:rPr>
        <w:t>de</w:t>
      </w:r>
      <w:r w:rsidR="00D136BB">
        <w:rPr>
          <w:lang w:val="es-ES"/>
        </w:rPr>
        <w:t xml:space="preserve"> </w:t>
      </w:r>
      <w:r w:rsidRPr="004002AE">
        <w:rPr>
          <w:lang w:val="es-ES"/>
        </w:rPr>
        <w:t>educación</w:t>
      </w:r>
      <w:r w:rsidR="00D136BB">
        <w:rPr>
          <w:lang w:val="es-ES"/>
        </w:rPr>
        <w:t xml:space="preserve"> </w:t>
      </w:r>
      <w:r w:rsidRPr="004002AE">
        <w:rPr>
          <w:lang w:val="es-ES"/>
        </w:rPr>
        <w:t>desde</w:t>
      </w:r>
      <w:r w:rsidR="00D136BB">
        <w:rPr>
          <w:lang w:val="es-ES"/>
        </w:rPr>
        <w:t xml:space="preserve"> </w:t>
      </w:r>
      <w:r w:rsidRPr="004002AE">
        <w:rPr>
          <w:lang w:val="es-ES"/>
        </w:rPr>
        <w:t>escolar</w:t>
      </w:r>
      <w:r w:rsidR="00D136BB">
        <w:rPr>
          <w:lang w:val="es-ES"/>
        </w:rPr>
        <w:t xml:space="preserve"> </w:t>
      </w:r>
      <w:r w:rsidRPr="004002AE">
        <w:rPr>
          <w:lang w:val="es-ES"/>
        </w:rPr>
        <w:t>a</w:t>
      </w:r>
      <w:r w:rsidR="00D136BB">
        <w:rPr>
          <w:lang w:val="es-ES"/>
        </w:rPr>
        <w:t xml:space="preserve"> </w:t>
      </w:r>
      <w:r w:rsidRPr="004002AE">
        <w:rPr>
          <w:lang w:val="es-ES"/>
        </w:rPr>
        <w:t>grado</w:t>
      </w:r>
      <w:r w:rsidR="00D136BB">
        <w:rPr>
          <w:lang w:val="es-ES"/>
        </w:rPr>
        <w:t xml:space="preserve"> </w:t>
      </w:r>
      <w:r w:rsidRPr="004002AE">
        <w:rPr>
          <w:lang w:val="es-ES"/>
        </w:rPr>
        <w:t>universitario</w:t>
      </w:r>
      <w:r w:rsidR="00D136BB">
        <w:rPr>
          <w:lang w:val="es-ES"/>
        </w:rPr>
        <w:t xml:space="preserve"> </w:t>
      </w:r>
      <w:r w:rsidRPr="004002AE">
        <w:rPr>
          <w:lang w:val="es-ES"/>
        </w:rPr>
        <w:t>en</w:t>
      </w:r>
      <w:r w:rsidR="00D136BB">
        <w:rPr>
          <w:lang w:val="es-ES"/>
        </w:rPr>
        <w:t xml:space="preserve"> </w:t>
      </w:r>
      <w:r w:rsidRPr="004002AE">
        <w:rPr>
          <w:lang w:val="es-ES"/>
        </w:rPr>
        <w:t>la</w:t>
      </w:r>
      <w:r w:rsidR="00D136BB">
        <w:rPr>
          <w:lang w:val="es-ES"/>
        </w:rPr>
        <w:t xml:space="preserve"> </w:t>
      </w:r>
      <w:r w:rsidRPr="004002AE">
        <w:rPr>
          <w:lang w:val="es-ES"/>
        </w:rPr>
        <w:t>región.</w:t>
      </w:r>
    </w:p>
    <w:p w14:paraId="4E070933" w14:textId="5FC75BF2" w:rsidR="004002AE" w:rsidRDefault="004002AE" w:rsidP="00BE3BCB">
      <w:pPr>
        <w:pStyle w:val="BodyText"/>
        <w:numPr>
          <w:ilvl w:val="0"/>
          <w:numId w:val="58"/>
        </w:numPr>
        <w:rPr>
          <w:lang w:val="es-ES"/>
        </w:rPr>
      </w:pPr>
      <w:r w:rsidRPr="004002AE">
        <w:rPr>
          <w:lang w:val="es-ES"/>
        </w:rPr>
        <w:t>E2</w:t>
      </w:r>
      <w:r>
        <w:rPr>
          <w:lang w:val="es-ES"/>
        </w:rPr>
        <w:t>.</w:t>
      </w:r>
      <w:r w:rsidR="00D136BB">
        <w:rPr>
          <w:lang w:val="es-ES"/>
        </w:rPr>
        <w:t xml:space="preserve"> </w:t>
      </w:r>
      <w:r w:rsidRPr="004002AE">
        <w:rPr>
          <w:lang w:val="es-ES"/>
        </w:rPr>
        <w:t>Consolidación</w:t>
      </w:r>
      <w:r w:rsidR="00D136BB">
        <w:rPr>
          <w:lang w:val="es-ES"/>
        </w:rPr>
        <w:t xml:space="preserve"> </w:t>
      </w:r>
      <w:r w:rsidRPr="004002AE">
        <w:rPr>
          <w:lang w:val="es-ES"/>
        </w:rPr>
        <w:t>de</w:t>
      </w:r>
      <w:r w:rsidR="00D136BB">
        <w:rPr>
          <w:lang w:val="es-ES"/>
        </w:rPr>
        <w:t xml:space="preserve"> </w:t>
      </w:r>
      <w:r w:rsidRPr="004002AE">
        <w:rPr>
          <w:lang w:val="es-ES"/>
        </w:rPr>
        <w:t>una</w:t>
      </w:r>
      <w:r w:rsidR="00D136BB">
        <w:rPr>
          <w:lang w:val="es-ES"/>
        </w:rPr>
        <w:t xml:space="preserve"> </w:t>
      </w:r>
      <w:r w:rsidRPr="004002AE">
        <w:rPr>
          <w:lang w:val="es-ES"/>
        </w:rPr>
        <w:t>red</w:t>
      </w:r>
      <w:r w:rsidR="00D136BB">
        <w:rPr>
          <w:lang w:val="es-ES"/>
        </w:rPr>
        <w:t xml:space="preserve"> </w:t>
      </w:r>
      <w:r w:rsidRPr="004002AE">
        <w:rPr>
          <w:lang w:val="es-ES"/>
        </w:rPr>
        <w:t>para</w:t>
      </w:r>
      <w:r w:rsidR="00D136BB">
        <w:rPr>
          <w:lang w:val="es-ES"/>
        </w:rPr>
        <w:t xml:space="preserve"> </w:t>
      </w:r>
      <w:r w:rsidRPr="004002AE">
        <w:rPr>
          <w:lang w:val="es-ES"/>
        </w:rPr>
        <w:t>el</w:t>
      </w:r>
      <w:r w:rsidR="00D136BB">
        <w:rPr>
          <w:lang w:val="es-ES"/>
        </w:rPr>
        <w:t xml:space="preserve"> </w:t>
      </w:r>
      <w:r w:rsidRPr="004002AE">
        <w:rPr>
          <w:lang w:val="es-ES"/>
        </w:rPr>
        <w:t>intercambio</w:t>
      </w:r>
      <w:r w:rsidR="00D136BB">
        <w:rPr>
          <w:lang w:val="es-ES"/>
        </w:rPr>
        <w:t xml:space="preserve"> </w:t>
      </w:r>
      <w:r w:rsidRPr="004002AE">
        <w:rPr>
          <w:lang w:val="es-ES"/>
        </w:rPr>
        <w:t>de</w:t>
      </w:r>
      <w:r w:rsidR="00D136BB">
        <w:rPr>
          <w:lang w:val="es-ES"/>
        </w:rPr>
        <w:t xml:space="preserve"> </w:t>
      </w:r>
      <w:r w:rsidRPr="004002AE">
        <w:rPr>
          <w:lang w:val="es-ES"/>
        </w:rPr>
        <w:t>información</w:t>
      </w:r>
      <w:r w:rsidR="00D136BB">
        <w:rPr>
          <w:lang w:val="es-ES"/>
        </w:rPr>
        <w:t xml:space="preserve"> </w:t>
      </w:r>
      <w:r w:rsidRPr="004002AE">
        <w:rPr>
          <w:lang w:val="es-ES"/>
        </w:rPr>
        <w:t>y</w:t>
      </w:r>
      <w:r w:rsidR="00D136BB">
        <w:rPr>
          <w:lang w:val="es-ES"/>
        </w:rPr>
        <w:t xml:space="preserve"> </w:t>
      </w:r>
      <w:r w:rsidRPr="004002AE">
        <w:rPr>
          <w:lang w:val="es-ES"/>
        </w:rPr>
        <w:t>coordinación</w:t>
      </w:r>
      <w:r w:rsidR="00D136BB">
        <w:rPr>
          <w:lang w:val="es-ES"/>
        </w:rPr>
        <w:t xml:space="preserve"> </w:t>
      </w:r>
      <w:r w:rsidRPr="004002AE">
        <w:rPr>
          <w:lang w:val="es-ES"/>
        </w:rPr>
        <w:t>de</w:t>
      </w:r>
      <w:r w:rsidR="00D136BB">
        <w:rPr>
          <w:lang w:val="es-ES"/>
        </w:rPr>
        <w:t xml:space="preserve"> </w:t>
      </w:r>
      <w:r w:rsidRPr="004002AE">
        <w:rPr>
          <w:lang w:val="es-ES"/>
        </w:rPr>
        <w:t>estrategias</w:t>
      </w:r>
      <w:r w:rsidR="00D136BB">
        <w:rPr>
          <w:lang w:val="es-ES"/>
        </w:rPr>
        <w:t xml:space="preserve"> </w:t>
      </w:r>
      <w:r w:rsidRPr="004002AE">
        <w:rPr>
          <w:lang w:val="es-ES"/>
        </w:rPr>
        <w:t>desde</w:t>
      </w:r>
      <w:r w:rsidR="00D136BB">
        <w:rPr>
          <w:lang w:val="es-ES"/>
        </w:rPr>
        <w:t xml:space="preserve"> </w:t>
      </w:r>
      <w:r w:rsidRPr="004002AE">
        <w:rPr>
          <w:lang w:val="es-ES"/>
        </w:rPr>
        <w:t>los</w:t>
      </w:r>
      <w:r w:rsidR="00D136BB">
        <w:rPr>
          <w:lang w:val="es-ES"/>
        </w:rPr>
        <w:t xml:space="preserve"> </w:t>
      </w:r>
      <w:r w:rsidRPr="004002AE">
        <w:rPr>
          <w:lang w:val="es-ES"/>
        </w:rPr>
        <w:t>operadores</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reactores</w:t>
      </w:r>
      <w:r w:rsidR="00D136BB">
        <w:rPr>
          <w:lang w:val="es-ES"/>
        </w:rPr>
        <w:t xml:space="preserve"> </w:t>
      </w:r>
      <w:r w:rsidRPr="004002AE">
        <w:rPr>
          <w:lang w:val="es-ES"/>
        </w:rPr>
        <w:t>de</w:t>
      </w:r>
      <w:r w:rsidR="00D136BB">
        <w:rPr>
          <w:lang w:val="es-ES"/>
        </w:rPr>
        <w:t xml:space="preserve"> </w:t>
      </w:r>
      <w:r w:rsidRPr="004002AE">
        <w:rPr>
          <w:lang w:val="es-ES"/>
        </w:rPr>
        <w:t>investigación</w:t>
      </w:r>
      <w:r w:rsidR="00D136BB">
        <w:rPr>
          <w:lang w:val="es-ES"/>
        </w:rPr>
        <w:t xml:space="preserve"> </w:t>
      </w:r>
      <w:r w:rsidRPr="004002AE">
        <w:rPr>
          <w:lang w:val="es-ES"/>
        </w:rPr>
        <w:t>hasta</w:t>
      </w:r>
      <w:r w:rsidR="00D136BB">
        <w:rPr>
          <w:lang w:val="es-ES"/>
        </w:rPr>
        <w:t xml:space="preserve"> </w:t>
      </w:r>
      <w:r w:rsidRPr="004002AE">
        <w:rPr>
          <w:lang w:val="es-ES"/>
        </w:rPr>
        <w:t>el</w:t>
      </w:r>
      <w:r w:rsidR="00D136BB">
        <w:rPr>
          <w:lang w:val="es-ES"/>
        </w:rPr>
        <w:t xml:space="preserve"> </w:t>
      </w:r>
      <w:r w:rsidRPr="004002AE">
        <w:rPr>
          <w:lang w:val="es-ES"/>
        </w:rPr>
        <w:t>usuario</w:t>
      </w:r>
      <w:r w:rsidR="00D136BB">
        <w:rPr>
          <w:lang w:val="es-ES"/>
        </w:rPr>
        <w:t xml:space="preserve"> </w:t>
      </w:r>
      <w:r w:rsidRPr="004002AE">
        <w:rPr>
          <w:lang w:val="es-ES"/>
        </w:rPr>
        <w:t>final</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radioisótopos.</w:t>
      </w:r>
    </w:p>
    <w:p w14:paraId="48AFBEE9" w14:textId="63395BEC" w:rsidR="004002AE" w:rsidRDefault="004002AE" w:rsidP="00BE3BCB">
      <w:pPr>
        <w:pStyle w:val="BodyText"/>
        <w:numPr>
          <w:ilvl w:val="0"/>
          <w:numId w:val="58"/>
        </w:numPr>
        <w:rPr>
          <w:lang w:val="es-ES"/>
        </w:rPr>
      </w:pPr>
      <w:r w:rsidRPr="004002AE">
        <w:rPr>
          <w:lang w:val="es-ES"/>
        </w:rPr>
        <w:t>E3</w:t>
      </w:r>
      <w:r>
        <w:rPr>
          <w:lang w:val="es-ES"/>
        </w:rPr>
        <w:t>.</w:t>
      </w:r>
      <w:r w:rsidR="00D136BB">
        <w:rPr>
          <w:lang w:val="es-ES"/>
        </w:rPr>
        <w:t xml:space="preserve"> </w:t>
      </w:r>
      <w:r w:rsidRPr="004002AE">
        <w:rPr>
          <w:lang w:val="es-ES"/>
        </w:rPr>
        <w:t>Disponer</w:t>
      </w:r>
      <w:r w:rsidR="00D136BB">
        <w:rPr>
          <w:lang w:val="es-ES"/>
        </w:rPr>
        <w:t xml:space="preserve"> </w:t>
      </w:r>
      <w:r w:rsidRPr="004002AE">
        <w:rPr>
          <w:lang w:val="es-ES"/>
        </w:rPr>
        <w:t>de</w:t>
      </w:r>
      <w:r w:rsidR="00D136BB">
        <w:rPr>
          <w:lang w:val="es-ES"/>
        </w:rPr>
        <w:t xml:space="preserve"> </w:t>
      </w:r>
      <w:r w:rsidRPr="004002AE">
        <w:rPr>
          <w:lang w:val="es-ES"/>
        </w:rPr>
        <w:t>planes</w:t>
      </w:r>
      <w:r w:rsidR="00D136BB">
        <w:rPr>
          <w:lang w:val="es-ES"/>
        </w:rPr>
        <w:t xml:space="preserve"> </w:t>
      </w:r>
      <w:r w:rsidRPr="004002AE">
        <w:rPr>
          <w:lang w:val="es-ES"/>
        </w:rPr>
        <w:t>energéticos</w:t>
      </w:r>
      <w:r w:rsidR="00D136BB">
        <w:rPr>
          <w:lang w:val="es-ES"/>
        </w:rPr>
        <w:t xml:space="preserve"> </w:t>
      </w:r>
      <w:r w:rsidRPr="004002AE">
        <w:rPr>
          <w:lang w:val="es-ES"/>
        </w:rPr>
        <w:t>nacionales,</w:t>
      </w:r>
      <w:r w:rsidR="00D136BB">
        <w:rPr>
          <w:lang w:val="es-ES"/>
        </w:rPr>
        <w:t xml:space="preserve"> </w:t>
      </w:r>
      <w:r w:rsidRPr="004002AE">
        <w:rPr>
          <w:lang w:val="es-ES"/>
        </w:rPr>
        <w:t>sub</w:t>
      </w:r>
      <w:r w:rsidR="00D136BB">
        <w:rPr>
          <w:lang w:val="es-ES"/>
        </w:rPr>
        <w:t xml:space="preserve"> </w:t>
      </w:r>
      <w:r w:rsidRPr="004002AE">
        <w:rPr>
          <w:lang w:val="es-ES"/>
        </w:rPr>
        <w:t>regionales</w:t>
      </w:r>
      <w:r w:rsidR="00D136BB">
        <w:rPr>
          <w:lang w:val="es-ES"/>
        </w:rPr>
        <w:t xml:space="preserve"> </w:t>
      </w:r>
      <w:r w:rsidRPr="004002AE">
        <w:rPr>
          <w:lang w:val="es-ES"/>
        </w:rPr>
        <w:t>y/o</w:t>
      </w:r>
      <w:r w:rsidR="00D136BB">
        <w:rPr>
          <w:lang w:val="es-ES"/>
        </w:rPr>
        <w:t xml:space="preserve"> </w:t>
      </w:r>
      <w:r w:rsidRPr="004002AE">
        <w:rPr>
          <w:lang w:val="es-ES"/>
        </w:rPr>
        <w:t>regionales</w:t>
      </w:r>
      <w:r w:rsidR="00D136BB">
        <w:rPr>
          <w:lang w:val="es-ES"/>
        </w:rPr>
        <w:t xml:space="preserve"> </w:t>
      </w:r>
      <w:r w:rsidRPr="004002AE">
        <w:rPr>
          <w:lang w:val="es-ES"/>
        </w:rPr>
        <w:t>contemplando</w:t>
      </w:r>
      <w:r w:rsidR="00D136BB">
        <w:rPr>
          <w:lang w:val="es-ES"/>
        </w:rPr>
        <w:t xml:space="preserve"> </w:t>
      </w:r>
      <w:r w:rsidRPr="004002AE">
        <w:rPr>
          <w:lang w:val="es-ES"/>
        </w:rPr>
        <w:t>los</w:t>
      </w:r>
      <w:r w:rsidR="00D136BB">
        <w:rPr>
          <w:lang w:val="es-ES"/>
        </w:rPr>
        <w:t xml:space="preserve"> </w:t>
      </w:r>
      <w:r w:rsidRPr="004002AE">
        <w:rPr>
          <w:lang w:val="es-ES"/>
        </w:rPr>
        <w:t>Objetivos</w:t>
      </w:r>
      <w:r w:rsidR="00D136BB">
        <w:rPr>
          <w:lang w:val="es-ES"/>
        </w:rPr>
        <w:t xml:space="preserve"> </w:t>
      </w:r>
      <w:r w:rsidRPr="004002AE">
        <w:rPr>
          <w:lang w:val="es-ES"/>
        </w:rPr>
        <w:t>de</w:t>
      </w:r>
      <w:r w:rsidR="00D136BB">
        <w:rPr>
          <w:lang w:val="es-ES"/>
        </w:rPr>
        <w:t xml:space="preserve"> </w:t>
      </w:r>
      <w:r w:rsidRPr="004002AE">
        <w:rPr>
          <w:lang w:val="es-ES"/>
        </w:rPr>
        <w:t>desarrollo</w:t>
      </w:r>
      <w:r w:rsidR="00D136BB">
        <w:rPr>
          <w:lang w:val="es-ES"/>
        </w:rPr>
        <w:t xml:space="preserve"> </w:t>
      </w:r>
      <w:r w:rsidRPr="004002AE">
        <w:rPr>
          <w:lang w:val="es-ES"/>
        </w:rPr>
        <w:t>Sostenible</w:t>
      </w:r>
      <w:r w:rsidR="00D136BB">
        <w:rPr>
          <w:lang w:val="es-ES"/>
        </w:rPr>
        <w:t xml:space="preserve"> </w:t>
      </w:r>
      <w:r w:rsidRPr="004002AE">
        <w:rPr>
          <w:lang w:val="es-ES"/>
        </w:rPr>
        <w:t>Nro.</w:t>
      </w:r>
      <w:r w:rsidR="00D136BB">
        <w:rPr>
          <w:lang w:val="es-ES"/>
        </w:rPr>
        <w:t xml:space="preserve"> </w:t>
      </w:r>
      <w:r w:rsidRPr="004002AE">
        <w:rPr>
          <w:lang w:val="es-ES"/>
        </w:rPr>
        <w:t>7</w:t>
      </w:r>
      <w:r w:rsidR="00D136BB">
        <w:rPr>
          <w:lang w:val="es-ES"/>
        </w:rPr>
        <w:t xml:space="preserve"> </w:t>
      </w:r>
      <w:r w:rsidRPr="004002AE">
        <w:rPr>
          <w:lang w:val="es-ES"/>
        </w:rPr>
        <w:t>Energía</w:t>
      </w:r>
      <w:r w:rsidR="00D136BB">
        <w:rPr>
          <w:lang w:val="es-ES"/>
        </w:rPr>
        <w:t xml:space="preserve"> </w:t>
      </w:r>
      <w:r w:rsidRPr="004002AE">
        <w:rPr>
          <w:lang w:val="es-ES"/>
        </w:rPr>
        <w:t>accesible</w:t>
      </w:r>
      <w:r w:rsidR="00D136BB">
        <w:rPr>
          <w:lang w:val="es-ES"/>
        </w:rPr>
        <w:t xml:space="preserve"> </w:t>
      </w:r>
      <w:r w:rsidRPr="004002AE">
        <w:rPr>
          <w:lang w:val="es-ES"/>
        </w:rPr>
        <w:t>y</w:t>
      </w:r>
      <w:r w:rsidR="00D136BB">
        <w:rPr>
          <w:lang w:val="es-ES"/>
        </w:rPr>
        <w:t xml:space="preserve"> </w:t>
      </w:r>
      <w:r w:rsidRPr="004002AE">
        <w:rPr>
          <w:lang w:val="es-ES"/>
        </w:rPr>
        <w:t>no</w:t>
      </w:r>
      <w:r w:rsidR="00D136BB">
        <w:rPr>
          <w:lang w:val="es-ES"/>
        </w:rPr>
        <w:t xml:space="preserve"> </w:t>
      </w:r>
      <w:r w:rsidRPr="004002AE">
        <w:rPr>
          <w:lang w:val="es-ES"/>
        </w:rPr>
        <w:t>contaminante</w:t>
      </w:r>
      <w:r w:rsidR="00D136BB">
        <w:rPr>
          <w:lang w:val="es-ES"/>
        </w:rPr>
        <w:t xml:space="preserve"> </w:t>
      </w:r>
      <w:r w:rsidRPr="004002AE">
        <w:rPr>
          <w:lang w:val="es-ES"/>
        </w:rPr>
        <w:t>y</w:t>
      </w:r>
      <w:r w:rsidR="00D136BB">
        <w:rPr>
          <w:lang w:val="es-ES"/>
        </w:rPr>
        <w:t xml:space="preserve"> </w:t>
      </w:r>
      <w:r w:rsidRPr="004002AE">
        <w:rPr>
          <w:lang w:val="es-ES"/>
        </w:rPr>
        <w:t>Nro.</w:t>
      </w:r>
      <w:r w:rsidR="00D136BB">
        <w:rPr>
          <w:lang w:val="es-ES"/>
        </w:rPr>
        <w:t xml:space="preserve"> </w:t>
      </w:r>
      <w:r w:rsidRPr="004002AE">
        <w:rPr>
          <w:lang w:val="es-ES"/>
        </w:rPr>
        <w:t>13</w:t>
      </w:r>
      <w:r w:rsidR="00D136BB">
        <w:rPr>
          <w:lang w:val="es-ES"/>
        </w:rPr>
        <w:t xml:space="preserve"> </w:t>
      </w:r>
      <w:r w:rsidRPr="004002AE">
        <w:rPr>
          <w:lang w:val="es-ES"/>
        </w:rPr>
        <w:t>Acción</w:t>
      </w:r>
      <w:r w:rsidR="00D136BB">
        <w:rPr>
          <w:lang w:val="es-ES"/>
        </w:rPr>
        <w:t xml:space="preserve"> </w:t>
      </w:r>
      <w:r w:rsidRPr="004002AE">
        <w:rPr>
          <w:lang w:val="es-ES"/>
        </w:rPr>
        <w:t>por</w:t>
      </w:r>
      <w:r w:rsidR="00D136BB">
        <w:rPr>
          <w:lang w:val="es-ES"/>
        </w:rPr>
        <w:t xml:space="preserve"> </w:t>
      </w:r>
      <w:r w:rsidRPr="004002AE">
        <w:rPr>
          <w:lang w:val="es-ES"/>
        </w:rPr>
        <w:t>el</w:t>
      </w:r>
      <w:r w:rsidR="00D136BB">
        <w:rPr>
          <w:lang w:val="es-ES"/>
        </w:rPr>
        <w:t xml:space="preserve"> </w:t>
      </w:r>
      <w:r w:rsidRPr="004002AE">
        <w:rPr>
          <w:lang w:val="es-ES"/>
        </w:rPr>
        <w:t>Clima.</w:t>
      </w:r>
    </w:p>
    <w:p w14:paraId="402B930D" w14:textId="03EDEB65" w:rsidR="004002AE" w:rsidRDefault="004002AE" w:rsidP="00BE3BCB">
      <w:pPr>
        <w:pStyle w:val="BodyText"/>
        <w:numPr>
          <w:ilvl w:val="0"/>
          <w:numId w:val="58"/>
        </w:numPr>
        <w:rPr>
          <w:lang w:val="es-ES"/>
        </w:rPr>
      </w:pPr>
      <w:r w:rsidRPr="004002AE">
        <w:rPr>
          <w:lang w:val="es-ES"/>
        </w:rPr>
        <w:t>E4</w:t>
      </w:r>
      <w:r>
        <w:rPr>
          <w:lang w:val="es-ES"/>
        </w:rPr>
        <w:t>.</w:t>
      </w:r>
      <w:r w:rsidR="00D136BB">
        <w:rPr>
          <w:lang w:val="es-ES"/>
        </w:rPr>
        <w:t xml:space="preserve"> </w:t>
      </w:r>
      <w:r w:rsidRPr="004002AE">
        <w:rPr>
          <w:lang w:val="es-ES"/>
        </w:rPr>
        <w:t>Incorporar</w:t>
      </w:r>
      <w:r w:rsidR="00D136BB">
        <w:rPr>
          <w:lang w:val="es-ES"/>
        </w:rPr>
        <w:t xml:space="preserve"> </w:t>
      </w:r>
      <w:r w:rsidRPr="004002AE">
        <w:rPr>
          <w:lang w:val="es-ES"/>
        </w:rPr>
        <w:t>en</w:t>
      </w:r>
      <w:r w:rsidR="00D136BB">
        <w:rPr>
          <w:lang w:val="es-ES"/>
        </w:rPr>
        <w:t xml:space="preserve"> </w:t>
      </w:r>
      <w:r w:rsidRPr="004002AE">
        <w:rPr>
          <w:lang w:val="es-ES"/>
        </w:rPr>
        <w:t>los</w:t>
      </w:r>
      <w:r w:rsidR="00D136BB">
        <w:rPr>
          <w:lang w:val="es-ES"/>
        </w:rPr>
        <w:t xml:space="preserve"> </w:t>
      </w:r>
      <w:r w:rsidRPr="004002AE">
        <w:rPr>
          <w:lang w:val="es-ES"/>
        </w:rPr>
        <w:t>fórums</w:t>
      </w:r>
      <w:r w:rsidR="00D136BB">
        <w:rPr>
          <w:lang w:val="es-ES"/>
        </w:rPr>
        <w:t xml:space="preserve"> </w:t>
      </w:r>
      <w:r w:rsidRPr="004002AE">
        <w:rPr>
          <w:lang w:val="es-ES"/>
        </w:rPr>
        <w:t>de</w:t>
      </w:r>
      <w:r w:rsidR="00D136BB">
        <w:rPr>
          <w:lang w:val="es-ES"/>
        </w:rPr>
        <w:t xml:space="preserve"> </w:t>
      </w:r>
      <w:r w:rsidRPr="004002AE">
        <w:rPr>
          <w:lang w:val="es-ES"/>
        </w:rPr>
        <w:t>discusión</w:t>
      </w:r>
      <w:r w:rsidR="00D136BB">
        <w:rPr>
          <w:lang w:val="es-ES"/>
        </w:rPr>
        <w:t xml:space="preserve"> </w:t>
      </w:r>
      <w:r w:rsidRPr="004002AE">
        <w:rPr>
          <w:lang w:val="es-ES"/>
        </w:rPr>
        <w:t>de</w:t>
      </w:r>
      <w:r w:rsidR="00D136BB">
        <w:rPr>
          <w:lang w:val="es-ES"/>
        </w:rPr>
        <w:t xml:space="preserve"> </w:t>
      </w:r>
      <w:r w:rsidRPr="004002AE">
        <w:rPr>
          <w:lang w:val="es-ES"/>
        </w:rPr>
        <w:t>planificación</w:t>
      </w:r>
      <w:r w:rsidR="00D136BB">
        <w:rPr>
          <w:lang w:val="es-ES"/>
        </w:rPr>
        <w:t xml:space="preserve"> </w:t>
      </w:r>
      <w:r w:rsidRPr="004002AE">
        <w:rPr>
          <w:lang w:val="es-ES"/>
        </w:rPr>
        <w:t>energética</w:t>
      </w:r>
      <w:r w:rsidR="00D136BB">
        <w:rPr>
          <w:lang w:val="es-ES"/>
        </w:rPr>
        <w:t xml:space="preserve"> </w:t>
      </w:r>
      <w:r w:rsidRPr="004002AE">
        <w:rPr>
          <w:lang w:val="es-ES"/>
        </w:rPr>
        <w:t>en</w:t>
      </w:r>
      <w:r w:rsidR="00D136BB">
        <w:rPr>
          <w:lang w:val="es-ES"/>
        </w:rPr>
        <w:t xml:space="preserve"> </w:t>
      </w:r>
      <w:r w:rsidRPr="004002AE">
        <w:rPr>
          <w:lang w:val="es-ES"/>
        </w:rPr>
        <w:t>la</w:t>
      </w:r>
      <w:r w:rsidR="00D136BB">
        <w:rPr>
          <w:lang w:val="es-ES"/>
        </w:rPr>
        <w:t xml:space="preserve"> </w:t>
      </w:r>
      <w:r w:rsidRPr="004002AE">
        <w:rPr>
          <w:lang w:val="es-ES"/>
        </w:rPr>
        <w:t>región</w:t>
      </w:r>
      <w:r w:rsidR="00D136BB">
        <w:rPr>
          <w:lang w:val="es-ES"/>
        </w:rPr>
        <w:t xml:space="preserve"> </w:t>
      </w:r>
      <w:r w:rsidRPr="004002AE">
        <w:rPr>
          <w:lang w:val="es-ES"/>
        </w:rPr>
        <w:t>el</w:t>
      </w:r>
      <w:r w:rsidR="00D136BB">
        <w:rPr>
          <w:lang w:val="es-ES"/>
        </w:rPr>
        <w:t xml:space="preserve"> </w:t>
      </w:r>
      <w:r w:rsidRPr="004002AE">
        <w:rPr>
          <w:lang w:val="es-ES"/>
        </w:rPr>
        <w:t>concepto</w:t>
      </w:r>
      <w:r w:rsidR="00D136BB">
        <w:rPr>
          <w:lang w:val="es-ES"/>
        </w:rPr>
        <w:t xml:space="preserve"> </w:t>
      </w:r>
      <w:r w:rsidRPr="004002AE">
        <w:rPr>
          <w:lang w:val="es-ES"/>
        </w:rPr>
        <w:t>CLEW</w:t>
      </w:r>
      <w:r>
        <w:rPr>
          <w:lang w:val="es-ES"/>
        </w:rPr>
        <w:t>.</w:t>
      </w:r>
    </w:p>
    <w:p w14:paraId="4EE2C2AA" w14:textId="7A3D46D1" w:rsidR="004002AE" w:rsidRDefault="004002AE" w:rsidP="00BE3BCB">
      <w:pPr>
        <w:pStyle w:val="BodyText"/>
        <w:numPr>
          <w:ilvl w:val="0"/>
          <w:numId w:val="58"/>
        </w:numPr>
        <w:rPr>
          <w:lang w:val="es-ES"/>
        </w:rPr>
      </w:pPr>
      <w:r w:rsidRPr="004002AE">
        <w:rPr>
          <w:lang w:val="es-ES"/>
        </w:rPr>
        <w:t>E5</w:t>
      </w:r>
      <w:r>
        <w:rPr>
          <w:lang w:val="es-ES"/>
        </w:rPr>
        <w:t>.</w:t>
      </w:r>
      <w:r w:rsidR="00D136BB">
        <w:rPr>
          <w:lang w:val="es-ES"/>
        </w:rPr>
        <w:t xml:space="preserve"> </w:t>
      </w:r>
      <w:r w:rsidRPr="004002AE">
        <w:rPr>
          <w:lang w:val="es-ES"/>
        </w:rPr>
        <w:t>Extensión</w:t>
      </w:r>
      <w:r w:rsidR="00D136BB">
        <w:rPr>
          <w:lang w:val="es-ES"/>
        </w:rPr>
        <w:t xml:space="preserve"> </w:t>
      </w:r>
      <w:r w:rsidRPr="004002AE">
        <w:rPr>
          <w:lang w:val="es-ES"/>
        </w:rPr>
        <w:t>de</w:t>
      </w:r>
      <w:r w:rsidR="00D136BB">
        <w:rPr>
          <w:lang w:val="es-ES"/>
        </w:rPr>
        <w:t xml:space="preserve"> </w:t>
      </w:r>
      <w:r w:rsidRPr="004002AE">
        <w:rPr>
          <w:lang w:val="es-ES"/>
        </w:rPr>
        <w:t>vida</w:t>
      </w:r>
      <w:r w:rsidR="00D136BB">
        <w:rPr>
          <w:lang w:val="es-ES"/>
        </w:rPr>
        <w:t xml:space="preserve"> </w:t>
      </w:r>
      <w:r w:rsidRPr="004002AE">
        <w:rPr>
          <w:lang w:val="es-ES"/>
        </w:rPr>
        <w:t>útil</w:t>
      </w:r>
      <w:r w:rsidR="00D136BB">
        <w:rPr>
          <w:lang w:val="es-ES"/>
        </w:rPr>
        <w:t xml:space="preserve"> </w:t>
      </w:r>
      <w:r w:rsidRPr="004002AE">
        <w:rPr>
          <w:lang w:val="es-ES"/>
        </w:rPr>
        <w:t>de</w:t>
      </w:r>
      <w:r w:rsidR="00D136BB">
        <w:rPr>
          <w:lang w:val="es-ES"/>
        </w:rPr>
        <w:t xml:space="preserve"> </w:t>
      </w:r>
      <w:r w:rsidRPr="004002AE">
        <w:rPr>
          <w:lang w:val="es-ES"/>
        </w:rPr>
        <w:t>las</w:t>
      </w:r>
      <w:r w:rsidR="00D136BB">
        <w:rPr>
          <w:lang w:val="es-ES"/>
        </w:rPr>
        <w:t xml:space="preserve"> </w:t>
      </w:r>
      <w:r w:rsidRPr="004002AE">
        <w:rPr>
          <w:lang w:val="es-ES"/>
        </w:rPr>
        <w:t>centrales</w:t>
      </w:r>
      <w:r w:rsidR="00D136BB">
        <w:rPr>
          <w:lang w:val="es-ES"/>
        </w:rPr>
        <w:t xml:space="preserve"> </w:t>
      </w:r>
      <w:r w:rsidRPr="004002AE">
        <w:rPr>
          <w:lang w:val="es-ES"/>
        </w:rPr>
        <w:t>nucleares</w:t>
      </w:r>
      <w:r>
        <w:rPr>
          <w:lang w:val="es-ES"/>
        </w:rPr>
        <w:t>.</w:t>
      </w:r>
    </w:p>
    <w:p w14:paraId="56270770" w14:textId="77777777" w:rsidR="004002AE" w:rsidRDefault="004002AE" w:rsidP="004002AE">
      <w:pPr>
        <w:pStyle w:val="BodyText"/>
        <w:ind w:left="720"/>
        <w:rPr>
          <w:lang w:val="es-ES"/>
        </w:rPr>
      </w:pPr>
    </w:p>
    <w:p w14:paraId="33E4B001" w14:textId="20DAF54E" w:rsidR="004002AE" w:rsidRPr="004002AE" w:rsidRDefault="004002AE" w:rsidP="00BE3BCB">
      <w:pPr>
        <w:pStyle w:val="BodyText"/>
        <w:numPr>
          <w:ilvl w:val="0"/>
          <w:numId w:val="53"/>
        </w:numPr>
        <w:rPr>
          <w:lang w:val="es-ES"/>
        </w:rPr>
      </w:pPr>
      <w:bookmarkStart w:id="14" w:name="_Hlk31797012"/>
      <w:r w:rsidRPr="004002AE">
        <w:rPr>
          <w:lang w:val="es-ES"/>
        </w:rPr>
        <w:t>Necesidades/Problemas</w:t>
      </w:r>
      <w:r w:rsidR="00D136BB">
        <w:rPr>
          <w:lang w:val="es-ES"/>
        </w:rPr>
        <w:t xml:space="preserve"> </w:t>
      </w:r>
      <w:r w:rsidRPr="004002AE">
        <w:rPr>
          <w:lang w:val="es-ES"/>
        </w:rPr>
        <w:t>en</w:t>
      </w:r>
      <w:r w:rsidR="00D136BB">
        <w:rPr>
          <w:lang w:val="es-ES"/>
        </w:rPr>
        <w:t xml:space="preserve"> </w:t>
      </w:r>
      <w:r w:rsidRPr="004002AE">
        <w:rPr>
          <w:lang w:val="es-ES"/>
        </w:rPr>
        <w:t>Seguridad</w:t>
      </w:r>
      <w:r w:rsidR="00D136BB">
        <w:rPr>
          <w:lang w:val="es-ES"/>
        </w:rPr>
        <w:t xml:space="preserve"> </w:t>
      </w:r>
      <w:r w:rsidRPr="004002AE">
        <w:rPr>
          <w:lang w:val="es-ES"/>
        </w:rPr>
        <w:t>Radiológica:</w:t>
      </w:r>
      <w:bookmarkEnd w:id="14"/>
    </w:p>
    <w:p w14:paraId="0905629D" w14:textId="4B70B84C" w:rsidR="004002AE" w:rsidRDefault="004002AE" w:rsidP="00BE3BCB">
      <w:pPr>
        <w:pStyle w:val="BodyText"/>
        <w:numPr>
          <w:ilvl w:val="0"/>
          <w:numId w:val="59"/>
        </w:numPr>
        <w:rPr>
          <w:lang w:val="es-ES"/>
        </w:rPr>
      </w:pPr>
      <w:r w:rsidRPr="004002AE">
        <w:rPr>
          <w:lang w:val="es-ES"/>
        </w:rPr>
        <w:t>R1.</w:t>
      </w:r>
      <w:r w:rsidR="00D136BB">
        <w:rPr>
          <w:lang w:val="es-ES"/>
        </w:rPr>
        <w:t xml:space="preserve"> </w:t>
      </w:r>
      <w:r w:rsidRPr="004002AE">
        <w:rPr>
          <w:lang w:val="es-ES"/>
        </w:rPr>
        <w:t>Limitaciones</w:t>
      </w:r>
      <w:r w:rsidR="00D136BB">
        <w:rPr>
          <w:lang w:val="es-ES"/>
        </w:rPr>
        <w:t xml:space="preserve"> </w:t>
      </w:r>
      <w:r w:rsidRPr="004002AE">
        <w:rPr>
          <w:lang w:val="es-ES"/>
        </w:rPr>
        <w:t>de</w:t>
      </w:r>
      <w:r w:rsidR="00D136BB">
        <w:rPr>
          <w:lang w:val="es-ES"/>
        </w:rPr>
        <w:t xml:space="preserve"> </w:t>
      </w:r>
      <w:r w:rsidRPr="004002AE">
        <w:rPr>
          <w:lang w:val="es-ES"/>
        </w:rPr>
        <w:t>algunos</w:t>
      </w:r>
      <w:r w:rsidR="00D136BB">
        <w:rPr>
          <w:lang w:val="es-ES"/>
        </w:rPr>
        <w:t xml:space="preserve"> </w:t>
      </w:r>
      <w:r w:rsidRPr="004002AE">
        <w:rPr>
          <w:lang w:val="es-ES"/>
        </w:rPr>
        <w:t>reguladores</w:t>
      </w:r>
      <w:r w:rsidR="00D136BB">
        <w:rPr>
          <w:lang w:val="es-ES"/>
        </w:rPr>
        <w:t xml:space="preserve"> </w:t>
      </w:r>
      <w:r w:rsidRPr="004002AE">
        <w:rPr>
          <w:lang w:val="es-ES"/>
        </w:rPr>
        <w:t>en</w:t>
      </w:r>
      <w:r w:rsidR="00D136BB">
        <w:rPr>
          <w:lang w:val="es-ES"/>
        </w:rPr>
        <w:t xml:space="preserve"> </w:t>
      </w:r>
      <w:r w:rsidRPr="004002AE">
        <w:rPr>
          <w:lang w:val="es-ES"/>
        </w:rPr>
        <w:t>el</w:t>
      </w:r>
      <w:r w:rsidR="00D136BB">
        <w:rPr>
          <w:lang w:val="es-ES"/>
        </w:rPr>
        <w:t xml:space="preserve"> </w:t>
      </w:r>
      <w:r w:rsidRPr="004002AE">
        <w:rPr>
          <w:lang w:val="es-ES"/>
        </w:rPr>
        <w:t>control</w:t>
      </w:r>
      <w:r w:rsidR="00D136BB">
        <w:rPr>
          <w:lang w:val="es-ES"/>
        </w:rPr>
        <w:t xml:space="preserve"> </w:t>
      </w:r>
      <w:r w:rsidRPr="004002AE">
        <w:rPr>
          <w:lang w:val="es-ES"/>
        </w:rPr>
        <w:t>de</w:t>
      </w:r>
      <w:r w:rsidR="00D136BB">
        <w:rPr>
          <w:lang w:val="es-ES"/>
        </w:rPr>
        <w:t xml:space="preserve"> </w:t>
      </w:r>
      <w:r w:rsidRPr="004002AE">
        <w:rPr>
          <w:lang w:val="es-ES"/>
        </w:rPr>
        <w:t>instalaciones</w:t>
      </w:r>
      <w:r w:rsidR="00D136BB">
        <w:rPr>
          <w:lang w:val="es-ES"/>
        </w:rPr>
        <w:t xml:space="preserve"> </w:t>
      </w:r>
      <w:r w:rsidRPr="004002AE">
        <w:rPr>
          <w:lang w:val="es-ES"/>
        </w:rPr>
        <w:t>y</w:t>
      </w:r>
      <w:r w:rsidR="00D136BB">
        <w:rPr>
          <w:lang w:val="es-ES"/>
        </w:rPr>
        <w:t xml:space="preserve"> </w:t>
      </w:r>
      <w:r w:rsidRPr="004002AE">
        <w:rPr>
          <w:lang w:val="es-ES"/>
        </w:rPr>
        <w:t>actividades</w:t>
      </w:r>
      <w:r w:rsidR="00D136BB">
        <w:rPr>
          <w:lang w:val="es-ES"/>
        </w:rPr>
        <w:t xml:space="preserve"> </w:t>
      </w:r>
      <w:r w:rsidRPr="004002AE">
        <w:rPr>
          <w:lang w:val="es-ES"/>
        </w:rPr>
        <w:t>(rayos</w:t>
      </w:r>
      <w:r w:rsidR="00D136BB">
        <w:rPr>
          <w:lang w:val="es-ES"/>
        </w:rPr>
        <w:t xml:space="preserve"> </w:t>
      </w:r>
      <w:r w:rsidRPr="004002AE">
        <w:rPr>
          <w:lang w:val="es-ES"/>
        </w:rPr>
        <w:t>X</w:t>
      </w:r>
      <w:r w:rsidR="00D136BB">
        <w:rPr>
          <w:lang w:val="es-ES"/>
        </w:rPr>
        <w:t xml:space="preserve"> </w:t>
      </w:r>
      <w:r w:rsidRPr="004002AE">
        <w:rPr>
          <w:lang w:val="es-ES"/>
        </w:rPr>
        <w:t>de</w:t>
      </w:r>
      <w:r w:rsidR="00D136BB">
        <w:rPr>
          <w:lang w:val="es-ES"/>
        </w:rPr>
        <w:t xml:space="preserve"> </w:t>
      </w:r>
      <w:r w:rsidRPr="004002AE">
        <w:rPr>
          <w:lang w:val="es-ES"/>
        </w:rPr>
        <w:t>uso</w:t>
      </w:r>
      <w:r w:rsidR="00D136BB">
        <w:rPr>
          <w:lang w:val="es-ES"/>
        </w:rPr>
        <w:t xml:space="preserve"> </w:t>
      </w:r>
      <w:r w:rsidRPr="004002AE">
        <w:rPr>
          <w:lang w:val="es-ES"/>
        </w:rPr>
        <w:t>médico,</w:t>
      </w:r>
      <w:r w:rsidR="00D136BB">
        <w:rPr>
          <w:lang w:val="es-ES"/>
        </w:rPr>
        <w:t xml:space="preserve"> </w:t>
      </w:r>
      <w:r w:rsidRPr="004002AE">
        <w:rPr>
          <w:lang w:val="es-ES"/>
        </w:rPr>
        <w:t>nuevas</w:t>
      </w:r>
      <w:r w:rsidR="00D136BB">
        <w:rPr>
          <w:lang w:val="es-ES"/>
        </w:rPr>
        <w:t xml:space="preserve"> </w:t>
      </w:r>
      <w:r w:rsidRPr="004002AE">
        <w:rPr>
          <w:lang w:val="es-ES"/>
        </w:rPr>
        <w:t>tecnologías,</w:t>
      </w:r>
      <w:r w:rsidR="00D136BB">
        <w:rPr>
          <w:lang w:val="es-ES"/>
        </w:rPr>
        <w:t xml:space="preserve"> </w:t>
      </w:r>
      <w:r w:rsidRPr="004002AE">
        <w:rPr>
          <w:lang w:val="es-ES"/>
        </w:rPr>
        <w:t>etc.)</w:t>
      </w:r>
      <w:r w:rsidR="00D136BB">
        <w:rPr>
          <w:lang w:val="es-ES"/>
        </w:rPr>
        <w:t xml:space="preserve"> </w:t>
      </w:r>
      <w:r w:rsidRPr="004002AE">
        <w:rPr>
          <w:lang w:val="es-ES"/>
        </w:rPr>
        <w:t>y</w:t>
      </w:r>
      <w:r w:rsidR="00D136BB">
        <w:rPr>
          <w:lang w:val="es-ES"/>
        </w:rPr>
        <w:t xml:space="preserve"> </w:t>
      </w:r>
      <w:r w:rsidRPr="004002AE">
        <w:rPr>
          <w:lang w:val="es-ES"/>
        </w:rPr>
        <w:t>de</w:t>
      </w:r>
      <w:r w:rsidR="00D136BB">
        <w:rPr>
          <w:lang w:val="es-ES"/>
        </w:rPr>
        <w:t xml:space="preserve"> </w:t>
      </w:r>
      <w:r w:rsidRPr="004002AE">
        <w:rPr>
          <w:lang w:val="es-ES"/>
        </w:rPr>
        <w:t>algunos</w:t>
      </w:r>
      <w:r w:rsidR="00D136BB">
        <w:rPr>
          <w:lang w:val="es-ES"/>
        </w:rPr>
        <w:t xml:space="preserve"> </w:t>
      </w:r>
      <w:r w:rsidRPr="004002AE">
        <w:rPr>
          <w:lang w:val="es-ES"/>
        </w:rPr>
        <w:t>gobiernos</w:t>
      </w:r>
      <w:r w:rsidR="00D136BB">
        <w:rPr>
          <w:lang w:val="es-ES"/>
        </w:rPr>
        <w:t xml:space="preserve"> </w:t>
      </w:r>
      <w:r w:rsidRPr="004002AE">
        <w:rPr>
          <w:lang w:val="es-ES"/>
        </w:rPr>
        <w:t>para</w:t>
      </w:r>
      <w:r w:rsidR="00D136BB">
        <w:rPr>
          <w:lang w:val="es-ES"/>
        </w:rPr>
        <w:t xml:space="preserve"> </w:t>
      </w:r>
      <w:r w:rsidRPr="004002AE">
        <w:rPr>
          <w:lang w:val="es-ES"/>
        </w:rPr>
        <w:t>establecer</w:t>
      </w:r>
      <w:r w:rsidR="00D136BB">
        <w:rPr>
          <w:lang w:val="es-ES"/>
        </w:rPr>
        <w:t xml:space="preserve"> </w:t>
      </w:r>
      <w:r w:rsidRPr="004002AE">
        <w:rPr>
          <w:lang w:val="es-ES"/>
        </w:rPr>
        <w:t>y</w:t>
      </w:r>
      <w:r w:rsidR="00D136BB">
        <w:rPr>
          <w:lang w:val="es-ES"/>
        </w:rPr>
        <w:t xml:space="preserve"> </w:t>
      </w:r>
      <w:r w:rsidRPr="004002AE">
        <w:rPr>
          <w:lang w:val="es-ES"/>
        </w:rPr>
        <w:t>mantener</w:t>
      </w:r>
      <w:r w:rsidR="00D136BB">
        <w:rPr>
          <w:lang w:val="es-ES"/>
        </w:rPr>
        <w:t xml:space="preserve"> </w:t>
      </w:r>
      <w:r w:rsidRPr="004002AE">
        <w:rPr>
          <w:lang w:val="es-ES"/>
        </w:rPr>
        <w:t>un</w:t>
      </w:r>
      <w:r w:rsidR="00D136BB">
        <w:rPr>
          <w:lang w:val="es-ES"/>
        </w:rPr>
        <w:t xml:space="preserve"> </w:t>
      </w:r>
      <w:r w:rsidRPr="004002AE">
        <w:rPr>
          <w:lang w:val="es-ES"/>
        </w:rPr>
        <w:t>apropiado</w:t>
      </w:r>
      <w:r w:rsidR="00D136BB">
        <w:rPr>
          <w:lang w:val="es-ES"/>
        </w:rPr>
        <w:t xml:space="preserve"> </w:t>
      </w:r>
      <w:r w:rsidRPr="004002AE">
        <w:rPr>
          <w:lang w:val="es-ES"/>
        </w:rPr>
        <w:t>marco</w:t>
      </w:r>
      <w:r w:rsidR="00D136BB">
        <w:rPr>
          <w:lang w:val="es-ES"/>
        </w:rPr>
        <w:t xml:space="preserve"> </w:t>
      </w:r>
      <w:r w:rsidRPr="004002AE">
        <w:rPr>
          <w:lang w:val="es-ES"/>
        </w:rPr>
        <w:t>gubernamental,</w:t>
      </w:r>
      <w:r w:rsidR="00D136BB">
        <w:rPr>
          <w:lang w:val="es-ES"/>
        </w:rPr>
        <w:t xml:space="preserve"> </w:t>
      </w:r>
      <w:r w:rsidRPr="004002AE">
        <w:rPr>
          <w:lang w:val="es-ES"/>
        </w:rPr>
        <w:t>jurídico</w:t>
      </w:r>
      <w:r w:rsidR="00D136BB">
        <w:rPr>
          <w:lang w:val="es-ES"/>
        </w:rPr>
        <w:t xml:space="preserve"> </w:t>
      </w:r>
      <w:r w:rsidRPr="004002AE">
        <w:rPr>
          <w:lang w:val="es-ES"/>
        </w:rPr>
        <w:t>y</w:t>
      </w:r>
      <w:r w:rsidR="00D136BB">
        <w:rPr>
          <w:lang w:val="es-ES"/>
        </w:rPr>
        <w:t xml:space="preserve"> </w:t>
      </w:r>
      <w:r w:rsidRPr="004002AE">
        <w:rPr>
          <w:lang w:val="es-ES"/>
        </w:rPr>
        <w:t>regulador</w:t>
      </w:r>
      <w:r w:rsidR="00D136BB">
        <w:rPr>
          <w:lang w:val="es-ES"/>
        </w:rPr>
        <w:t xml:space="preserve"> </w:t>
      </w:r>
      <w:r w:rsidRPr="004002AE">
        <w:rPr>
          <w:lang w:val="es-ES"/>
        </w:rPr>
        <w:t>para</w:t>
      </w:r>
      <w:r w:rsidR="00D136BB">
        <w:rPr>
          <w:lang w:val="es-ES"/>
        </w:rPr>
        <w:t xml:space="preserve"> </w:t>
      </w:r>
      <w:r w:rsidRPr="004002AE">
        <w:rPr>
          <w:lang w:val="es-ES"/>
        </w:rPr>
        <w:t>la</w:t>
      </w:r>
      <w:r w:rsidR="00D136BB">
        <w:rPr>
          <w:lang w:val="es-ES"/>
        </w:rPr>
        <w:t xml:space="preserve"> </w:t>
      </w:r>
      <w:r w:rsidRPr="004002AE">
        <w:rPr>
          <w:lang w:val="es-ES"/>
        </w:rPr>
        <w:t>seguridad.</w:t>
      </w:r>
    </w:p>
    <w:p w14:paraId="14415AF4" w14:textId="5102ED4A" w:rsidR="004002AE" w:rsidRDefault="004002AE" w:rsidP="00BE3BCB">
      <w:pPr>
        <w:pStyle w:val="BodyText"/>
        <w:numPr>
          <w:ilvl w:val="0"/>
          <w:numId w:val="59"/>
        </w:numPr>
        <w:rPr>
          <w:lang w:val="es-ES"/>
        </w:rPr>
      </w:pPr>
      <w:r w:rsidRPr="004002AE">
        <w:rPr>
          <w:lang w:val="es-ES"/>
        </w:rPr>
        <w:lastRenderedPageBreak/>
        <w:t>R2</w:t>
      </w:r>
      <w:r w:rsidR="00D136BB">
        <w:rPr>
          <w:lang w:val="es-ES"/>
        </w:rPr>
        <w:t xml:space="preserve"> </w:t>
      </w:r>
      <w:r w:rsidRPr="004002AE">
        <w:rPr>
          <w:lang w:val="es-ES"/>
        </w:rPr>
        <w:t>Insuficiente</w:t>
      </w:r>
      <w:r w:rsidR="00D136BB">
        <w:rPr>
          <w:lang w:val="es-ES"/>
        </w:rPr>
        <w:t xml:space="preserve"> </w:t>
      </w:r>
      <w:r w:rsidRPr="004002AE">
        <w:rPr>
          <w:lang w:val="es-ES"/>
        </w:rPr>
        <w:t>implementación</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requisitos</w:t>
      </w:r>
      <w:r w:rsidR="00D136BB">
        <w:rPr>
          <w:lang w:val="es-ES"/>
        </w:rPr>
        <w:t xml:space="preserve"> </w:t>
      </w:r>
      <w:r w:rsidRPr="004002AE">
        <w:rPr>
          <w:lang w:val="es-ES"/>
        </w:rPr>
        <w:t>y</w:t>
      </w:r>
      <w:r w:rsidR="00D136BB">
        <w:rPr>
          <w:lang w:val="es-ES"/>
        </w:rPr>
        <w:t xml:space="preserve"> </w:t>
      </w:r>
      <w:r w:rsidRPr="004002AE">
        <w:rPr>
          <w:lang w:val="es-ES"/>
        </w:rPr>
        <w:t>recomendaciones</w:t>
      </w:r>
      <w:r w:rsidR="00D136BB">
        <w:rPr>
          <w:lang w:val="es-ES"/>
        </w:rPr>
        <w:t xml:space="preserve"> </w:t>
      </w:r>
      <w:r w:rsidRPr="004002AE">
        <w:rPr>
          <w:lang w:val="es-ES"/>
        </w:rPr>
        <w:t>internacionales</w:t>
      </w:r>
      <w:r w:rsidR="00D136BB">
        <w:rPr>
          <w:lang w:val="es-ES"/>
        </w:rPr>
        <w:t xml:space="preserve"> </w:t>
      </w:r>
      <w:r w:rsidRPr="004002AE">
        <w:rPr>
          <w:lang w:val="es-ES"/>
        </w:rPr>
        <w:t>de</w:t>
      </w:r>
      <w:r w:rsidR="00D136BB">
        <w:rPr>
          <w:lang w:val="es-ES"/>
        </w:rPr>
        <w:t xml:space="preserve"> </w:t>
      </w:r>
      <w:r w:rsidRPr="004002AE">
        <w:rPr>
          <w:lang w:val="es-ES"/>
        </w:rPr>
        <w:t>seguridad</w:t>
      </w:r>
      <w:r w:rsidR="00D136BB">
        <w:rPr>
          <w:lang w:val="es-ES"/>
        </w:rPr>
        <w:t xml:space="preserve"> </w:t>
      </w:r>
      <w:r w:rsidRPr="004002AE">
        <w:rPr>
          <w:lang w:val="es-ES"/>
        </w:rPr>
        <w:t>para</w:t>
      </w:r>
      <w:r w:rsidR="00D136BB">
        <w:rPr>
          <w:lang w:val="es-ES"/>
        </w:rPr>
        <w:t xml:space="preserve"> </w:t>
      </w:r>
      <w:r w:rsidRPr="004002AE">
        <w:rPr>
          <w:lang w:val="es-ES"/>
        </w:rPr>
        <w:t>el</w:t>
      </w:r>
      <w:r w:rsidR="00D136BB">
        <w:rPr>
          <w:lang w:val="es-ES"/>
        </w:rPr>
        <w:t xml:space="preserve"> </w:t>
      </w:r>
      <w:r w:rsidRPr="004002AE">
        <w:rPr>
          <w:lang w:val="es-ES"/>
        </w:rPr>
        <w:t>control</w:t>
      </w:r>
      <w:r w:rsidR="00D136BB">
        <w:rPr>
          <w:lang w:val="es-ES"/>
        </w:rPr>
        <w:t xml:space="preserve"> </w:t>
      </w:r>
      <w:r w:rsidRPr="004002AE">
        <w:rPr>
          <w:lang w:val="es-ES"/>
        </w:rPr>
        <w:t>de</w:t>
      </w:r>
      <w:r w:rsidR="00D136BB">
        <w:rPr>
          <w:lang w:val="es-ES"/>
        </w:rPr>
        <w:t xml:space="preserve"> </w:t>
      </w:r>
      <w:r w:rsidRPr="004002AE">
        <w:rPr>
          <w:lang w:val="es-ES"/>
        </w:rPr>
        <w:t>la</w:t>
      </w:r>
      <w:r w:rsidR="00D136BB">
        <w:rPr>
          <w:lang w:val="es-ES"/>
        </w:rPr>
        <w:t xml:space="preserve"> </w:t>
      </w:r>
      <w:r w:rsidRPr="004002AE">
        <w:rPr>
          <w:lang w:val="es-ES"/>
        </w:rPr>
        <w:t>exposición</w:t>
      </w:r>
      <w:r w:rsidR="00D136BB">
        <w:rPr>
          <w:lang w:val="es-ES"/>
        </w:rPr>
        <w:t xml:space="preserve"> </w:t>
      </w:r>
      <w:r w:rsidRPr="004002AE">
        <w:rPr>
          <w:lang w:val="es-ES"/>
        </w:rPr>
        <w:t>ocupacional,</w:t>
      </w:r>
      <w:r w:rsidR="00D136BB">
        <w:rPr>
          <w:lang w:val="es-ES"/>
        </w:rPr>
        <w:t xml:space="preserve"> </w:t>
      </w:r>
      <w:r w:rsidRPr="004002AE">
        <w:rPr>
          <w:lang w:val="es-ES"/>
        </w:rPr>
        <w:t>con</w:t>
      </w:r>
      <w:r w:rsidR="00D136BB">
        <w:rPr>
          <w:lang w:val="es-ES"/>
        </w:rPr>
        <w:t xml:space="preserve"> </w:t>
      </w:r>
      <w:r w:rsidRPr="004002AE">
        <w:rPr>
          <w:lang w:val="es-ES"/>
        </w:rPr>
        <w:t>énfasis</w:t>
      </w:r>
      <w:r w:rsidR="00D136BB">
        <w:rPr>
          <w:lang w:val="es-ES"/>
        </w:rPr>
        <w:t xml:space="preserve"> </w:t>
      </w:r>
      <w:r w:rsidRPr="004002AE">
        <w:rPr>
          <w:lang w:val="es-ES"/>
        </w:rPr>
        <w:t>en</w:t>
      </w:r>
      <w:r w:rsidR="00D136BB">
        <w:rPr>
          <w:lang w:val="es-ES"/>
        </w:rPr>
        <w:t xml:space="preserve"> </w:t>
      </w:r>
      <w:r w:rsidRPr="004002AE">
        <w:rPr>
          <w:lang w:val="es-ES"/>
        </w:rPr>
        <w:t>dosimetría</w:t>
      </w:r>
      <w:r w:rsidR="00D136BB">
        <w:rPr>
          <w:lang w:val="es-ES"/>
        </w:rPr>
        <w:t xml:space="preserve"> </w:t>
      </w:r>
      <w:r w:rsidRPr="004002AE">
        <w:rPr>
          <w:lang w:val="es-ES"/>
        </w:rPr>
        <w:t>de</w:t>
      </w:r>
      <w:r w:rsidR="00D136BB">
        <w:rPr>
          <w:lang w:val="es-ES"/>
        </w:rPr>
        <w:t xml:space="preserve"> </w:t>
      </w:r>
      <w:r w:rsidRPr="004002AE">
        <w:rPr>
          <w:lang w:val="es-ES"/>
        </w:rPr>
        <w:t>extremidades</w:t>
      </w:r>
      <w:r w:rsidR="00D136BB">
        <w:rPr>
          <w:lang w:val="es-ES"/>
        </w:rPr>
        <w:t xml:space="preserve"> </w:t>
      </w:r>
      <w:r w:rsidRPr="004002AE">
        <w:rPr>
          <w:lang w:val="es-ES"/>
        </w:rPr>
        <w:t>y</w:t>
      </w:r>
      <w:r w:rsidR="00D136BB">
        <w:rPr>
          <w:lang w:val="es-ES"/>
        </w:rPr>
        <w:t xml:space="preserve"> </w:t>
      </w:r>
      <w:r w:rsidRPr="004002AE">
        <w:rPr>
          <w:lang w:val="es-ES"/>
        </w:rPr>
        <w:t>cristalino,</w:t>
      </w:r>
      <w:r w:rsidR="00D136BB">
        <w:rPr>
          <w:lang w:val="es-ES"/>
        </w:rPr>
        <w:t xml:space="preserve"> </w:t>
      </w:r>
      <w:r w:rsidRPr="004002AE">
        <w:rPr>
          <w:lang w:val="es-ES"/>
        </w:rPr>
        <w:t>dosimetría</w:t>
      </w:r>
      <w:r w:rsidR="00D136BB">
        <w:rPr>
          <w:lang w:val="es-ES"/>
        </w:rPr>
        <w:t xml:space="preserve"> </w:t>
      </w:r>
      <w:r w:rsidRPr="004002AE">
        <w:rPr>
          <w:lang w:val="es-ES"/>
        </w:rPr>
        <w:t>interna,</w:t>
      </w:r>
      <w:r w:rsidR="00D136BB">
        <w:rPr>
          <w:lang w:val="es-ES"/>
        </w:rPr>
        <w:t xml:space="preserve"> </w:t>
      </w:r>
      <w:r w:rsidRPr="004002AE">
        <w:rPr>
          <w:lang w:val="es-ES"/>
        </w:rPr>
        <w:t>monitorización</w:t>
      </w:r>
      <w:r w:rsidR="00D136BB">
        <w:rPr>
          <w:lang w:val="es-ES"/>
        </w:rPr>
        <w:t xml:space="preserve"> </w:t>
      </w:r>
      <w:r w:rsidRPr="004002AE">
        <w:rPr>
          <w:lang w:val="es-ES"/>
        </w:rPr>
        <w:t>de</w:t>
      </w:r>
      <w:r w:rsidR="00D136BB">
        <w:rPr>
          <w:lang w:val="es-ES"/>
        </w:rPr>
        <w:t xml:space="preserve"> </w:t>
      </w:r>
      <w:r w:rsidRPr="004002AE">
        <w:rPr>
          <w:lang w:val="es-ES"/>
        </w:rPr>
        <w:t>puestos</w:t>
      </w:r>
      <w:r w:rsidR="00D136BB">
        <w:rPr>
          <w:lang w:val="es-ES"/>
        </w:rPr>
        <w:t xml:space="preserve"> </w:t>
      </w:r>
      <w:r w:rsidRPr="004002AE">
        <w:rPr>
          <w:lang w:val="es-ES"/>
        </w:rPr>
        <w:t>de</w:t>
      </w:r>
      <w:r w:rsidR="00D136BB">
        <w:rPr>
          <w:lang w:val="es-ES"/>
        </w:rPr>
        <w:t xml:space="preserve"> </w:t>
      </w:r>
      <w:r w:rsidRPr="004002AE">
        <w:rPr>
          <w:lang w:val="es-ES"/>
        </w:rPr>
        <w:t>trabajo,</w:t>
      </w:r>
      <w:r w:rsidR="00D136BB">
        <w:rPr>
          <w:lang w:val="es-ES"/>
        </w:rPr>
        <w:t xml:space="preserve"> </w:t>
      </w:r>
      <w:r w:rsidRPr="004002AE">
        <w:rPr>
          <w:lang w:val="es-ES"/>
        </w:rPr>
        <w:t>sistemas</w:t>
      </w:r>
      <w:r w:rsidR="00D136BB">
        <w:rPr>
          <w:lang w:val="es-ES"/>
        </w:rPr>
        <w:t xml:space="preserve"> </w:t>
      </w:r>
      <w:r w:rsidRPr="004002AE">
        <w:rPr>
          <w:lang w:val="es-ES"/>
        </w:rPr>
        <w:t>de</w:t>
      </w:r>
      <w:r w:rsidR="00D136BB">
        <w:rPr>
          <w:lang w:val="es-ES"/>
        </w:rPr>
        <w:t xml:space="preserve"> </w:t>
      </w:r>
      <w:r w:rsidRPr="004002AE">
        <w:rPr>
          <w:lang w:val="es-ES"/>
        </w:rPr>
        <w:t>calidad</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laboratorios</w:t>
      </w:r>
      <w:r w:rsidR="00D136BB">
        <w:rPr>
          <w:lang w:val="es-ES"/>
        </w:rPr>
        <w:t xml:space="preserve"> </w:t>
      </w:r>
      <w:r w:rsidRPr="004002AE">
        <w:rPr>
          <w:lang w:val="es-ES"/>
        </w:rPr>
        <w:t>y</w:t>
      </w:r>
      <w:r w:rsidR="00D136BB">
        <w:rPr>
          <w:lang w:val="es-ES"/>
        </w:rPr>
        <w:t xml:space="preserve"> </w:t>
      </w:r>
      <w:r w:rsidRPr="004002AE">
        <w:rPr>
          <w:lang w:val="es-ES"/>
        </w:rPr>
        <w:t>registros</w:t>
      </w:r>
      <w:r w:rsidR="00D136BB">
        <w:rPr>
          <w:lang w:val="es-ES"/>
        </w:rPr>
        <w:t xml:space="preserve"> </w:t>
      </w:r>
      <w:r w:rsidRPr="004002AE">
        <w:rPr>
          <w:lang w:val="es-ES"/>
        </w:rPr>
        <w:t>nacionales</w:t>
      </w:r>
      <w:r w:rsidR="00D136BB">
        <w:rPr>
          <w:lang w:val="es-ES"/>
        </w:rPr>
        <w:t xml:space="preserve"> </w:t>
      </w:r>
      <w:r w:rsidRPr="004002AE">
        <w:rPr>
          <w:lang w:val="es-ES"/>
        </w:rPr>
        <w:t>de</w:t>
      </w:r>
      <w:r w:rsidR="00D136BB">
        <w:rPr>
          <w:lang w:val="es-ES"/>
        </w:rPr>
        <w:t xml:space="preserve"> </w:t>
      </w:r>
      <w:r w:rsidRPr="004002AE">
        <w:rPr>
          <w:lang w:val="es-ES"/>
        </w:rPr>
        <w:t>dosis.</w:t>
      </w:r>
    </w:p>
    <w:p w14:paraId="390F5DDE" w14:textId="6CC68DBE" w:rsidR="004002AE" w:rsidRDefault="004002AE" w:rsidP="00BE3BCB">
      <w:pPr>
        <w:pStyle w:val="BodyText"/>
        <w:numPr>
          <w:ilvl w:val="0"/>
          <w:numId w:val="59"/>
        </w:numPr>
        <w:rPr>
          <w:lang w:val="es-ES"/>
        </w:rPr>
      </w:pPr>
      <w:r w:rsidRPr="004002AE">
        <w:rPr>
          <w:lang w:val="es-ES"/>
        </w:rPr>
        <w:t>R3.</w:t>
      </w:r>
      <w:r w:rsidR="00D136BB">
        <w:rPr>
          <w:lang w:val="es-ES"/>
        </w:rPr>
        <w:t xml:space="preserve"> </w:t>
      </w:r>
      <w:r w:rsidRPr="004002AE">
        <w:rPr>
          <w:lang w:val="es-ES"/>
        </w:rPr>
        <w:t>Limitaciones</w:t>
      </w:r>
      <w:r w:rsidR="00D136BB">
        <w:rPr>
          <w:lang w:val="es-ES"/>
        </w:rPr>
        <w:t xml:space="preserve"> </w:t>
      </w:r>
      <w:r w:rsidRPr="004002AE">
        <w:rPr>
          <w:lang w:val="es-ES"/>
        </w:rPr>
        <w:t>en</w:t>
      </w:r>
      <w:r w:rsidR="00D136BB">
        <w:rPr>
          <w:lang w:val="es-ES"/>
        </w:rPr>
        <w:t xml:space="preserve"> </w:t>
      </w:r>
      <w:r w:rsidRPr="004002AE">
        <w:rPr>
          <w:lang w:val="es-ES"/>
        </w:rPr>
        <w:t>las</w:t>
      </w:r>
      <w:r w:rsidR="00D136BB">
        <w:rPr>
          <w:lang w:val="es-ES"/>
        </w:rPr>
        <w:t xml:space="preserve"> </w:t>
      </w:r>
      <w:r w:rsidRPr="004002AE">
        <w:rPr>
          <w:lang w:val="es-ES"/>
        </w:rPr>
        <w:t>capacidades</w:t>
      </w:r>
      <w:r w:rsidR="00D136BB">
        <w:rPr>
          <w:lang w:val="es-ES"/>
        </w:rPr>
        <w:t xml:space="preserve"> </w:t>
      </w:r>
      <w:r w:rsidRPr="004002AE">
        <w:rPr>
          <w:lang w:val="es-ES"/>
        </w:rPr>
        <w:t>de</w:t>
      </w:r>
      <w:r w:rsidR="00D136BB">
        <w:rPr>
          <w:lang w:val="es-ES"/>
        </w:rPr>
        <w:t xml:space="preserve"> </w:t>
      </w:r>
      <w:r w:rsidRPr="004002AE">
        <w:rPr>
          <w:lang w:val="es-ES"/>
        </w:rPr>
        <w:t>calibración</w:t>
      </w:r>
      <w:r w:rsidR="00D136BB">
        <w:rPr>
          <w:lang w:val="es-ES"/>
        </w:rPr>
        <w:t xml:space="preserve"> </w:t>
      </w:r>
      <w:r w:rsidRPr="004002AE">
        <w:rPr>
          <w:lang w:val="es-ES"/>
        </w:rPr>
        <w:t>en</w:t>
      </w:r>
      <w:r w:rsidR="00D136BB">
        <w:rPr>
          <w:lang w:val="es-ES"/>
        </w:rPr>
        <w:t xml:space="preserve"> </w:t>
      </w:r>
      <w:r w:rsidRPr="004002AE">
        <w:rPr>
          <w:lang w:val="es-ES"/>
        </w:rPr>
        <w:t>protección</w:t>
      </w:r>
      <w:r w:rsidR="00D136BB">
        <w:rPr>
          <w:lang w:val="es-ES"/>
        </w:rPr>
        <w:t xml:space="preserve"> </w:t>
      </w:r>
      <w:r w:rsidRPr="004002AE">
        <w:rPr>
          <w:lang w:val="es-ES"/>
        </w:rPr>
        <w:t>radiológica,</w:t>
      </w:r>
      <w:r w:rsidR="00D136BB">
        <w:rPr>
          <w:lang w:val="es-ES"/>
        </w:rPr>
        <w:t xml:space="preserve"> </w:t>
      </w:r>
      <w:r w:rsidRPr="004002AE">
        <w:rPr>
          <w:lang w:val="es-ES"/>
        </w:rPr>
        <w:t>radiodiagnóstico</w:t>
      </w:r>
      <w:r w:rsidR="00D136BB">
        <w:rPr>
          <w:lang w:val="es-ES"/>
        </w:rPr>
        <w:t xml:space="preserve"> </w:t>
      </w:r>
      <w:r w:rsidRPr="004002AE">
        <w:rPr>
          <w:lang w:val="es-ES"/>
        </w:rPr>
        <w:t>y</w:t>
      </w:r>
      <w:r w:rsidR="00D136BB">
        <w:rPr>
          <w:lang w:val="es-ES"/>
        </w:rPr>
        <w:t xml:space="preserve"> </w:t>
      </w:r>
      <w:r w:rsidRPr="004002AE">
        <w:rPr>
          <w:lang w:val="es-ES"/>
        </w:rPr>
        <w:t>radioterapia,</w:t>
      </w:r>
      <w:r w:rsidR="00D136BB">
        <w:rPr>
          <w:lang w:val="es-ES"/>
        </w:rPr>
        <w:t xml:space="preserve"> </w:t>
      </w:r>
      <w:r w:rsidRPr="004002AE">
        <w:rPr>
          <w:lang w:val="es-ES"/>
        </w:rPr>
        <w:t>por</w:t>
      </w:r>
      <w:r w:rsidR="00D136BB">
        <w:rPr>
          <w:lang w:val="es-ES"/>
        </w:rPr>
        <w:t xml:space="preserve"> </w:t>
      </w:r>
      <w:r w:rsidRPr="004002AE">
        <w:rPr>
          <w:lang w:val="es-ES"/>
        </w:rPr>
        <w:t>parte</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Laboratorios</w:t>
      </w:r>
      <w:r w:rsidR="00D136BB">
        <w:rPr>
          <w:lang w:val="es-ES"/>
        </w:rPr>
        <w:t xml:space="preserve"> </w:t>
      </w:r>
      <w:r w:rsidRPr="004002AE">
        <w:rPr>
          <w:lang w:val="es-ES"/>
        </w:rPr>
        <w:t>de</w:t>
      </w:r>
      <w:r w:rsidR="00D136BB">
        <w:rPr>
          <w:lang w:val="es-ES"/>
        </w:rPr>
        <w:t xml:space="preserve"> </w:t>
      </w:r>
      <w:r w:rsidRPr="004002AE">
        <w:rPr>
          <w:lang w:val="es-ES"/>
        </w:rPr>
        <w:t>Calibración</w:t>
      </w:r>
      <w:r w:rsidR="00D136BB">
        <w:rPr>
          <w:lang w:val="es-ES"/>
        </w:rPr>
        <w:t xml:space="preserve"> </w:t>
      </w:r>
      <w:r w:rsidRPr="004002AE">
        <w:rPr>
          <w:lang w:val="es-ES"/>
        </w:rPr>
        <w:t>Dosimétrica</w:t>
      </w:r>
      <w:r w:rsidR="00D136BB">
        <w:rPr>
          <w:lang w:val="es-ES"/>
        </w:rPr>
        <w:t xml:space="preserve"> </w:t>
      </w:r>
      <w:r w:rsidRPr="004002AE">
        <w:rPr>
          <w:lang w:val="es-ES"/>
        </w:rPr>
        <w:t>de</w:t>
      </w:r>
      <w:r w:rsidR="00D136BB">
        <w:rPr>
          <w:lang w:val="es-ES"/>
        </w:rPr>
        <w:t xml:space="preserve"> </w:t>
      </w:r>
      <w:r w:rsidRPr="004002AE">
        <w:rPr>
          <w:lang w:val="es-ES"/>
        </w:rPr>
        <w:t>la</w:t>
      </w:r>
      <w:r w:rsidR="00D136BB">
        <w:rPr>
          <w:lang w:val="es-ES"/>
        </w:rPr>
        <w:t xml:space="preserve"> </w:t>
      </w:r>
      <w:r w:rsidRPr="004002AE">
        <w:rPr>
          <w:lang w:val="es-ES"/>
        </w:rPr>
        <w:t>región.</w:t>
      </w:r>
    </w:p>
    <w:p w14:paraId="7A00B8E3" w14:textId="74656890" w:rsidR="004002AE" w:rsidRDefault="004002AE" w:rsidP="00BE3BCB">
      <w:pPr>
        <w:pStyle w:val="BodyText"/>
        <w:numPr>
          <w:ilvl w:val="0"/>
          <w:numId w:val="59"/>
        </w:numPr>
        <w:rPr>
          <w:lang w:val="es-ES"/>
        </w:rPr>
      </w:pPr>
      <w:r w:rsidRPr="004002AE">
        <w:rPr>
          <w:lang w:val="es-ES"/>
        </w:rPr>
        <w:t>R4.</w:t>
      </w:r>
      <w:r w:rsidR="00D136BB">
        <w:rPr>
          <w:lang w:val="es-ES"/>
        </w:rPr>
        <w:t xml:space="preserve"> </w:t>
      </w:r>
      <w:r w:rsidRPr="004002AE">
        <w:rPr>
          <w:lang w:val="es-ES"/>
        </w:rPr>
        <w:t>Insuficiente</w:t>
      </w:r>
      <w:r w:rsidR="00D136BB">
        <w:rPr>
          <w:lang w:val="es-ES"/>
        </w:rPr>
        <w:t xml:space="preserve"> </w:t>
      </w:r>
      <w:r w:rsidRPr="004002AE">
        <w:rPr>
          <w:lang w:val="es-ES"/>
        </w:rPr>
        <w:t>implementación</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requisitos</w:t>
      </w:r>
      <w:r w:rsidR="00D136BB">
        <w:rPr>
          <w:lang w:val="es-ES"/>
        </w:rPr>
        <w:t xml:space="preserve"> </w:t>
      </w:r>
      <w:r w:rsidRPr="004002AE">
        <w:rPr>
          <w:lang w:val="es-ES"/>
        </w:rPr>
        <w:t>y</w:t>
      </w:r>
      <w:r w:rsidR="00D136BB">
        <w:rPr>
          <w:lang w:val="es-ES"/>
        </w:rPr>
        <w:t xml:space="preserve"> </w:t>
      </w:r>
      <w:r w:rsidRPr="004002AE">
        <w:rPr>
          <w:lang w:val="es-ES"/>
        </w:rPr>
        <w:t>recomendaciones</w:t>
      </w:r>
      <w:r w:rsidR="00D136BB">
        <w:rPr>
          <w:lang w:val="es-ES"/>
        </w:rPr>
        <w:t xml:space="preserve"> </w:t>
      </w:r>
      <w:r w:rsidRPr="004002AE">
        <w:rPr>
          <w:lang w:val="es-ES"/>
        </w:rPr>
        <w:t>internacionales</w:t>
      </w:r>
      <w:r w:rsidR="00D136BB">
        <w:rPr>
          <w:lang w:val="es-ES"/>
        </w:rPr>
        <w:t xml:space="preserve"> </w:t>
      </w:r>
      <w:r w:rsidRPr="004002AE">
        <w:rPr>
          <w:lang w:val="es-ES"/>
        </w:rPr>
        <w:t>de</w:t>
      </w:r>
      <w:r w:rsidR="00D136BB">
        <w:rPr>
          <w:lang w:val="es-ES"/>
        </w:rPr>
        <w:t xml:space="preserve"> </w:t>
      </w:r>
      <w:r w:rsidRPr="004002AE">
        <w:rPr>
          <w:lang w:val="es-ES"/>
        </w:rPr>
        <w:t>seguridad</w:t>
      </w:r>
      <w:r w:rsidR="00D136BB">
        <w:rPr>
          <w:lang w:val="es-ES"/>
        </w:rPr>
        <w:t xml:space="preserve"> </w:t>
      </w:r>
      <w:r w:rsidRPr="004002AE">
        <w:rPr>
          <w:lang w:val="es-ES"/>
        </w:rPr>
        <w:t>y</w:t>
      </w:r>
      <w:r w:rsidR="00D136BB">
        <w:rPr>
          <w:lang w:val="es-ES"/>
        </w:rPr>
        <w:t xml:space="preserve"> </w:t>
      </w:r>
      <w:r w:rsidRPr="004002AE">
        <w:rPr>
          <w:lang w:val="es-ES"/>
        </w:rPr>
        <w:t>de</w:t>
      </w:r>
      <w:r w:rsidR="00D136BB">
        <w:rPr>
          <w:lang w:val="es-ES"/>
        </w:rPr>
        <w:t xml:space="preserve"> </w:t>
      </w:r>
      <w:r w:rsidRPr="004002AE">
        <w:rPr>
          <w:lang w:val="es-ES"/>
        </w:rPr>
        <w:t>las</w:t>
      </w:r>
      <w:r w:rsidR="00D136BB">
        <w:rPr>
          <w:lang w:val="es-ES"/>
        </w:rPr>
        <w:t xml:space="preserve"> </w:t>
      </w:r>
      <w:r w:rsidRPr="004002AE">
        <w:rPr>
          <w:lang w:val="es-ES"/>
        </w:rPr>
        <w:t>10</w:t>
      </w:r>
      <w:r w:rsidR="00D136BB">
        <w:rPr>
          <w:lang w:val="es-ES"/>
        </w:rPr>
        <w:t xml:space="preserve"> </w:t>
      </w:r>
      <w:r w:rsidRPr="004002AE">
        <w:rPr>
          <w:lang w:val="es-ES"/>
        </w:rPr>
        <w:t>acciones</w:t>
      </w:r>
      <w:r w:rsidR="00D136BB">
        <w:rPr>
          <w:lang w:val="es-ES"/>
        </w:rPr>
        <w:t xml:space="preserve"> </w:t>
      </w:r>
      <w:r w:rsidRPr="004002AE">
        <w:rPr>
          <w:lang w:val="es-ES"/>
        </w:rPr>
        <w:t>de</w:t>
      </w:r>
      <w:r w:rsidR="00D136BB">
        <w:rPr>
          <w:lang w:val="es-ES"/>
        </w:rPr>
        <w:t xml:space="preserve"> </w:t>
      </w:r>
      <w:r w:rsidRPr="004002AE">
        <w:rPr>
          <w:lang w:val="es-ES"/>
        </w:rPr>
        <w:t>la</w:t>
      </w:r>
      <w:r w:rsidR="00D136BB">
        <w:rPr>
          <w:lang w:val="es-ES"/>
        </w:rPr>
        <w:t xml:space="preserve"> </w:t>
      </w:r>
      <w:r w:rsidRPr="004002AE">
        <w:rPr>
          <w:lang w:val="es-ES"/>
        </w:rPr>
        <w:t>Convocatoria</w:t>
      </w:r>
      <w:r w:rsidR="00D136BB">
        <w:rPr>
          <w:lang w:val="es-ES"/>
        </w:rPr>
        <w:t xml:space="preserve"> </w:t>
      </w:r>
      <w:r w:rsidRPr="004002AE">
        <w:rPr>
          <w:lang w:val="es-ES"/>
        </w:rPr>
        <w:t>de</w:t>
      </w:r>
      <w:r w:rsidR="00D136BB">
        <w:rPr>
          <w:lang w:val="es-ES"/>
        </w:rPr>
        <w:t xml:space="preserve"> </w:t>
      </w:r>
      <w:r w:rsidRPr="004002AE">
        <w:rPr>
          <w:lang w:val="es-ES"/>
        </w:rPr>
        <w:t>Bonn</w:t>
      </w:r>
      <w:r w:rsidR="00D136BB">
        <w:rPr>
          <w:lang w:val="es-ES"/>
        </w:rPr>
        <w:t xml:space="preserve"> </w:t>
      </w:r>
      <w:r w:rsidRPr="004002AE">
        <w:rPr>
          <w:lang w:val="es-ES"/>
        </w:rPr>
        <w:t>para</w:t>
      </w:r>
      <w:r w:rsidR="00D136BB">
        <w:rPr>
          <w:lang w:val="es-ES"/>
        </w:rPr>
        <w:t xml:space="preserve"> </w:t>
      </w:r>
      <w:r w:rsidRPr="004002AE">
        <w:rPr>
          <w:lang w:val="es-ES"/>
        </w:rPr>
        <w:t>el</w:t>
      </w:r>
      <w:r w:rsidR="00D136BB">
        <w:rPr>
          <w:lang w:val="es-ES"/>
        </w:rPr>
        <w:t xml:space="preserve"> </w:t>
      </w:r>
      <w:r w:rsidRPr="004002AE">
        <w:rPr>
          <w:lang w:val="es-ES"/>
        </w:rPr>
        <w:t>control</w:t>
      </w:r>
      <w:r w:rsidR="00D136BB">
        <w:rPr>
          <w:lang w:val="es-ES"/>
        </w:rPr>
        <w:t xml:space="preserve"> </w:t>
      </w:r>
      <w:r w:rsidRPr="004002AE">
        <w:rPr>
          <w:lang w:val="es-ES"/>
        </w:rPr>
        <w:t>de</w:t>
      </w:r>
      <w:r w:rsidR="00D136BB">
        <w:rPr>
          <w:lang w:val="es-ES"/>
        </w:rPr>
        <w:t xml:space="preserve"> </w:t>
      </w:r>
      <w:r w:rsidRPr="004002AE">
        <w:rPr>
          <w:lang w:val="es-ES"/>
        </w:rPr>
        <w:t>la</w:t>
      </w:r>
      <w:r w:rsidR="00D136BB">
        <w:rPr>
          <w:lang w:val="es-ES"/>
        </w:rPr>
        <w:t xml:space="preserve"> </w:t>
      </w:r>
      <w:r w:rsidRPr="004002AE">
        <w:rPr>
          <w:lang w:val="es-ES"/>
        </w:rPr>
        <w:t>exposición</w:t>
      </w:r>
      <w:r w:rsidR="00D136BB">
        <w:rPr>
          <w:lang w:val="es-ES"/>
        </w:rPr>
        <w:t xml:space="preserve"> </w:t>
      </w:r>
      <w:r w:rsidRPr="004002AE">
        <w:rPr>
          <w:lang w:val="es-ES"/>
        </w:rPr>
        <w:t>médica,</w:t>
      </w:r>
      <w:r w:rsidR="00D136BB">
        <w:rPr>
          <w:lang w:val="es-ES"/>
        </w:rPr>
        <w:t xml:space="preserve"> </w:t>
      </w:r>
      <w:r w:rsidRPr="004002AE">
        <w:rPr>
          <w:lang w:val="es-ES"/>
        </w:rPr>
        <w:t>con</w:t>
      </w:r>
      <w:r w:rsidR="00D136BB">
        <w:rPr>
          <w:lang w:val="es-ES"/>
        </w:rPr>
        <w:t xml:space="preserve"> </w:t>
      </w:r>
      <w:r w:rsidRPr="004002AE">
        <w:rPr>
          <w:lang w:val="es-ES"/>
        </w:rPr>
        <w:t>énfasis</w:t>
      </w:r>
      <w:r w:rsidR="00D136BB">
        <w:rPr>
          <w:lang w:val="es-ES"/>
        </w:rPr>
        <w:t xml:space="preserve"> </w:t>
      </w:r>
      <w:r w:rsidRPr="004002AE">
        <w:rPr>
          <w:lang w:val="es-ES"/>
        </w:rPr>
        <w:t>en</w:t>
      </w:r>
      <w:r w:rsidR="00D136BB">
        <w:rPr>
          <w:lang w:val="es-ES"/>
        </w:rPr>
        <w:t xml:space="preserve"> </w:t>
      </w:r>
      <w:r w:rsidRPr="004002AE">
        <w:rPr>
          <w:lang w:val="es-ES"/>
        </w:rPr>
        <w:t>tecnologías</w:t>
      </w:r>
      <w:r w:rsidR="00D136BB">
        <w:rPr>
          <w:lang w:val="es-ES"/>
        </w:rPr>
        <w:t xml:space="preserve"> </w:t>
      </w:r>
      <w:r w:rsidRPr="004002AE">
        <w:rPr>
          <w:lang w:val="es-ES"/>
        </w:rPr>
        <w:t>avanzadas</w:t>
      </w:r>
      <w:r w:rsidR="00D136BB">
        <w:rPr>
          <w:lang w:val="es-ES"/>
        </w:rPr>
        <w:t xml:space="preserve"> </w:t>
      </w:r>
      <w:r w:rsidRPr="004002AE">
        <w:rPr>
          <w:lang w:val="es-ES"/>
        </w:rPr>
        <w:t>en</w:t>
      </w:r>
      <w:r w:rsidR="00D136BB">
        <w:rPr>
          <w:lang w:val="es-ES"/>
        </w:rPr>
        <w:t xml:space="preserve"> </w:t>
      </w:r>
      <w:r w:rsidRPr="004002AE">
        <w:rPr>
          <w:lang w:val="es-ES"/>
        </w:rPr>
        <w:t>radioterapia,</w:t>
      </w:r>
      <w:r w:rsidR="00D136BB">
        <w:rPr>
          <w:lang w:val="es-ES"/>
        </w:rPr>
        <w:t xml:space="preserve"> </w:t>
      </w:r>
      <w:r w:rsidRPr="004002AE">
        <w:rPr>
          <w:lang w:val="es-ES"/>
        </w:rPr>
        <w:t>procedimientos</w:t>
      </w:r>
      <w:r w:rsidR="00D136BB">
        <w:rPr>
          <w:lang w:val="es-ES"/>
        </w:rPr>
        <w:t xml:space="preserve"> </w:t>
      </w:r>
      <w:r w:rsidRPr="004002AE">
        <w:rPr>
          <w:lang w:val="es-ES"/>
        </w:rPr>
        <w:t>intervencionistas</w:t>
      </w:r>
      <w:r w:rsidR="00D136BB">
        <w:rPr>
          <w:lang w:val="es-ES"/>
        </w:rPr>
        <w:t xml:space="preserve"> </w:t>
      </w:r>
      <w:r w:rsidRPr="004002AE">
        <w:rPr>
          <w:lang w:val="es-ES"/>
        </w:rPr>
        <w:t>y</w:t>
      </w:r>
      <w:r w:rsidR="00D136BB">
        <w:rPr>
          <w:lang w:val="es-ES"/>
        </w:rPr>
        <w:t xml:space="preserve"> </w:t>
      </w:r>
      <w:r w:rsidRPr="004002AE">
        <w:rPr>
          <w:lang w:val="es-ES"/>
        </w:rPr>
        <w:t>fluoroscópicos,</w:t>
      </w:r>
      <w:r w:rsidR="00D136BB">
        <w:rPr>
          <w:lang w:val="es-ES"/>
        </w:rPr>
        <w:t xml:space="preserve"> </w:t>
      </w:r>
      <w:r w:rsidRPr="004002AE">
        <w:rPr>
          <w:lang w:val="es-ES"/>
        </w:rPr>
        <w:t>radiología</w:t>
      </w:r>
      <w:r w:rsidR="00D136BB">
        <w:rPr>
          <w:lang w:val="es-ES"/>
        </w:rPr>
        <w:t xml:space="preserve"> </w:t>
      </w:r>
      <w:r w:rsidRPr="004002AE">
        <w:rPr>
          <w:lang w:val="es-ES"/>
        </w:rPr>
        <w:t>digital,</w:t>
      </w:r>
      <w:r w:rsidR="00D136BB">
        <w:rPr>
          <w:lang w:val="es-ES"/>
        </w:rPr>
        <w:t xml:space="preserve"> </w:t>
      </w:r>
      <w:r w:rsidRPr="004002AE">
        <w:rPr>
          <w:lang w:val="es-ES"/>
        </w:rPr>
        <w:t>tomosíntesis,</w:t>
      </w:r>
      <w:r w:rsidR="00D136BB">
        <w:rPr>
          <w:lang w:val="es-ES"/>
        </w:rPr>
        <w:t xml:space="preserve"> </w:t>
      </w:r>
      <w:r w:rsidRPr="004002AE">
        <w:rPr>
          <w:lang w:val="es-ES"/>
        </w:rPr>
        <w:t>CBCT</w:t>
      </w:r>
      <w:r w:rsidR="00D136BB">
        <w:rPr>
          <w:lang w:val="es-ES"/>
        </w:rPr>
        <w:t xml:space="preserve"> </w:t>
      </w:r>
      <w:r w:rsidRPr="004002AE">
        <w:rPr>
          <w:lang w:val="es-ES"/>
        </w:rPr>
        <w:t>odontológico,</w:t>
      </w:r>
      <w:r w:rsidR="00D136BB">
        <w:rPr>
          <w:lang w:val="es-ES"/>
        </w:rPr>
        <w:t xml:space="preserve"> </w:t>
      </w:r>
      <w:r w:rsidRPr="004002AE">
        <w:rPr>
          <w:lang w:val="es-ES"/>
        </w:rPr>
        <w:t>tomografía</w:t>
      </w:r>
      <w:r w:rsidR="00D136BB">
        <w:rPr>
          <w:lang w:val="es-ES"/>
        </w:rPr>
        <w:t xml:space="preserve"> </w:t>
      </w:r>
      <w:r w:rsidRPr="004002AE">
        <w:rPr>
          <w:lang w:val="es-ES"/>
        </w:rPr>
        <w:t>computada</w:t>
      </w:r>
      <w:r w:rsidR="00D136BB">
        <w:rPr>
          <w:lang w:val="es-ES"/>
        </w:rPr>
        <w:t xml:space="preserve"> </w:t>
      </w:r>
      <w:r w:rsidRPr="004002AE">
        <w:rPr>
          <w:lang w:val="es-ES"/>
        </w:rPr>
        <w:t>multicortes</w:t>
      </w:r>
      <w:r w:rsidR="00D136BB">
        <w:rPr>
          <w:lang w:val="es-ES"/>
        </w:rPr>
        <w:t xml:space="preserve"> </w:t>
      </w:r>
      <w:r w:rsidRPr="004002AE">
        <w:rPr>
          <w:lang w:val="es-ES"/>
        </w:rPr>
        <w:t>y</w:t>
      </w:r>
      <w:r w:rsidR="00D136BB">
        <w:rPr>
          <w:lang w:val="es-ES"/>
        </w:rPr>
        <w:t xml:space="preserve"> </w:t>
      </w:r>
      <w:r w:rsidRPr="004002AE">
        <w:rPr>
          <w:lang w:val="es-ES"/>
        </w:rPr>
        <w:t>sistemas</w:t>
      </w:r>
      <w:r w:rsidR="00D136BB">
        <w:rPr>
          <w:lang w:val="es-ES"/>
        </w:rPr>
        <w:t xml:space="preserve"> </w:t>
      </w:r>
      <w:r w:rsidRPr="004002AE">
        <w:rPr>
          <w:lang w:val="es-ES"/>
        </w:rPr>
        <w:t>híbridos</w:t>
      </w:r>
      <w:r w:rsidR="00D136BB">
        <w:rPr>
          <w:lang w:val="es-ES"/>
        </w:rPr>
        <w:t xml:space="preserve"> </w:t>
      </w:r>
      <w:r w:rsidRPr="004002AE">
        <w:rPr>
          <w:lang w:val="es-ES"/>
        </w:rPr>
        <w:t>(SPECT/CT</w:t>
      </w:r>
      <w:r w:rsidR="00D136BB">
        <w:rPr>
          <w:lang w:val="es-ES"/>
        </w:rPr>
        <w:t xml:space="preserve"> </w:t>
      </w:r>
      <w:r w:rsidRPr="004002AE">
        <w:rPr>
          <w:lang w:val="es-ES"/>
        </w:rPr>
        <w:t>y</w:t>
      </w:r>
      <w:r w:rsidR="00D136BB">
        <w:rPr>
          <w:lang w:val="es-ES"/>
        </w:rPr>
        <w:t xml:space="preserve"> </w:t>
      </w:r>
      <w:r w:rsidRPr="004002AE">
        <w:rPr>
          <w:lang w:val="es-ES"/>
        </w:rPr>
        <w:t>PET/CT).</w:t>
      </w:r>
    </w:p>
    <w:p w14:paraId="3ED843BE" w14:textId="5BF4A559" w:rsidR="004002AE" w:rsidRDefault="004002AE" w:rsidP="00BE3BCB">
      <w:pPr>
        <w:pStyle w:val="BodyText"/>
        <w:numPr>
          <w:ilvl w:val="0"/>
          <w:numId w:val="59"/>
        </w:numPr>
        <w:rPr>
          <w:lang w:val="es-ES"/>
        </w:rPr>
      </w:pPr>
      <w:r w:rsidRPr="004002AE">
        <w:rPr>
          <w:lang w:val="es-ES"/>
        </w:rPr>
        <w:t>R5.</w:t>
      </w:r>
      <w:r w:rsidR="00D136BB">
        <w:rPr>
          <w:lang w:val="es-ES"/>
        </w:rPr>
        <w:t xml:space="preserve"> </w:t>
      </w:r>
      <w:r w:rsidRPr="004002AE">
        <w:rPr>
          <w:lang w:val="es-ES"/>
        </w:rPr>
        <w:t>Insuficiente</w:t>
      </w:r>
      <w:r w:rsidR="00D136BB">
        <w:rPr>
          <w:lang w:val="es-ES"/>
        </w:rPr>
        <w:t xml:space="preserve"> </w:t>
      </w:r>
      <w:r w:rsidRPr="004002AE">
        <w:rPr>
          <w:lang w:val="es-ES"/>
        </w:rPr>
        <w:t>implementación</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requisitos</w:t>
      </w:r>
      <w:r w:rsidR="00D136BB">
        <w:rPr>
          <w:lang w:val="es-ES"/>
        </w:rPr>
        <w:t xml:space="preserve"> </w:t>
      </w:r>
      <w:r w:rsidRPr="004002AE">
        <w:rPr>
          <w:lang w:val="es-ES"/>
        </w:rPr>
        <w:t>y</w:t>
      </w:r>
      <w:r w:rsidR="00D136BB">
        <w:rPr>
          <w:lang w:val="es-ES"/>
        </w:rPr>
        <w:t xml:space="preserve"> </w:t>
      </w:r>
      <w:r w:rsidRPr="004002AE">
        <w:rPr>
          <w:lang w:val="es-ES"/>
        </w:rPr>
        <w:t>recomendaciones</w:t>
      </w:r>
      <w:r w:rsidR="00D136BB">
        <w:rPr>
          <w:lang w:val="es-ES"/>
        </w:rPr>
        <w:t xml:space="preserve"> </w:t>
      </w:r>
      <w:r w:rsidRPr="004002AE">
        <w:rPr>
          <w:lang w:val="es-ES"/>
        </w:rPr>
        <w:t>internacionales</w:t>
      </w:r>
      <w:r w:rsidR="00D136BB">
        <w:rPr>
          <w:lang w:val="es-ES"/>
        </w:rPr>
        <w:t xml:space="preserve"> </w:t>
      </w:r>
      <w:r w:rsidRPr="004002AE">
        <w:rPr>
          <w:lang w:val="es-ES"/>
        </w:rPr>
        <w:t>de</w:t>
      </w:r>
      <w:r w:rsidR="00D136BB">
        <w:rPr>
          <w:lang w:val="es-ES"/>
        </w:rPr>
        <w:t xml:space="preserve"> </w:t>
      </w:r>
      <w:r w:rsidRPr="004002AE">
        <w:rPr>
          <w:lang w:val="es-ES"/>
        </w:rPr>
        <w:t>seguridad</w:t>
      </w:r>
      <w:r w:rsidR="00D136BB">
        <w:rPr>
          <w:lang w:val="es-ES"/>
        </w:rPr>
        <w:t xml:space="preserve"> </w:t>
      </w:r>
      <w:r w:rsidRPr="004002AE">
        <w:rPr>
          <w:lang w:val="es-ES"/>
        </w:rPr>
        <w:t>para</w:t>
      </w:r>
      <w:r w:rsidR="00D136BB">
        <w:rPr>
          <w:lang w:val="es-ES"/>
        </w:rPr>
        <w:t xml:space="preserve"> </w:t>
      </w:r>
      <w:r w:rsidRPr="004002AE">
        <w:rPr>
          <w:lang w:val="es-ES"/>
        </w:rPr>
        <w:t>la</w:t>
      </w:r>
      <w:r w:rsidR="00D136BB">
        <w:rPr>
          <w:lang w:val="es-ES"/>
        </w:rPr>
        <w:t xml:space="preserve"> </w:t>
      </w:r>
      <w:r w:rsidRPr="004002AE">
        <w:rPr>
          <w:lang w:val="es-ES"/>
        </w:rPr>
        <w:t>protección</w:t>
      </w:r>
      <w:r w:rsidR="00D136BB">
        <w:rPr>
          <w:lang w:val="es-ES"/>
        </w:rPr>
        <w:t xml:space="preserve"> </w:t>
      </w:r>
      <w:r w:rsidRPr="004002AE">
        <w:rPr>
          <w:lang w:val="es-ES"/>
        </w:rPr>
        <w:t>radiológica</w:t>
      </w:r>
      <w:r w:rsidR="00D136BB">
        <w:rPr>
          <w:lang w:val="es-ES"/>
        </w:rPr>
        <w:t xml:space="preserve"> </w:t>
      </w:r>
      <w:r w:rsidRPr="004002AE">
        <w:rPr>
          <w:lang w:val="es-ES"/>
        </w:rPr>
        <w:t>del</w:t>
      </w:r>
      <w:r w:rsidR="00D136BB">
        <w:rPr>
          <w:lang w:val="es-ES"/>
        </w:rPr>
        <w:t xml:space="preserve"> </w:t>
      </w:r>
      <w:r w:rsidRPr="004002AE">
        <w:rPr>
          <w:lang w:val="es-ES"/>
        </w:rPr>
        <w:t>público,</w:t>
      </w:r>
      <w:r w:rsidR="00D136BB">
        <w:rPr>
          <w:lang w:val="es-ES"/>
        </w:rPr>
        <w:t xml:space="preserve"> </w:t>
      </w:r>
      <w:r w:rsidRPr="004002AE">
        <w:rPr>
          <w:lang w:val="es-ES"/>
        </w:rPr>
        <w:t>del</w:t>
      </w:r>
      <w:r w:rsidR="00D136BB">
        <w:rPr>
          <w:lang w:val="es-ES"/>
        </w:rPr>
        <w:t xml:space="preserve"> </w:t>
      </w:r>
      <w:r w:rsidRPr="004002AE">
        <w:rPr>
          <w:lang w:val="es-ES"/>
        </w:rPr>
        <w:t>ambiente</w:t>
      </w:r>
      <w:r w:rsidR="00D136BB">
        <w:rPr>
          <w:lang w:val="es-ES"/>
        </w:rPr>
        <w:t xml:space="preserve"> </w:t>
      </w:r>
      <w:r w:rsidRPr="004002AE">
        <w:rPr>
          <w:lang w:val="es-ES"/>
        </w:rPr>
        <w:t>y</w:t>
      </w:r>
      <w:r w:rsidR="00D136BB">
        <w:rPr>
          <w:lang w:val="es-ES"/>
        </w:rPr>
        <w:t xml:space="preserve"> </w:t>
      </w:r>
      <w:r w:rsidRPr="004002AE">
        <w:rPr>
          <w:lang w:val="es-ES"/>
        </w:rPr>
        <w:t>en</w:t>
      </w:r>
      <w:r w:rsidR="00D136BB">
        <w:rPr>
          <w:lang w:val="es-ES"/>
        </w:rPr>
        <w:t xml:space="preserve"> </w:t>
      </w:r>
      <w:r w:rsidRPr="004002AE">
        <w:rPr>
          <w:lang w:val="es-ES"/>
        </w:rPr>
        <w:t>la</w:t>
      </w:r>
      <w:r w:rsidR="00D136BB">
        <w:rPr>
          <w:lang w:val="es-ES"/>
        </w:rPr>
        <w:t xml:space="preserve"> </w:t>
      </w:r>
      <w:r w:rsidRPr="004002AE">
        <w:rPr>
          <w:lang w:val="es-ES"/>
        </w:rPr>
        <w:t>gestión</w:t>
      </w:r>
      <w:r w:rsidR="00D136BB">
        <w:rPr>
          <w:lang w:val="es-ES"/>
        </w:rPr>
        <w:t xml:space="preserve"> </w:t>
      </w:r>
      <w:r w:rsidRPr="004002AE">
        <w:rPr>
          <w:lang w:val="es-ES"/>
        </w:rPr>
        <w:t>de</w:t>
      </w:r>
      <w:r w:rsidR="00D136BB">
        <w:rPr>
          <w:lang w:val="es-ES"/>
        </w:rPr>
        <w:t xml:space="preserve"> </w:t>
      </w:r>
      <w:r w:rsidRPr="004002AE">
        <w:rPr>
          <w:lang w:val="es-ES"/>
        </w:rPr>
        <w:t>desechos</w:t>
      </w:r>
      <w:r w:rsidR="00D136BB">
        <w:rPr>
          <w:lang w:val="es-ES"/>
        </w:rPr>
        <w:t xml:space="preserve"> </w:t>
      </w:r>
      <w:r w:rsidRPr="004002AE">
        <w:rPr>
          <w:lang w:val="es-ES"/>
        </w:rPr>
        <w:t>radiactivos,</w:t>
      </w:r>
      <w:r w:rsidR="00D136BB">
        <w:rPr>
          <w:lang w:val="es-ES"/>
        </w:rPr>
        <w:t xml:space="preserve"> </w:t>
      </w:r>
      <w:r w:rsidRPr="004002AE">
        <w:rPr>
          <w:lang w:val="es-ES"/>
        </w:rPr>
        <w:t>con</w:t>
      </w:r>
      <w:r w:rsidR="00D136BB">
        <w:rPr>
          <w:lang w:val="es-ES"/>
        </w:rPr>
        <w:t xml:space="preserve"> </w:t>
      </w:r>
      <w:r w:rsidRPr="004002AE">
        <w:rPr>
          <w:lang w:val="es-ES"/>
        </w:rPr>
        <w:t>énfasis</w:t>
      </w:r>
      <w:r w:rsidR="00D136BB">
        <w:rPr>
          <w:lang w:val="es-ES"/>
        </w:rPr>
        <w:t xml:space="preserve"> </w:t>
      </w:r>
      <w:r w:rsidRPr="004002AE">
        <w:rPr>
          <w:lang w:val="es-ES"/>
        </w:rPr>
        <w:t>en</w:t>
      </w:r>
      <w:r w:rsidR="00D136BB">
        <w:rPr>
          <w:lang w:val="es-ES"/>
        </w:rPr>
        <w:t xml:space="preserve"> </w:t>
      </w:r>
      <w:r w:rsidRPr="004002AE">
        <w:rPr>
          <w:lang w:val="es-ES"/>
        </w:rPr>
        <w:t>políticas</w:t>
      </w:r>
      <w:r w:rsidR="00D136BB">
        <w:rPr>
          <w:lang w:val="es-ES"/>
        </w:rPr>
        <w:t xml:space="preserve"> </w:t>
      </w:r>
      <w:r w:rsidRPr="004002AE">
        <w:rPr>
          <w:lang w:val="es-ES"/>
        </w:rPr>
        <w:t>y</w:t>
      </w:r>
      <w:r w:rsidR="00D136BB">
        <w:rPr>
          <w:lang w:val="es-ES"/>
        </w:rPr>
        <w:t xml:space="preserve"> </w:t>
      </w:r>
      <w:r w:rsidRPr="004002AE">
        <w:rPr>
          <w:lang w:val="es-ES"/>
        </w:rPr>
        <w:t>estrategias</w:t>
      </w:r>
      <w:r w:rsidR="00D136BB">
        <w:rPr>
          <w:lang w:val="es-ES"/>
        </w:rPr>
        <w:t xml:space="preserve"> </w:t>
      </w:r>
      <w:r w:rsidRPr="004002AE">
        <w:rPr>
          <w:lang w:val="es-ES"/>
        </w:rPr>
        <w:t>nacionales,</w:t>
      </w:r>
      <w:r w:rsidR="00D136BB">
        <w:rPr>
          <w:lang w:val="es-ES"/>
        </w:rPr>
        <w:t xml:space="preserve"> </w:t>
      </w:r>
      <w:r w:rsidRPr="004002AE">
        <w:rPr>
          <w:lang w:val="es-ES"/>
        </w:rPr>
        <w:t>gestión</w:t>
      </w:r>
      <w:r w:rsidR="00D136BB">
        <w:rPr>
          <w:lang w:val="es-ES"/>
        </w:rPr>
        <w:t xml:space="preserve"> </w:t>
      </w:r>
      <w:r w:rsidRPr="004002AE">
        <w:rPr>
          <w:lang w:val="es-ES"/>
        </w:rPr>
        <w:t>de</w:t>
      </w:r>
      <w:r w:rsidR="00D136BB">
        <w:rPr>
          <w:lang w:val="es-ES"/>
        </w:rPr>
        <w:t xml:space="preserve"> </w:t>
      </w:r>
      <w:r w:rsidRPr="004002AE">
        <w:rPr>
          <w:lang w:val="es-ES"/>
        </w:rPr>
        <w:t>fuentes</w:t>
      </w:r>
      <w:r w:rsidR="00D136BB">
        <w:rPr>
          <w:lang w:val="es-ES"/>
        </w:rPr>
        <w:t xml:space="preserve"> </w:t>
      </w:r>
      <w:r w:rsidRPr="004002AE">
        <w:rPr>
          <w:lang w:val="es-ES"/>
        </w:rPr>
        <w:t>en</w:t>
      </w:r>
      <w:r w:rsidR="00D136BB">
        <w:rPr>
          <w:lang w:val="es-ES"/>
        </w:rPr>
        <w:t xml:space="preserve"> </w:t>
      </w:r>
      <w:r w:rsidRPr="004002AE">
        <w:rPr>
          <w:lang w:val="es-ES"/>
        </w:rPr>
        <w:t>desuso</w:t>
      </w:r>
      <w:r w:rsidR="00D136BB">
        <w:rPr>
          <w:lang w:val="es-ES"/>
        </w:rPr>
        <w:t xml:space="preserve"> </w:t>
      </w:r>
      <w:r w:rsidRPr="004002AE">
        <w:rPr>
          <w:lang w:val="es-ES"/>
        </w:rPr>
        <w:t>e</w:t>
      </w:r>
      <w:r w:rsidR="00D136BB">
        <w:rPr>
          <w:lang w:val="es-ES"/>
        </w:rPr>
        <w:t xml:space="preserve"> </w:t>
      </w:r>
      <w:r w:rsidRPr="004002AE">
        <w:rPr>
          <w:lang w:val="es-ES"/>
        </w:rPr>
        <w:t>identificación</w:t>
      </w:r>
      <w:r w:rsidR="00D136BB">
        <w:rPr>
          <w:lang w:val="es-ES"/>
        </w:rPr>
        <w:t xml:space="preserve"> </w:t>
      </w:r>
      <w:r w:rsidRPr="004002AE">
        <w:rPr>
          <w:lang w:val="es-ES"/>
        </w:rPr>
        <w:t>y</w:t>
      </w:r>
      <w:r w:rsidR="00D136BB">
        <w:rPr>
          <w:lang w:val="es-ES"/>
        </w:rPr>
        <w:t xml:space="preserve"> </w:t>
      </w:r>
      <w:r w:rsidRPr="004002AE">
        <w:rPr>
          <w:lang w:val="es-ES"/>
        </w:rPr>
        <w:t>solución</w:t>
      </w:r>
      <w:r w:rsidR="00D136BB">
        <w:rPr>
          <w:lang w:val="es-ES"/>
        </w:rPr>
        <w:t xml:space="preserve"> </w:t>
      </w:r>
      <w:r w:rsidRPr="004002AE">
        <w:rPr>
          <w:lang w:val="es-ES"/>
        </w:rPr>
        <w:t>de</w:t>
      </w:r>
      <w:r w:rsidR="00D136BB">
        <w:rPr>
          <w:lang w:val="es-ES"/>
        </w:rPr>
        <w:t xml:space="preserve"> </w:t>
      </w:r>
      <w:r w:rsidRPr="004002AE">
        <w:rPr>
          <w:lang w:val="es-ES"/>
        </w:rPr>
        <w:t>situaciones</w:t>
      </w:r>
      <w:r w:rsidR="00D136BB">
        <w:rPr>
          <w:lang w:val="es-ES"/>
        </w:rPr>
        <w:t xml:space="preserve"> </w:t>
      </w:r>
      <w:r w:rsidRPr="004002AE">
        <w:rPr>
          <w:lang w:val="es-ES"/>
        </w:rPr>
        <w:t>radiológicas</w:t>
      </w:r>
      <w:r w:rsidR="00D136BB">
        <w:rPr>
          <w:lang w:val="es-ES"/>
        </w:rPr>
        <w:t xml:space="preserve"> </w:t>
      </w:r>
      <w:r w:rsidRPr="004002AE">
        <w:rPr>
          <w:lang w:val="es-ES"/>
        </w:rPr>
        <w:t>debido</w:t>
      </w:r>
      <w:r w:rsidR="00D136BB">
        <w:rPr>
          <w:lang w:val="es-ES"/>
        </w:rPr>
        <w:t xml:space="preserve"> </w:t>
      </w:r>
      <w:r w:rsidRPr="004002AE">
        <w:rPr>
          <w:lang w:val="es-ES"/>
        </w:rPr>
        <w:t>a</w:t>
      </w:r>
      <w:r w:rsidR="00D136BB">
        <w:rPr>
          <w:lang w:val="es-ES"/>
        </w:rPr>
        <w:t xml:space="preserve"> </w:t>
      </w:r>
      <w:r w:rsidRPr="004002AE">
        <w:rPr>
          <w:lang w:val="es-ES"/>
        </w:rPr>
        <w:t>presencia</w:t>
      </w:r>
      <w:r w:rsidR="00D136BB">
        <w:rPr>
          <w:lang w:val="es-ES"/>
        </w:rPr>
        <w:t xml:space="preserve"> </w:t>
      </w:r>
      <w:r w:rsidRPr="004002AE">
        <w:rPr>
          <w:lang w:val="es-ES"/>
        </w:rPr>
        <w:t>de</w:t>
      </w:r>
      <w:r w:rsidR="00D136BB">
        <w:rPr>
          <w:lang w:val="es-ES"/>
        </w:rPr>
        <w:t xml:space="preserve"> </w:t>
      </w:r>
      <w:r w:rsidRPr="004002AE">
        <w:rPr>
          <w:lang w:val="es-ES"/>
        </w:rPr>
        <w:t>NORM.</w:t>
      </w:r>
    </w:p>
    <w:p w14:paraId="02ED7B0E" w14:textId="3C797AA8" w:rsidR="004002AE" w:rsidRDefault="004002AE" w:rsidP="00BE3BCB">
      <w:pPr>
        <w:pStyle w:val="BodyText"/>
        <w:numPr>
          <w:ilvl w:val="0"/>
          <w:numId w:val="59"/>
        </w:numPr>
        <w:rPr>
          <w:lang w:val="es-ES"/>
        </w:rPr>
      </w:pPr>
      <w:r w:rsidRPr="004002AE">
        <w:rPr>
          <w:lang w:val="es-ES"/>
        </w:rPr>
        <w:t>R6.</w:t>
      </w:r>
      <w:r w:rsidR="00D136BB">
        <w:rPr>
          <w:lang w:val="es-ES"/>
        </w:rPr>
        <w:t xml:space="preserve"> </w:t>
      </w:r>
      <w:r w:rsidRPr="004002AE">
        <w:rPr>
          <w:lang w:val="es-ES"/>
        </w:rPr>
        <w:t>Limitadas</w:t>
      </w:r>
      <w:r w:rsidR="00D136BB">
        <w:rPr>
          <w:lang w:val="es-ES"/>
        </w:rPr>
        <w:t xml:space="preserve"> </w:t>
      </w:r>
      <w:r w:rsidRPr="004002AE">
        <w:rPr>
          <w:lang w:val="es-ES"/>
        </w:rPr>
        <w:t>capacidades</w:t>
      </w:r>
      <w:r w:rsidR="00D136BB">
        <w:rPr>
          <w:lang w:val="es-ES"/>
        </w:rPr>
        <w:t xml:space="preserve"> </w:t>
      </w:r>
      <w:r w:rsidRPr="004002AE">
        <w:rPr>
          <w:lang w:val="es-ES"/>
        </w:rPr>
        <w:t>de</w:t>
      </w:r>
      <w:r w:rsidR="00D136BB">
        <w:rPr>
          <w:lang w:val="es-ES"/>
        </w:rPr>
        <w:t xml:space="preserve"> </w:t>
      </w:r>
      <w:r w:rsidRPr="004002AE">
        <w:rPr>
          <w:lang w:val="es-ES"/>
        </w:rPr>
        <w:t>planificación,</w:t>
      </w:r>
      <w:r w:rsidR="00D136BB">
        <w:rPr>
          <w:lang w:val="es-ES"/>
        </w:rPr>
        <w:t xml:space="preserve"> </w:t>
      </w:r>
      <w:r w:rsidRPr="004002AE">
        <w:rPr>
          <w:lang w:val="es-ES"/>
        </w:rPr>
        <w:t>notificación</w:t>
      </w:r>
      <w:r w:rsidR="00D136BB">
        <w:rPr>
          <w:lang w:val="es-ES"/>
        </w:rPr>
        <w:t xml:space="preserve"> </w:t>
      </w:r>
      <w:r w:rsidRPr="004002AE">
        <w:rPr>
          <w:lang w:val="es-ES"/>
        </w:rPr>
        <w:t>y</w:t>
      </w:r>
      <w:r w:rsidR="00D136BB">
        <w:rPr>
          <w:lang w:val="es-ES"/>
        </w:rPr>
        <w:t xml:space="preserve"> </w:t>
      </w:r>
      <w:r w:rsidRPr="004002AE">
        <w:rPr>
          <w:lang w:val="es-ES"/>
        </w:rPr>
        <w:t>respuesta</w:t>
      </w:r>
      <w:r w:rsidR="00D136BB">
        <w:rPr>
          <w:lang w:val="es-ES"/>
        </w:rPr>
        <w:t xml:space="preserve"> </w:t>
      </w:r>
      <w:r w:rsidRPr="004002AE">
        <w:rPr>
          <w:lang w:val="es-ES"/>
        </w:rPr>
        <w:t>a</w:t>
      </w:r>
      <w:r w:rsidR="00D136BB">
        <w:rPr>
          <w:lang w:val="es-ES"/>
        </w:rPr>
        <w:t xml:space="preserve"> </w:t>
      </w:r>
      <w:r w:rsidRPr="004002AE">
        <w:rPr>
          <w:lang w:val="es-ES"/>
        </w:rPr>
        <w:t>emergencias</w:t>
      </w:r>
      <w:r w:rsidR="00D136BB">
        <w:rPr>
          <w:lang w:val="es-ES"/>
        </w:rPr>
        <w:t xml:space="preserve"> </w:t>
      </w:r>
      <w:r w:rsidRPr="004002AE">
        <w:rPr>
          <w:lang w:val="es-ES"/>
        </w:rPr>
        <w:t>radiológica</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países,</w:t>
      </w:r>
      <w:r w:rsidR="00D136BB">
        <w:rPr>
          <w:lang w:val="es-ES"/>
        </w:rPr>
        <w:t xml:space="preserve"> </w:t>
      </w:r>
      <w:r w:rsidRPr="004002AE">
        <w:rPr>
          <w:lang w:val="es-ES"/>
        </w:rPr>
        <w:t>incluido</w:t>
      </w:r>
      <w:r w:rsidR="00D136BB">
        <w:rPr>
          <w:lang w:val="es-ES"/>
        </w:rPr>
        <w:t xml:space="preserve"> </w:t>
      </w:r>
      <w:r w:rsidRPr="004002AE">
        <w:rPr>
          <w:lang w:val="es-ES"/>
        </w:rPr>
        <w:t>el</w:t>
      </w:r>
      <w:r w:rsidR="00D136BB">
        <w:rPr>
          <w:lang w:val="es-ES"/>
        </w:rPr>
        <w:t xml:space="preserve"> </w:t>
      </w:r>
      <w:r w:rsidRPr="004002AE">
        <w:rPr>
          <w:lang w:val="es-ES"/>
        </w:rPr>
        <w:t>análisis</w:t>
      </w:r>
      <w:r w:rsidR="00D136BB">
        <w:rPr>
          <w:lang w:val="es-ES"/>
        </w:rPr>
        <w:t xml:space="preserve"> </w:t>
      </w:r>
      <w:r w:rsidRPr="004002AE">
        <w:rPr>
          <w:lang w:val="es-ES"/>
        </w:rPr>
        <w:t>sistemático</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accidentes</w:t>
      </w:r>
      <w:r w:rsidR="00D136BB">
        <w:rPr>
          <w:lang w:val="es-ES"/>
        </w:rPr>
        <w:t xml:space="preserve"> </w:t>
      </w:r>
      <w:r w:rsidRPr="004002AE">
        <w:rPr>
          <w:lang w:val="es-ES"/>
        </w:rPr>
        <w:t>y</w:t>
      </w:r>
      <w:r w:rsidR="00D136BB">
        <w:rPr>
          <w:lang w:val="es-ES"/>
        </w:rPr>
        <w:t xml:space="preserve"> </w:t>
      </w:r>
      <w:r w:rsidRPr="004002AE">
        <w:rPr>
          <w:lang w:val="es-ES"/>
        </w:rPr>
        <w:t>la</w:t>
      </w:r>
      <w:r w:rsidR="00D136BB">
        <w:rPr>
          <w:lang w:val="es-ES"/>
        </w:rPr>
        <w:t xml:space="preserve"> </w:t>
      </w:r>
      <w:r w:rsidRPr="004002AE">
        <w:rPr>
          <w:lang w:val="es-ES"/>
        </w:rPr>
        <w:t>diseminación</w:t>
      </w:r>
      <w:r w:rsidR="00D136BB">
        <w:rPr>
          <w:lang w:val="es-ES"/>
        </w:rPr>
        <w:t xml:space="preserve"> </w:t>
      </w:r>
      <w:r w:rsidRPr="004002AE">
        <w:rPr>
          <w:lang w:val="es-ES"/>
        </w:rPr>
        <w:t>de</w:t>
      </w:r>
      <w:r w:rsidR="00D136BB">
        <w:rPr>
          <w:lang w:val="es-ES"/>
        </w:rPr>
        <w:t xml:space="preserve"> </w:t>
      </w:r>
      <w:r w:rsidRPr="004002AE">
        <w:rPr>
          <w:lang w:val="es-ES"/>
        </w:rPr>
        <w:t>la</w:t>
      </w:r>
      <w:r w:rsidR="00D136BB">
        <w:rPr>
          <w:lang w:val="es-ES"/>
        </w:rPr>
        <w:t xml:space="preserve"> </w:t>
      </w:r>
      <w:r w:rsidRPr="004002AE">
        <w:rPr>
          <w:lang w:val="es-ES"/>
        </w:rPr>
        <w:t>información.</w:t>
      </w:r>
    </w:p>
    <w:p w14:paraId="6556B067" w14:textId="553FC41E" w:rsidR="004002AE" w:rsidRDefault="004002AE" w:rsidP="00BE3BCB">
      <w:pPr>
        <w:pStyle w:val="BodyText"/>
        <w:numPr>
          <w:ilvl w:val="0"/>
          <w:numId w:val="59"/>
        </w:numPr>
        <w:rPr>
          <w:lang w:val="es-ES"/>
        </w:rPr>
      </w:pPr>
      <w:r w:rsidRPr="004002AE">
        <w:rPr>
          <w:lang w:val="es-ES"/>
        </w:rPr>
        <w:t>R7.</w:t>
      </w:r>
      <w:r w:rsidR="00D136BB">
        <w:rPr>
          <w:lang w:val="es-ES"/>
        </w:rPr>
        <w:t xml:space="preserve"> </w:t>
      </w:r>
      <w:r w:rsidRPr="004002AE">
        <w:rPr>
          <w:lang w:val="es-ES"/>
        </w:rPr>
        <w:t>Insuficiente</w:t>
      </w:r>
      <w:r w:rsidR="00D136BB">
        <w:rPr>
          <w:lang w:val="es-ES"/>
        </w:rPr>
        <w:t xml:space="preserve"> </w:t>
      </w:r>
      <w:r w:rsidRPr="004002AE">
        <w:rPr>
          <w:lang w:val="es-ES"/>
        </w:rPr>
        <w:t>implementación</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requisitos</w:t>
      </w:r>
      <w:r w:rsidR="00D136BB">
        <w:rPr>
          <w:lang w:val="es-ES"/>
        </w:rPr>
        <w:t xml:space="preserve"> </w:t>
      </w:r>
      <w:r w:rsidRPr="004002AE">
        <w:rPr>
          <w:lang w:val="es-ES"/>
        </w:rPr>
        <w:t>y</w:t>
      </w:r>
      <w:r w:rsidR="00D136BB">
        <w:rPr>
          <w:lang w:val="es-ES"/>
        </w:rPr>
        <w:t xml:space="preserve"> </w:t>
      </w:r>
      <w:r w:rsidRPr="004002AE">
        <w:rPr>
          <w:lang w:val="es-ES"/>
        </w:rPr>
        <w:t>recomendaciones</w:t>
      </w:r>
      <w:r w:rsidR="00D136BB">
        <w:rPr>
          <w:lang w:val="es-ES"/>
        </w:rPr>
        <w:t xml:space="preserve"> </w:t>
      </w:r>
      <w:r w:rsidRPr="004002AE">
        <w:rPr>
          <w:lang w:val="es-ES"/>
        </w:rPr>
        <w:t>internacionales</w:t>
      </w:r>
      <w:r w:rsidR="00D136BB">
        <w:rPr>
          <w:lang w:val="es-ES"/>
        </w:rPr>
        <w:t xml:space="preserve"> </w:t>
      </w:r>
      <w:r w:rsidRPr="004002AE">
        <w:rPr>
          <w:lang w:val="es-ES"/>
        </w:rPr>
        <w:t>de</w:t>
      </w:r>
      <w:r w:rsidR="00D136BB">
        <w:rPr>
          <w:lang w:val="es-ES"/>
        </w:rPr>
        <w:t xml:space="preserve"> </w:t>
      </w:r>
      <w:r w:rsidRPr="004002AE">
        <w:rPr>
          <w:lang w:val="es-ES"/>
        </w:rPr>
        <w:t>educación</w:t>
      </w:r>
      <w:r w:rsidR="00D136BB">
        <w:rPr>
          <w:lang w:val="es-ES"/>
        </w:rPr>
        <w:t xml:space="preserve"> </w:t>
      </w:r>
      <w:r w:rsidRPr="004002AE">
        <w:rPr>
          <w:lang w:val="es-ES"/>
        </w:rPr>
        <w:t>y</w:t>
      </w:r>
      <w:r w:rsidR="00D136BB">
        <w:rPr>
          <w:lang w:val="es-ES"/>
        </w:rPr>
        <w:t xml:space="preserve"> </w:t>
      </w:r>
      <w:r w:rsidRPr="004002AE">
        <w:rPr>
          <w:lang w:val="es-ES"/>
        </w:rPr>
        <w:t>capacitación</w:t>
      </w:r>
      <w:r w:rsidR="00D136BB">
        <w:rPr>
          <w:lang w:val="es-ES"/>
        </w:rPr>
        <w:t xml:space="preserve"> </w:t>
      </w:r>
      <w:r w:rsidRPr="004002AE">
        <w:rPr>
          <w:lang w:val="es-ES"/>
        </w:rPr>
        <w:t>en</w:t>
      </w:r>
      <w:r w:rsidR="00D136BB">
        <w:rPr>
          <w:lang w:val="es-ES"/>
        </w:rPr>
        <w:t xml:space="preserve"> </w:t>
      </w:r>
      <w:r w:rsidRPr="004002AE">
        <w:rPr>
          <w:lang w:val="es-ES"/>
        </w:rPr>
        <w:t>seguridad</w:t>
      </w:r>
      <w:r w:rsidR="00D136BB">
        <w:rPr>
          <w:lang w:val="es-ES"/>
        </w:rPr>
        <w:t xml:space="preserve"> </w:t>
      </w:r>
      <w:r w:rsidRPr="004002AE">
        <w:rPr>
          <w:lang w:val="es-ES"/>
        </w:rPr>
        <w:t>radiológica,</w:t>
      </w:r>
      <w:r w:rsidR="00D136BB">
        <w:rPr>
          <w:lang w:val="es-ES"/>
        </w:rPr>
        <w:t xml:space="preserve"> </w:t>
      </w:r>
      <w:r w:rsidRPr="004002AE">
        <w:rPr>
          <w:lang w:val="es-ES"/>
        </w:rPr>
        <w:t>del</w:t>
      </w:r>
      <w:r w:rsidR="00D136BB">
        <w:rPr>
          <w:lang w:val="es-ES"/>
        </w:rPr>
        <w:t xml:space="preserve"> </w:t>
      </w:r>
      <w:r w:rsidRPr="004002AE">
        <w:rPr>
          <w:lang w:val="es-ES"/>
        </w:rPr>
        <w:t>transporte</w:t>
      </w:r>
      <w:r w:rsidR="00D136BB">
        <w:rPr>
          <w:lang w:val="es-ES"/>
        </w:rPr>
        <w:t xml:space="preserve"> </w:t>
      </w:r>
      <w:r w:rsidRPr="004002AE">
        <w:rPr>
          <w:lang w:val="es-ES"/>
        </w:rPr>
        <w:t>y</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desechos</w:t>
      </w:r>
      <w:r w:rsidR="00D136BB">
        <w:rPr>
          <w:lang w:val="es-ES"/>
        </w:rPr>
        <w:t xml:space="preserve"> </w:t>
      </w:r>
      <w:r w:rsidRPr="004002AE">
        <w:rPr>
          <w:lang w:val="es-ES"/>
        </w:rPr>
        <w:t>para</w:t>
      </w:r>
      <w:r w:rsidR="00D136BB">
        <w:rPr>
          <w:lang w:val="es-ES"/>
        </w:rPr>
        <w:t xml:space="preserve"> </w:t>
      </w:r>
      <w:r w:rsidRPr="004002AE">
        <w:rPr>
          <w:lang w:val="es-ES"/>
        </w:rPr>
        <w:t>todo</w:t>
      </w:r>
      <w:r w:rsidR="00D136BB">
        <w:rPr>
          <w:lang w:val="es-ES"/>
        </w:rPr>
        <w:t xml:space="preserve"> </w:t>
      </w:r>
      <w:r w:rsidRPr="004002AE">
        <w:rPr>
          <w:lang w:val="es-ES"/>
        </w:rPr>
        <w:t>el</w:t>
      </w:r>
      <w:r w:rsidR="00D136BB">
        <w:rPr>
          <w:lang w:val="es-ES"/>
        </w:rPr>
        <w:t xml:space="preserve"> </w:t>
      </w:r>
      <w:r w:rsidRPr="004002AE">
        <w:rPr>
          <w:lang w:val="es-ES"/>
        </w:rPr>
        <w:t>personal</w:t>
      </w:r>
      <w:r w:rsidR="00D136BB">
        <w:rPr>
          <w:lang w:val="es-ES"/>
        </w:rPr>
        <w:t xml:space="preserve"> </w:t>
      </w:r>
      <w:r w:rsidRPr="004002AE">
        <w:rPr>
          <w:lang w:val="es-ES"/>
        </w:rPr>
        <w:t>involucrado,</w:t>
      </w:r>
      <w:r w:rsidR="00D136BB">
        <w:rPr>
          <w:lang w:val="es-ES"/>
        </w:rPr>
        <w:t xml:space="preserve"> </w:t>
      </w:r>
      <w:r w:rsidRPr="004002AE">
        <w:rPr>
          <w:lang w:val="es-ES"/>
        </w:rPr>
        <w:t>con</w:t>
      </w:r>
      <w:r w:rsidR="00D136BB">
        <w:rPr>
          <w:lang w:val="es-ES"/>
        </w:rPr>
        <w:t xml:space="preserve"> </w:t>
      </w:r>
      <w:r w:rsidRPr="004002AE">
        <w:rPr>
          <w:lang w:val="es-ES"/>
        </w:rPr>
        <w:t>énfasis</w:t>
      </w:r>
      <w:r w:rsidR="00D136BB">
        <w:rPr>
          <w:lang w:val="es-ES"/>
        </w:rPr>
        <w:t xml:space="preserve"> </w:t>
      </w:r>
      <w:r w:rsidRPr="004002AE">
        <w:rPr>
          <w:lang w:val="es-ES"/>
        </w:rPr>
        <w:t>en</w:t>
      </w:r>
      <w:r w:rsidR="00D136BB">
        <w:rPr>
          <w:lang w:val="es-ES"/>
        </w:rPr>
        <w:t xml:space="preserve"> </w:t>
      </w:r>
      <w:r w:rsidRPr="004002AE">
        <w:rPr>
          <w:lang w:val="es-ES"/>
        </w:rPr>
        <w:t>estrategias</w:t>
      </w:r>
      <w:r w:rsidR="00D136BB">
        <w:rPr>
          <w:lang w:val="es-ES"/>
        </w:rPr>
        <w:t xml:space="preserve"> </w:t>
      </w:r>
      <w:r w:rsidRPr="004002AE">
        <w:rPr>
          <w:lang w:val="es-ES"/>
        </w:rPr>
        <w:t>nacionales.</w:t>
      </w:r>
    </w:p>
    <w:p w14:paraId="2AB3A88B" w14:textId="3D1A48C9" w:rsidR="004002AE" w:rsidRDefault="004002AE" w:rsidP="00BE3BCB">
      <w:pPr>
        <w:pStyle w:val="BodyText"/>
        <w:numPr>
          <w:ilvl w:val="0"/>
          <w:numId w:val="59"/>
        </w:numPr>
        <w:rPr>
          <w:lang w:val="es-ES"/>
        </w:rPr>
      </w:pPr>
      <w:r w:rsidRPr="004002AE">
        <w:rPr>
          <w:lang w:val="es-ES"/>
        </w:rPr>
        <w:t>R8</w:t>
      </w:r>
      <w:r>
        <w:rPr>
          <w:lang w:val="es-ES"/>
        </w:rPr>
        <w:t>.</w:t>
      </w:r>
      <w:r w:rsidR="00D136BB">
        <w:rPr>
          <w:lang w:val="es-ES"/>
        </w:rPr>
        <w:t xml:space="preserve"> </w:t>
      </w:r>
      <w:r w:rsidRPr="004002AE">
        <w:rPr>
          <w:lang w:val="es-ES"/>
        </w:rPr>
        <w:t>Insuficiente</w:t>
      </w:r>
      <w:r w:rsidR="00D136BB">
        <w:rPr>
          <w:lang w:val="es-ES"/>
        </w:rPr>
        <w:t xml:space="preserve"> </w:t>
      </w:r>
      <w:r w:rsidRPr="004002AE">
        <w:rPr>
          <w:lang w:val="es-ES"/>
        </w:rPr>
        <w:t>control</w:t>
      </w:r>
      <w:r w:rsidR="00D136BB">
        <w:rPr>
          <w:lang w:val="es-ES"/>
        </w:rPr>
        <w:t xml:space="preserve"> </w:t>
      </w:r>
      <w:r w:rsidRPr="004002AE">
        <w:rPr>
          <w:lang w:val="es-ES"/>
        </w:rPr>
        <w:t>regulatorio</w:t>
      </w:r>
      <w:r w:rsidR="00D136BB">
        <w:rPr>
          <w:lang w:val="es-ES"/>
        </w:rPr>
        <w:t xml:space="preserve"> </w:t>
      </w:r>
      <w:r w:rsidRPr="004002AE">
        <w:rPr>
          <w:lang w:val="es-ES"/>
        </w:rPr>
        <w:t>del</w:t>
      </w:r>
      <w:r w:rsidR="00D136BB">
        <w:rPr>
          <w:lang w:val="es-ES"/>
        </w:rPr>
        <w:t xml:space="preserve"> </w:t>
      </w:r>
      <w:r w:rsidRPr="004002AE">
        <w:rPr>
          <w:lang w:val="es-ES"/>
        </w:rPr>
        <w:t>material</w:t>
      </w:r>
      <w:r w:rsidR="00D136BB">
        <w:rPr>
          <w:lang w:val="es-ES"/>
        </w:rPr>
        <w:t xml:space="preserve"> </w:t>
      </w:r>
      <w:r w:rsidRPr="004002AE">
        <w:rPr>
          <w:lang w:val="es-ES"/>
        </w:rPr>
        <w:t>radiactivo</w:t>
      </w:r>
      <w:r w:rsidR="00D136BB">
        <w:rPr>
          <w:lang w:val="es-ES"/>
        </w:rPr>
        <w:t xml:space="preserve"> </w:t>
      </w:r>
      <w:r w:rsidRPr="004002AE">
        <w:rPr>
          <w:lang w:val="es-ES"/>
        </w:rPr>
        <w:t>cuando</w:t>
      </w:r>
      <w:r w:rsidR="00D136BB">
        <w:rPr>
          <w:lang w:val="es-ES"/>
        </w:rPr>
        <w:t xml:space="preserve"> </w:t>
      </w:r>
      <w:r w:rsidRPr="004002AE">
        <w:rPr>
          <w:lang w:val="es-ES"/>
        </w:rPr>
        <w:t>se</w:t>
      </w:r>
      <w:r w:rsidR="00D136BB">
        <w:rPr>
          <w:lang w:val="es-ES"/>
        </w:rPr>
        <w:t xml:space="preserve"> </w:t>
      </w:r>
      <w:r w:rsidRPr="004002AE">
        <w:rPr>
          <w:lang w:val="es-ES"/>
        </w:rPr>
        <w:t>encuentra</w:t>
      </w:r>
      <w:r w:rsidR="00D136BB">
        <w:rPr>
          <w:lang w:val="es-ES"/>
        </w:rPr>
        <w:t xml:space="preserve"> </w:t>
      </w:r>
      <w:r w:rsidRPr="004002AE">
        <w:rPr>
          <w:lang w:val="es-ES"/>
        </w:rPr>
        <w:t>en</w:t>
      </w:r>
      <w:r w:rsidR="00D136BB">
        <w:rPr>
          <w:lang w:val="es-ES"/>
        </w:rPr>
        <w:t xml:space="preserve"> </w:t>
      </w:r>
      <w:r w:rsidRPr="004002AE">
        <w:rPr>
          <w:lang w:val="es-ES"/>
        </w:rPr>
        <w:t>el</w:t>
      </w:r>
      <w:r w:rsidR="00D136BB">
        <w:rPr>
          <w:lang w:val="es-ES"/>
        </w:rPr>
        <w:t xml:space="preserve"> </w:t>
      </w:r>
      <w:r w:rsidRPr="004002AE">
        <w:rPr>
          <w:lang w:val="es-ES"/>
        </w:rPr>
        <w:t>dominio</w:t>
      </w:r>
      <w:r w:rsidR="00D136BB">
        <w:rPr>
          <w:lang w:val="es-ES"/>
        </w:rPr>
        <w:t xml:space="preserve"> </w:t>
      </w:r>
      <w:r w:rsidRPr="004002AE">
        <w:rPr>
          <w:lang w:val="es-ES"/>
        </w:rPr>
        <w:t>público,</w:t>
      </w:r>
      <w:r w:rsidR="00D136BB">
        <w:rPr>
          <w:lang w:val="es-ES"/>
        </w:rPr>
        <w:t xml:space="preserve"> </w:t>
      </w:r>
      <w:r w:rsidRPr="004002AE">
        <w:rPr>
          <w:lang w:val="es-ES"/>
        </w:rPr>
        <w:t>esto</w:t>
      </w:r>
      <w:r w:rsidR="00D136BB">
        <w:rPr>
          <w:lang w:val="es-ES"/>
        </w:rPr>
        <w:t xml:space="preserve"> </w:t>
      </w:r>
      <w:r w:rsidRPr="004002AE">
        <w:rPr>
          <w:lang w:val="es-ES"/>
        </w:rPr>
        <w:t>es</w:t>
      </w:r>
      <w:r w:rsidR="00D136BB">
        <w:rPr>
          <w:lang w:val="es-ES"/>
        </w:rPr>
        <w:t xml:space="preserve"> </w:t>
      </w:r>
      <w:r w:rsidRPr="004002AE">
        <w:rPr>
          <w:lang w:val="es-ES"/>
        </w:rPr>
        <w:t>durante</w:t>
      </w:r>
      <w:r w:rsidR="00D136BB">
        <w:rPr>
          <w:lang w:val="es-ES"/>
        </w:rPr>
        <w:t xml:space="preserve"> </w:t>
      </w:r>
      <w:r w:rsidRPr="004002AE">
        <w:rPr>
          <w:lang w:val="es-ES"/>
        </w:rPr>
        <w:t>el</w:t>
      </w:r>
      <w:r w:rsidR="00D136BB">
        <w:rPr>
          <w:lang w:val="es-ES"/>
        </w:rPr>
        <w:t xml:space="preserve"> </w:t>
      </w:r>
      <w:r w:rsidRPr="004002AE">
        <w:rPr>
          <w:lang w:val="es-ES"/>
        </w:rPr>
        <w:t>transporte.</w:t>
      </w:r>
    </w:p>
    <w:p w14:paraId="235DA184" w14:textId="5F08B624" w:rsidR="004002AE" w:rsidRDefault="004002AE" w:rsidP="00BE3BCB">
      <w:pPr>
        <w:pStyle w:val="BodyText"/>
        <w:numPr>
          <w:ilvl w:val="0"/>
          <w:numId w:val="59"/>
        </w:numPr>
        <w:rPr>
          <w:lang w:val="es-ES"/>
        </w:rPr>
      </w:pPr>
      <w:r w:rsidRPr="004002AE">
        <w:rPr>
          <w:lang w:val="es-ES"/>
        </w:rPr>
        <w:t>R9.</w:t>
      </w:r>
      <w:r w:rsidR="00D136BB">
        <w:rPr>
          <w:lang w:val="es-ES"/>
        </w:rPr>
        <w:t xml:space="preserve"> </w:t>
      </w:r>
      <w:r w:rsidRPr="004002AE">
        <w:rPr>
          <w:lang w:val="es-ES"/>
        </w:rPr>
        <w:t>Insuficiente</w:t>
      </w:r>
      <w:r w:rsidR="00D136BB">
        <w:rPr>
          <w:lang w:val="es-ES"/>
        </w:rPr>
        <w:t xml:space="preserve"> </w:t>
      </w:r>
      <w:r w:rsidRPr="004002AE">
        <w:rPr>
          <w:lang w:val="es-ES"/>
        </w:rPr>
        <w:t>implementación</w:t>
      </w:r>
      <w:r w:rsidR="00D136BB">
        <w:rPr>
          <w:lang w:val="es-ES"/>
        </w:rPr>
        <w:t xml:space="preserve"> </w:t>
      </w:r>
      <w:r w:rsidRPr="004002AE">
        <w:rPr>
          <w:lang w:val="es-ES"/>
        </w:rPr>
        <w:t>de</w:t>
      </w:r>
      <w:r w:rsidR="00D136BB">
        <w:rPr>
          <w:lang w:val="es-ES"/>
        </w:rPr>
        <w:t xml:space="preserve"> </w:t>
      </w:r>
      <w:r w:rsidRPr="004002AE">
        <w:rPr>
          <w:lang w:val="es-ES"/>
        </w:rPr>
        <w:t>los</w:t>
      </w:r>
      <w:r w:rsidR="00D136BB">
        <w:rPr>
          <w:lang w:val="es-ES"/>
        </w:rPr>
        <w:t xml:space="preserve"> </w:t>
      </w:r>
      <w:r w:rsidRPr="004002AE">
        <w:rPr>
          <w:lang w:val="es-ES"/>
        </w:rPr>
        <w:t>requisitos</w:t>
      </w:r>
      <w:r w:rsidR="00D136BB">
        <w:rPr>
          <w:lang w:val="es-ES"/>
        </w:rPr>
        <w:t xml:space="preserve"> </w:t>
      </w:r>
      <w:r w:rsidRPr="004002AE">
        <w:rPr>
          <w:lang w:val="es-ES"/>
        </w:rPr>
        <w:t>internacionales</w:t>
      </w:r>
      <w:r w:rsidR="00D136BB">
        <w:rPr>
          <w:lang w:val="es-ES"/>
        </w:rPr>
        <w:t xml:space="preserve"> </w:t>
      </w:r>
      <w:r w:rsidRPr="004002AE">
        <w:rPr>
          <w:lang w:val="es-ES"/>
        </w:rPr>
        <w:t>de</w:t>
      </w:r>
      <w:r w:rsidR="00D136BB">
        <w:rPr>
          <w:lang w:val="es-ES"/>
        </w:rPr>
        <w:t xml:space="preserve"> </w:t>
      </w:r>
      <w:r w:rsidRPr="004002AE">
        <w:rPr>
          <w:lang w:val="es-ES"/>
        </w:rPr>
        <w:t>liderazgo</w:t>
      </w:r>
      <w:r w:rsidR="00D136BB">
        <w:rPr>
          <w:lang w:val="es-ES"/>
        </w:rPr>
        <w:t xml:space="preserve"> </w:t>
      </w:r>
      <w:r w:rsidRPr="004002AE">
        <w:rPr>
          <w:lang w:val="es-ES"/>
        </w:rPr>
        <w:t>y</w:t>
      </w:r>
      <w:r w:rsidR="00D136BB">
        <w:rPr>
          <w:lang w:val="es-ES"/>
        </w:rPr>
        <w:t xml:space="preserve"> </w:t>
      </w:r>
      <w:r w:rsidRPr="004002AE">
        <w:rPr>
          <w:lang w:val="es-ES"/>
        </w:rPr>
        <w:t>gestión</w:t>
      </w:r>
      <w:r w:rsidR="00D136BB">
        <w:rPr>
          <w:lang w:val="es-ES"/>
        </w:rPr>
        <w:t xml:space="preserve"> </w:t>
      </w:r>
      <w:r w:rsidRPr="004002AE">
        <w:rPr>
          <w:lang w:val="es-ES"/>
        </w:rPr>
        <w:t>para</w:t>
      </w:r>
      <w:r w:rsidR="00D136BB">
        <w:rPr>
          <w:lang w:val="es-ES"/>
        </w:rPr>
        <w:t xml:space="preserve"> </w:t>
      </w:r>
      <w:r w:rsidRPr="004002AE">
        <w:rPr>
          <w:lang w:val="es-ES"/>
        </w:rPr>
        <w:t>la</w:t>
      </w:r>
      <w:r w:rsidR="00D136BB">
        <w:rPr>
          <w:lang w:val="es-ES"/>
        </w:rPr>
        <w:t xml:space="preserve"> </w:t>
      </w:r>
      <w:r w:rsidRPr="004002AE">
        <w:rPr>
          <w:lang w:val="es-ES"/>
        </w:rPr>
        <w:t>seguridad</w:t>
      </w:r>
      <w:r w:rsidR="00D136BB">
        <w:rPr>
          <w:lang w:val="es-ES"/>
        </w:rPr>
        <w:t xml:space="preserve"> </w:t>
      </w:r>
      <w:r w:rsidRPr="004002AE">
        <w:rPr>
          <w:lang w:val="es-ES"/>
        </w:rPr>
        <w:t>en</w:t>
      </w:r>
      <w:r w:rsidR="00D136BB">
        <w:rPr>
          <w:lang w:val="es-ES"/>
        </w:rPr>
        <w:t xml:space="preserve"> </w:t>
      </w:r>
      <w:r w:rsidRPr="004002AE">
        <w:rPr>
          <w:lang w:val="es-ES"/>
        </w:rPr>
        <w:t>usuarios</w:t>
      </w:r>
      <w:r w:rsidR="00D136BB">
        <w:rPr>
          <w:lang w:val="es-ES"/>
        </w:rPr>
        <w:t xml:space="preserve"> </w:t>
      </w:r>
      <w:r w:rsidRPr="004002AE">
        <w:rPr>
          <w:lang w:val="es-ES"/>
        </w:rPr>
        <w:t>finales,</w:t>
      </w:r>
      <w:r w:rsidR="00D136BB">
        <w:rPr>
          <w:lang w:val="es-ES"/>
        </w:rPr>
        <w:t xml:space="preserve"> </w:t>
      </w:r>
      <w:r w:rsidRPr="004002AE">
        <w:rPr>
          <w:lang w:val="es-ES"/>
        </w:rPr>
        <w:t>servicios</w:t>
      </w:r>
      <w:r w:rsidR="00D136BB">
        <w:rPr>
          <w:lang w:val="es-ES"/>
        </w:rPr>
        <w:t xml:space="preserve"> </w:t>
      </w:r>
      <w:r w:rsidRPr="004002AE">
        <w:rPr>
          <w:lang w:val="es-ES"/>
        </w:rPr>
        <w:t>de</w:t>
      </w:r>
      <w:r w:rsidR="00D136BB">
        <w:rPr>
          <w:lang w:val="es-ES"/>
        </w:rPr>
        <w:t xml:space="preserve"> </w:t>
      </w:r>
      <w:r w:rsidRPr="004002AE">
        <w:rPr>
          <w:lang w:val="es-ES"/>
        </w:rPr>
        <w:t>apoyo</w:t>
      </w:r>
      <w:r w:rsidR="00D136BB">
        <w:rPr>
          <w:lang w:val="es-ES"/>
        </w:rPr>
        <w:t xml:space="preserve"> </w:t>
      </w:r>
      <w:r w:rsidRPr="004002AE">
        <w:rPr>
          <w:lang w:val="es-ES"/>
        </w:rPr>
        <w:t>científico-técnicos</w:t>
      </w:r>
      <w:r w:rsidR="00D136BB">
        <w:rPr>
          <w:lang w:val="es-ES"/>
        </w:rPr>
        <w:t xml:space="preserve"> </w:t>
      </w:r>
      <w:r w:rsidRPr="004002AE">
        <w:rPr>
          <w:lang w:val="es-ES"/>
        </w:rPr>
        <w:t>y</w:t>
      </w:r>
      <w:r w:rsidR="00D136BB">
        <w:rPr>
          <w:lang w:val="es-ES"/>
        </w:rPr>
        <w:t xml:space="preserve"> </w:t>
      </w:r>
      <w:r w:rsidRPr="004002AE">
        <w:rPr>
          <w:lang w:val="es-ES"/>
        </w:rPr>
        <w:t>reguladores.</w:t>
      </w:r>
    </w:p>
    <w:p w14:paraId="3A401FB9" w14:textId="0F662FE4" w:rsidR="004002AE" w:rsidRDefault="004002AE" w:rsidP="00BE3BCB">
      <w:pPr>
        <w:pStyle w:val="BodyText"/>
        <w:numPr>
          <w:ilvl w:val="0"/>
          <w:numId w:val="59"/>
        </w:numPr>
        <w:rPr>
          <w:lang w:val="es-ES"/>
        </w:rPr>
      </w:pPr>
      <w:r w:rsidRPr="004002AE">
        <w:rPr>
          <w:lang w:val="es-ES"/>
        </w:rPr>
        <w:t>R10</w:t>
      </w:r>
      <w:r>
        <w:rPr>
          <w:lang w:val="es-ES"/>
        </w:rPr>
        <w:t>.</w:t>
      </w:r>
      <w:r w:rsidR="00D136BB">
        <w:rPr>
          <w:lang w:val="es-ES"/>
        </w:rPr>
        <w:t xml:space="preserve"> </w:t>
      </w:r>
      <w:r w:rsidRPr="004002AE">
        <w:rPr>
          <w:lang w:val="es-ES"/>
        </w:rPr>
        <w:t>Limitada</w:t>
      </w:r>
      <w:r w:rsidR="00D136BB">
        <w:rPr>
          <w:lang w:val="es-ES"/>
        </w:rPr>
        <w:t xml:space="preserve"> </w:t>
      </w:r>
      <w:r w:rsidRPr="004002AE">
        <w:rPr>
          <w:lang w:val="es-ES"/>
        </w:rPr>
        <w:t>capacidad</w:t>
      </w:r>
      <w:r w:rsidR="00D136BB">
        <w:rPr>
          <w:lang w:val="es-ES"/>
        </w:rPr>
        <w:t xml:space="preserve"> </w:t>
      </w:r>
      <w:r w:rsidRPr="004002AE">
        <w:rPr>
          <w:lang w:val="es-ES"/>
        </w:rPr>
        <w:t>para</w:t>
      </w:r>
      <w:r w:rsidR="00D136BB">
        <w:rPr>
          <w:lang w:val="es-ES"/>
        </w:rPr>
        <w:t xml:space="preserve"> </w:t>
      </w:r>
      <w:r w:rsidRPr="004002AE">
        <w:rPr>
          <w:lang w:val="es-ES"/>
        </w:rPr>
        <w:t>la</w:t>
      </w:r>
      <w:r w:rsidR="00D136BB">
        <w:rPr>
          <w:lang w:val="es-ES"/>
        </w:rPr>
        <w:t xml:space="preserve"> </w:t>
      </w:r>
      <w:r w:rsidRPr="004002AE">
        <w:rPr>
          <w:lang w:val="es-ES"/>
        </w:rPr>
        <w:t>evaluación</w:t>
      </w:r>
      <w:r w:rsidR="00D136BB">
        <w:rPr>
          <w:lang w:val="es-ES"/>
        </w:rPr>
        <w:t xml:space="preserve"> </w:t>
      </w:r>
      <w:r w:rsidRPr="004002AE">
        <w:rPr>
          <w:lang w:val="es-ES"/>
        </w:rPr>
        <w:t>de</w:t>
      </w:r>
      <w:r w:rsidR="00D136BB">
        <w:rPr>
          <w:lang w:val="es-ES"/>
        </w:rPr>
        <w:t xml:space="preserve"> </w:t>
      </w:r>
      <w:r w:rsidRPr="004002AE">
        <w:rPr>
          <w:lang w:val="es-ES"/>
        </w:rPr>
        <w:t>seguridad</w:t>
      </w:r>
      <w:r w:rsidR="00D136BB">
        <w:rPr>
          <w:lang w:val="es-ES"/>
        </w:rPr>
        <w:t xml:space="preserve"> </w:t>
      </w:r>
      <w:r w:rsidRPr="004002AE">
        <w:rPr>
          <w:lang w:val="es-ES"/>
        </w:rPr>
        <w:t>de</w:t>
      </w:r>
      <w:r w:rsidR="00D136BB">
        <w:rPr>
          <w:lang w:val="es-ES"/>
        </w:rPr>
        <w:t xml:space="preserve"> </w:t>
      </w:r>
      <w:r w:rsidRPr="004002AE">
        <w:rPr>
          <w:lang w:val="es-ES"/>
        </w:rPr>
        <w:t>instalaciones</w:t>
      </w:r>
      <w:r w:rsidR="00D136BB">
        <w:rPr>
          <w:lang w:val="es-ES"/>
        </w:rPr>
        <w:t xml:space="preserve"> </w:t>
      </w:r>
      <w:r w:rsidRPr="004002AE">
        <w:rPr>
          <w:lang w:val="es-ES"/>
        </w:rPr>
        <w:t>y</w:t>
      </w:r>
      <w:r w:rsidR="00D136BB">
        <w:rPr>
          <w:lang w:val="es-ES"/>
        </w:rPr>
        <w:t xml:space="preserve"> </w:t>
      </w:r>
      <w:r w:rsidRPr="004002AE">
        <w:rPr>
          <w:lang w:val="es-ES"/>
        </w:rPr>
        <w:t>actividades,</w:t>
      </w:r>
      <w:r w:rsidR="00D136BB">
        <w:rPr>
          <w:lang w:val="es-ES"/>
        </w:rPr>
        <w:t xml:space="preserve"> </w:t>
      </w:r>
      <w:r w:rsidRPr="004002AE">
        <w:rPr>
          <w:lang w:val="es-ES"/>
        </w:rPr>
        <w:t>con</w:t>
      </w:r>
      <w:r w:rsidR="00D136BB">
        <w:rPr>
          <w:lang w:val="es-ES"/>
        </w:rPr>
        <w:t xml:space="preserve"> </w:t>
      </w:r>
      <w:r w:rsidRPr="004002AE">
        <w:rPr>
          <w:lang w:val="es-ES"/>
        </w:rPr>
        <w:t>énfasis</w:t>
      </w:r>
      <w:r w:rsidR="00D136BB">
        <w:rPr>
          <w:lang w:val="es-ES"/>
        </w:rPr>
        <w:t xml:space="preserve"> </w:t>
      </w:r>
      <w:r w:rsidRPr="004002AE">
        <w:rPr>
          <w:lang w:val="es-ES"/>
        </w:rPr>
        <w:t>en</w:t>
      </w:r>
      <w:r w:rsidR="00D136BB">
        <w:rPr>
          <w:lang w:val="es-ES"/>
        </w:rPr>
        <w:t xml:space="preserve"> </w:t>
      </w:r>
      <w:r w:rsidRPr="004002AE">
        <w:rPr>
          <w:lang w:val="es-ES"/>
        </w:rPr>
        <w:t>reactores,</w:t>
      </w:r>
      <w:r w:rsidR="00D136BB">
        <w:rPr>
          <w:lang w:val="es-ES"/>
        </w:rPr>
        <w:t xml:space="preserve"> </w:t>
      </w:r>
      <w:r w:rsidRPr="004002AE">
        <w:rPr>
          <w:lang w:val="es-ES"/>
        </w:rPr>
        <w:t>ciclotrones,</w:t>
      </w:r>
      <w:r w:rsidR="00D136BB">
        <w:rPr>
          <w:lang w:val="es-ES"/>
        </w:rPr>
        <w:t xml:space="preserve"> </w:t>
      </w:r>
      <w:r w:rsidRPr="004002AE">
        <w:rPr>
          <w:lang w:val="es-ES"/>
        </w:rPr>
        <w:t>radiofarmacia</w:t>
      </w:r>
      <w:r w:rsidR="00D136BB">
        <w:rPr>
          <w:lang w:val="es-ES"/>
        </w:rPr>
        <w:t xml:space="preserve"> </w:t>
      </w:r>
      <w:r w:rsidRPr="004002AE">
        <w:rPr>
          <w:lang w:val="es-ES"/>
        </w:rPr>
        <w:t>y</w:t>
      </w:r>
      <w:r w:rsidR="00D136BB">
        <w:rPr>
          <w:lang w:val="es-ES"/>
        </w:rPr>
        <w:t xml:space="preserve"> </w:t>
      </w:r>
      <w:r w:rsidRPr="004002AE">
        <w:rPr>
          <w:lang w:val="es-ES"/>
        </w:rPr>
        <w:t>en</w:t>
      </w:r>
      <w:r w:rsidR="00D136BB">
        <w:rPr>
          <w:lang w:val="es-ES"/>
        </w:rPr>
        <w:t xml:space="preserve"> </w:t>
      </w:r>
      <w:r w:rsidRPr="004002AE">
        <w:rPr>
          <w:lang w:val="es-ES"/>
        </w:rPr>
        <w:t>situaciones</w:t>
      </w:r>
      <w:r w:rsidR="00D136BB">
        <w:rPr>
          <w:lang w:val="es-ES"/>
        </w:rPr>
        <w:t xml:space="preserve"> </w:t>
      </w:r>
      <w:r w:rsidRPr="004002AE">
        <w:rPr>
          <w:lang w:val="es-ES"/>
        </w:rPr>
        <w:t>de</w:t>
      </w:r>
      <w:r w:rsidR="00D136BB">
        <w:rPr>
          <w:lang w:val="es-ES"/>
        </w:rPr>
        <w:t xml:space="preserve"> </w:t>
      </w:r>
      <w:r w:rsidRPr="004002AE">
        <w:rPr>
          <w:lang w:val="es-ES"/>
        </w:rPr>
        <w:t>exposiciones</w:t>
      </w:r>
      <w:r w:rsidR="00D136BB">
        <w:rPr>
          <w:lang w:val="es-ES"/>
        </w:rPr>
        <w:t xml:space="preserve"> </w:t>
      </w:r>
      <w:r w:rsidRPr="004002AE">
        <w:rPr>
          <w:lang w:val="es-ES"/>
        </w:rPr>
        <w:t>existentes.</w:t>
      </w:r>
    </w:p>
    <w:p w14:paraId="5BB3A42A" w14:textId="77777777" w:rsidR="00BE3BCB" w:rsidRPr="004002AE" w:rsidRDefault="00BE3BCB" w:rsidP="00D337FF">
      <w:pPr>
        <w:pStyle w:val="BodyText"/>
        <w:rPr>
          <w:lang w:val="es-ES"/>
        </w:rPr>
      </w:pPr>
    </w:p>
    <w:p w14:paraId="3E006BAD" w14:textId="6BD12194" w:rsidR="00E962FA" w:rsidRDefault="004002AE" w:rsidP="00BE3BCB">
      <w:pPr>
        <w:pStyle w:val="BodyText"/>
        <w:numPr>
          <w:ilvl w:val="0"/>
          <w:numId w:val="60"/>
        </w:numPr>
        <w:rPr>
          <w:lang w:val="es-ES_tradnl"/>
        </w:rPr>
      </w:pPr>
      <w:r w:rsidRPr="004002AE">
        <w:rPr>
          <w:lang w:val="es-ES_tradnl"/>
        </w:rPr>
        <w:t>Necesidades/Problemas</w:t>
      </w:r>
      <w:r w:rsidR="00D136BB">
        <w:rPr>
          <w:lang w:val="es-ES_tradnl"/>
        </w:rPr>
        <w:t xml:space="preserve"> </w:t>
      </w:r>
      <w:r w:rsidRPr="004002AE">
        <w:rPr>
          <w:lang w:val="es-ES_tradnl"/>
        </w:rPr>
        <w:t>en</w:t>
      </w:r>
      <w:r w:rsidR="00D136BB">
        <w:rPr>
          <w:lang w:val="es-ES_tradnl"/>
        </w:rPr>
        <w:t xml:space="preserve"> </w:t>
      </w:r>
      <w:r w:rsidRPr="004002AE">
        <w:rPr>
          <w:lang w:val="es-ES_tradnl"/>
        </w:rPr>
        <w:t>Tecnologías</w:t>
      </w:r>
      <w:r w:rsidR="00D136BB">
        <w:rPr>
          <w:lang w:val="es-ES_tradnl"/>
        </w:rPr>
        <w:t xml:space="preserve"> </w:t>
      </w:r>
      <w:r w:rsidRPr="004002AE">
        <w:rPr>
          <w:lang w:val="es-ES_tradnl"/>
        </w:rPr>
        <w:t>con</w:t>
      </w:r>
      <w:r w:rsidR="00D136BB">
        <w:rPr>
          <w:lang w:val="es-ES_tradnl"/>
        </w:rPr>
        <w:t xml:space="preserve"> </w:t>
      </w:r>
      <w:r w:rsidRPr="004002AE">
        <w:rPr>
          <w:lang w:val="es-ES_tradnl"/>
        </w:rPr>
        <w:t>Radiación:</w:t>
      </w:r>
    </w:p>
    <w:p w14:paraId="300E2AE6" w14:textId="7172F1A4" w:rsidR="00BE3BCB" w:rsidRDefault="00BE3BCB" w:rsidP="001C1B0E">
      <w:pPr>
        <w:pStyle w:val="ListParagraph"/>
        <w:numPr>
          <w:ilvl w:val="0"/>
          <w:numId w:val="61"/>
        </w:numPr>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T1.</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Tratamiento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aguas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residuales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domésticas,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industriales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farmacéuticas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por</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procesamiento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radiación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(fármacos,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compuestos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orgánicos,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contaminación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biológica,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microplásticos,</w:t>
      </w:r>
      <w:r w:rsidR="00D136BB">
        <w:rPr>
          <w:rFonts w:ascii="Times New Roman" w:eastAsia="Times New Roman" w:hAnsi="Times New Roman" w:cs="Times New Roman"/>
          <w:sz w:val="24"/>
          <w:szCs w:val="20"/>
        </w:rPr>
        <w:t xml:space="preserve"> </w:t>
      </w:r>
      <w:r w:rsidR="007F08BA" w:rsidRPr="00BE3BCB">
        <w:rPr>
          <w:rFonts w:ascii="Times New Roman" w:eastAsia="Times New Roman" w:hAnsi="Times New Roman" w:cs="Times New Roman"/>
          <w:sz w:val="24"/>
          <w:szCs w:val="20"/>
        </w:rPr>
        <w:t>etc.</w:t>
      </w:r>
      <w:r w:rsidRPr="00BE3BCB">
        <w:rPr>
          <w:rFonts w:ascii="Times New Roman" w:eastAsia="Times New Roman" w:hAnsi="Times New Roman" w:cs="Times New Roman"/>
          <w:sz w:val="24"/>
          <w:szCs w:val="20"/>
        </w:rPr>
        <w:t>)</w:t>
      </w:r>
      <w:r>
        <w:rPr>
          <w:rFonts w:ascii="Times New Roman" w:eastAsia="Times New Roman" w:hAnsi="Times New Roman" w:cs="Times New Roman"/>
          <w:sz w:val="24"/>
          <w:szCs w:val="20"/>
        </w:rPr>
        <w:t>.</w:t>
      </w:r>
      <w:r w:rsidR="00D136BB">
        <w:rPr>
          <w:rFonts w:ascii="Times New Roman" w:eastAsia="Times New Roman" w:hAnsi="Times New Roman" w:cs="Times New Roman"/>
          <w:sz w:val="24"/>
          <w:szCs w:val="20"/>
        </w:rPr>
        <w:t xml:space="preserve"> </w:t>
      </w:r>
    </w:p>
    <w:p w14:paraId="3561B0F7" w14:textId="77777777" w:rsidR="00BE3BCB" w:rsidRPr="00BE3BCB" w:rsidRDefault="00BE3BCB" w:rsidP="001C1B0E">
      <w:pPr>
        <w:pStyle w:val="ListParagraph"/>
        <w:rPr>
          <w:rFonts w:ascii="Times New Roman" w:eastAsia="Times New Roman" w:hAnsi="Times New Roman" w:cs="Times New Roman"/>
          <w:sz w:val="24"/>
          <w:szCs w:val="20"/>
        </w:rPr>
      </w:pPr>
    </w:p>
    <w:p w14:paraId="6111EC56" w14:textId="4C4FBFC2" w:rsidR="00BE3BCB" w:rsidRDefault="00BE3BCB" w:rsidP="001C1B0E">
      <w:pPr>
        <w:pStyle w:val="ListParagraph"/>
        <w:numPr>
          <w:ilvl w:val="0"/>
          <w:numId w:val="61"/>
        </w:numPr>
        <w:spacing w:after="0" w:line="240" w:lineRule="auto"/>
        <w:ind w:left="717" w:hanging="357"/>
        <w:rPr>
          <w:rFonts w:ascii="Times New Roman" w:eastAsia="Times New Roman" w:hAnsi="Times New Roman" w:cs="Times New Roman"/>
          <w:sz w:val="24"/>
          <w:szCs w:val="20"/>
        </w:rPr>
      </w:pPr>
      <w:r>
        <w:rPr>
          <w:rFonts w:ascii="Times New Roman" w:eastAsia="Times New Roman" w:hAnsi="Times New Roman" w:cs="Times New Roman"/>
          <w:sz w:val="24"/>
          <w:szCs w:val="20"/>
        </w:rPr>
        <w:t>T2.</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Tratamiento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fitosanitario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alimentos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frescos,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congelados,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deshidratados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procesados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por</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radiación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ionizante.</w:t>
      </w:r>
    </w:p>
    <w:p w14:paraId="7E4D09C9" w14:textId="77777777" w:rsidR="00BE3BCB" w:rsidRPr="00BE3BCB" w:rsidRDefault="00BE3BCB" w:rsidP="001C1B0E">
      <w:pPr>
        <w:spacing w:after="0" w:line="240" w:lineRule="auto"/>
        <w:rPr>
          <w:rFonts w:ascii="Times New Roman" w:eastAsia="Times New Roman" w:hAnsi="Times New Roman" w:cs="Times New Roman"/>
          <w:sz w:val="24"/>
          <w:szCs w:val="20"/>
        </w:rPr>
      </w:pPr>
    </w:p>
    <w:p w14:paraId="595EA408" w14:textId="66C3BA0D" w:rsidR="00BE3BCB" w:rsidRDefault="00BE3BCB" w:rsidP="001C1B0E">
      <w:pPr>
        <w:pStyle w:val="ListParagraph"/>
        <w:numPr>
          <w:ilvl w:val="0"/>
          <w:numId w:val="61"/>
        </w:numPr>
        <w:spacing w:after="0" w:line="240" w:lineRule="auto"/>
        <w:ind w:left="717" w:hanging="357"/>
        <w:rPr>
          <w:rFonts w:ascii="Times New Roman" w:eastAsia="Times New Roman" w:hAnsi="Times New Roman" w:cs="Times New Roman"/>
          <w:sz w:val="24"/>
          <w:szCs w:val="20"/>
        </w:rPr>
      </w:pPr>
      <w:r>
        <w:rPr>
          <w:rFonts w:ascii="Times New Roman" w:eastAsia="Times New Roman" w:hAnsi="Times New Roman" w:cs="Times New Roman"/>
          <w:sz w:val="24"/>
          <w:szCs w:val="20"/>
        </w:rPr>
        <w:t>T3.</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Harmonización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sistemas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control</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gestión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calidad</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irradiadores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(QA/QC)</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inter-comparaciones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dosimétricas</w:t>
      </w:r>
      <w:r>
        <w:rPr>
          <w:rFonts w:ascii="Times New Roman" w:eastAsia="Times New Roman" w:hAnsi="Times New Roman" w:cs="Times New Roman"/>
          <w:sz w:val="24"/>
          <w:szCs w:val="20"/>
        </w:rPr>
        <w:t>.</w:t>
      </w:r>
    </w:p>
    <w:p w14:paraId="383D9777" w14:textId="77777777" w:rsidR="00BE3BCB" w:rsidRPr="00BE3BCB" w:rsidRDefault="00BE3BCB" w:rsidP="001C1B0E">
      <w:pPr>
        <w:spacing w:after="0" w:line="240" w:lineRule="auto"/>
        <w:rPr>
          <w:rFonts w:ascii="Times New Roman" w:eastAsia="Times New Roman" w:hAnsi="Times New Roman" w:cs="Times New Roman"/>
          <w:sz w:val="24"/>
          <w:szCs w:val="20"/>
        </w:rPr>
      </w:pPr>
    </w:p>
    <w:p w14:paraId="38606B41" w14:textId="4DE1E193" w:rsidR="00BE3BCB" w:rsidRDefault="00BE3BCB" w:rsidP="001C1B0E">
      <w:pPr>
        <w:pStyle w:val="ListParagraph"/>
        <w:numPr>
          <w:ilvl w:val="0"/>
          <w:numId w:val="61"/>
        </w:numPr>
        <w:spacing w:after="0" w:line="240" w:lineRule="auto"/>
        <w:ind w:left="717" w:hanging="357"/>
        <w:rPr>
          <w:rFonts w:ascii="Times New Roman" w:eastAsia="Times New Roman" w:hAnsi="Times New Roman" w:cs="Times New Roman"/>
          <w:sz w:val="24"/>
          <w:szCs w:val="20"/>
        </w:rPr>
      </w:pPr>
      <w:r>
        <w:rPr>
          <w:rFonts w:ascii="Times New Roman" w:eastAsia="Times New Roman" w:hAnsi="Times New Roman" w:cs="Times New Roman"/>
          <w:sz w:val="24"/>
          <w:szCs w:val="20"/>
        </w:rPr>
        <w:t>T4.</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Desarrollo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materiales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innovadores,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competitivos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amigables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el</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medio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ambiente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para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la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salud,</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agricultura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industria,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empleando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tecnologías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radiación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(nanotecnología,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materiales</w:t>
      </w:r>
      <w:r w:rsidR="00D136BB">
        <w:rPr>
          <w:rFonts w:ascii="Times New Roman" w:eastAsia="Times New Roman" w:hAnsi="Times New Roman" w:cs="Times New Roman"/>
          <w:sz w:val="24"/>
          <w:szCs w:val="20"/>
        </w:rPr>
        <w:t xml:space="preserve"> </w:t>
      </w:r>
      <w:r w:rsidR="007F08BA" w:rsidRPr="00BE3BCB">
        <w:rPr>
          <w:rFonts w:ascii="Times New Roman" w:eastAsia="Times New Roman" w:hAnsi="Times New Roman" w:cs="Times New Roman"/>
          <w:sz w:val="24"/>
          <w:szCs w:val="20"/>
        </w:rPr>
        <w:t>compuestos,</w:t>
      </w:r>
      <w:r w:rsidR="00D136BB">
        <w:rPr>
          <w:rFonts w:ascii="Times New Roman" w:eastAsia="Times New Roman" w:hAnsi="Times New Roman" w:cs="Times New Roman"/>
          <w:sz w:val="24"/>
          <w:szCs w:val="20"/>
        </w:rPr>
        <w:t xml:space="preserve"> </w:t>
      </w:r>
      <w:r w:rsidR="007F08BA" w:rsidRPr="00BE3BCB">
        <w:rPr>
          <w:rFonts w:ascii="Times New Roman" w:eastAsia="Times New Roman" w:hAnsi="Times New Roman" w:cs="Times New Roman"/>
          <w:sz w:val="24"/>
          <w:szCs w:val="20"/>
        </w:rPr>
        <w:t>nuevas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fórmulas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curables,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etc.)</w:t>
      </w:r>
      <w:r>
        <w:rPr>
          <w:rFonts w:ascii="Times New Roman" w:eastAsia="Times New Roman" w:hAnsi="Times New Roman" w:cs="Times New Roman"/>
          <w:sz w:val="24"/>
          <w:szCs w:val="20"/>
        </w:rPr>
        <w:t>.</w:t>
      </w:r>
    </w:p>
    <w:p w14:paraId="2B120ACA" w14:textId="77777777" w:rsidR="00BE3BCB" w:rsidRPr="00BE3BCB" w:rsidRDefault="00BE3BCB" w:rsidP="001C1B0E">
      <w:pPr>
        <w:spacing w:after="0" w:line="240" w:lineRule="auto"/>
        <w:rPr>
          <w:rFonts w:ascii="Times New Roman" w:eastAsia="Times New Roman" w:hAnsi="Times New Roman" w:cs="Times New Roman"/>
          <w:sz w:val="24"/>
          <w:szCs w:val="20"/>
        </w:rPr>
      </w:pPr>
    </w:p>
    <w:p w14:paraId="05127723" w14:textId="61139926" w:rsidR="00BE3BCB" w:rsidRDefault="00BE3BCB" w:rsidP="001C1B0E">
      <w:pPr>
        <w:pStyle w:val="ListParagraph"/>
        <w:numPr>
          <w:ilvl w:val="0"/>
          <w:numId w:val="61"/>
        </w:numPr>
        <w:spacing w:after="0" w:line="240" w:lineRule="auto"/>
        <w:ind w:left="717" w:hanging="357"/>
        <w:rPr>
          <w:rFonts w:ascii="Times New Roman" w:eastAsia="Times New Roman" w:hAnsi="Times New Roman" w:cs="Times New Roman"/>
          <w:sz w:val="24"/>
          <w:szCs w:val="20"/>
        </w:rPr>
      </w:pPr>
      <w:r>
        <w:rPr>
          <w:rFonts w:ascii="Times New Roman" w:eastAsia="Times New Roman" w:hAnsi="Times New Roman" w:cs="Times New Roman"/>
          <w:sz w:val="24"/>
          <w:szCs w:val="20"/>
        </w:rPr>
        <w:t>T5.</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Aumento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la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competitividad</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la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industria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por</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medio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la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optimización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procesos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disminución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del</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impacto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ambiental,</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utilizando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tecnologías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con</w:t>
      </w:r>
      <w:r w:rsidR="00D136BB">
        <w:rPr>
          <w:rFonts w:ascii="Times New Roman" w:eastAsia="Times New Roman" w:hAnsi="Times New Roman" w:cs="Times New Roman"/>
          <w:sz w:val="24"/>
          <w:szCs w:val="20"/>
        </w:rPr>
        <w:t xml:space="preserve"> </w:t>
      </w:r>
      <w:r w:rsidR="007F08BA" w:rsidRPr="00BE3BCB">
        <w:rPr>
          <w:rFonts w:ascii="Times New Roman" w:eastAsia="Times New Roman" w:hAnsi="Times New Roman" w:cs="Times New Roman"/>
          <w:sz w:val="24"/>
          <w:szCs w:val="20"/>
        </w:rPr>
        <w:t>radiación</w:t>
      </w:r>
      <w:r w:rsidR="00D136BB">
        <w:rPr>
          <w:rFonts w:ascii="Times New Roman" w:eastAsia="Times New Roman" w:hAnsi="Times New Roman" w:cs="Times New Roman"/>
          <w:sz w:val="24"/>
          <w:szCs w:val="20"/>
        </w:rPr>
        <w:t xml:space="preserve"> </w:t>
      </w:r>
      <w:r w:rsidR="007F08BA" w:rsidRPr="00BE3BCB">
        <w:rPr>
          <w:rFonts w:ascii="Times New Roman" w:eastAsia="Times New Roman" w:hAnsi="Times New Roman" w:cs="Times New Roman"/>
          <w:sz w:val="24"/>
          <w:szCs w:val="20"/>
        </w:rPr>
        <w:t>(</w:t>
      </w:r>
      <w:r w:rsidRPr="00BE3BCB">
        <w:rPr>
          <w:rFonts w:ascii="Times New Roman" w:eastAsia="Times New Roman" w:hAnsi="Times New Roman" w:cs="Times New Roman"/>
          <w:sz w:val="24"/>
          <w:szCs w:val="20"/>
        </w:rPr>
        <w:t>trazadores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aplicaciones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fuentes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selladas)</w:t>
      </w:r>
      <w:r>
        <w:rPr>
          <w:rFonts w:ascii="Times New Roman" w:eastAsia="Times New Roman" w:hAnsi="Times New Roman" w:cs="Times New Roman"/>
          <w:sz w:val="24"/>
          <w:szCs w:val="20"/>
        </w:rPr>
        <w:t>.</w:t>
      </w:r>
    </w:p>
    <w:p w14:paraId="3B8A8E69" w14:textId="77777777" w:rsidR="00BE3BCB" w:rsidRPr="00BE3BCB" w:rsidRDefault="00BE3BCB" w:rsidP="001C1B0E">
      <w:pPr>
        <w:spacing w:after="0" w:line="240" w:lineRule="auto"/>
        <w:rPr>
          <w:rFonts w:ascii="Times New Roman" w:eastAsia="Times New Roman" w:hAnsi="Times New Roman" w:cs="Times New Roman"/>
          <w:sz w:val="24"/>
          <w:szCs w:val="20"/>
        </w:rPr>
      </w:pPr>
    </w:p>
    <w:p w14:paraId="4761206E" w14:textId="235D20C1" w:rsidR="00BE3BCB" w:rsidRDefault="00BE3BCB" w:rsidP="001C1B0E">
      <w:pPr>
        <w:pStyle w:val="ListParagraph"/>
        <w:numPr>
          <w:ilvl w:val="0"/>
          <w:numId w:val="61"/>
        </w:numPr>
        <w:spacing w:after="0" w:line="240" w:lineRule="auto"/>
        <w:ind w:left="717" w:hanging="357"/>
        <w:rPr>
          <w:rFonts w:ascii="Times New Roman" w:eastAsia="Times New Roman" w:hAnsi="Times New Roman" w:cs="Times New Roman"/>
          <w:sz w:val="24"/>
          <w:szCs w:val="20"/>
        </w:rPr>
      </w:pPr>
      <w:r>
        <w:rPr>
          <w:rFonts w:ascii="Times New Roman" w:eastAsia="Times New Roman" w:hAnsi="Times New Roman" w:cs="Times New Roman"/>
          <w:sz w:val="24"/>
          <w:szCs w:val="20"/>
        </w:rPr>
        <w:t>T6.</w:t>
      </w:r>
      <w:r w:rsidR="00D136BB">
        <w:rPr>
          <w:rFonts w:ascii="Times New Roman" w:eastAsia="Times New Roman" w:hAnsi="Times New Roman" w:cs="Times New Roman"/>
          <w:sz w:val="24"/>
          <w:szCs w:val="20"/>
        </w:rPr>
        <w:t xml:space="preserve"> </w:t>
      </w:r>
      <w:r w:rsidR="00FA651F">
        <w:rPr>
          <w:rFonts w:ascii="Times New Roman" w:eastAsia="Times New Roman" w:hAnsi="Times New Roman" w:cs="Times New Roman"/>
          <w:sz w:val="24"/>
          <w:szCs w:val="20"/>
        </w:rPr>
        <w:t>Caracterización</w:t>
      </w:r>
      <w:r w:rsidR="00D136BB">
        <w:rPr>
          <w:rFonts w:ascii="Times New Roman" w:eastAsia="Times New Roman" w:hAnsi="Times New Roman" w:cs="Times New Roman"/>
          <w:sz w:val="24"/>
          <w:szCs w:val="20"/>
        </w:rPr>
        <w:t xml:space="preserve"> </w:t>
      </w:r>
      <w:r w:rsidR="00FA651F">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00FA651F">
        <w:rPr>
          <w:rFonts w:ascii="Times New Roman" w:eastAsia="Times New Roman" w:hAnsi="Times New Roman" w:cs="Times New Roman"/>
          <w:sz w:val="24"/>
          <w:szCs w:val="20"/>
        </w:rPr>
        <w:t>p</w:t>
      </w:r>
      <w:r w:rsidRPr="00BE3BCB">
        <w:rPr>
          <w:rFonts w:ascii="Times New Roman" w:eastAsia="Times New Roman" w:hAnsi="Times New Roman" w:cs="Times New Roman"/>
          <w:sz w:val="24"/>
          <w:szCs w:val="20"/>
        </w:rPr>
        <w:t>reservación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objetos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tangibles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patrimonio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cultural</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materiales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archivados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por</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técnicas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nucleares</w:t>
      </w:r>
      <w:r>
        <w:rPr>
          <w:rFonts w:ascii="Times New Roman" w:eastAsia="Times New Roman" w:hAnsi="Times New Roman" w:cs="Times New Roman"/>
          <w:sz w:val="24"/>
          <w:szCs w:val="20"/>
        </w:rPr>
        <w:t>.</w:t>
      </w:r>
    </w:p>
    <w:p w14:paraId="772221E2" w14:textId="77777777" w:rsidR="00BE3BCB" w:rsidRPr="00BE3BCB" w:rsidRDefault="00BE3BCB" w:rsidP="001C1B0E">
      <w:pPr>
        <w:spacing w:after="0" w:line="240" w:lineRule="auto"/>
        <w:rPr>
          <w:rFonts w:ascii="Times New Roman" w:eastAsia="Times New Roman" w:hAnsi="Times New Roman" w:cs="Times New Roman"/>
          <w:sz w:val="24"/>
          <w:szCs w:val="20"/>
        </w:rPr>
      </w:pPr>
    </w:p>
    <w:p w14:paraId="41F9C6EE" w14:textId="15A090C9" w:rsidR="00BE3BCB" w:rsidRDefault="00BE3BCB" w:rsidP="001C1B0E">
      <w:pPr>
        <w:pStyle w:val="ListParagraph"/>
        <w:numPr>
          <w:ilvl w:val="0"/>
          <w:numId w:val="61"/>
        </w:numPr>
        <w:spacing w:after="0" w:line="240" w:lineRule="auto"/>
        <w:ind w:left="717" w:hanging="357"/>
        <w:rPr>
          <w:rFonts w:ascii="Times New Roman" w:eastAsia="Times New Roman" w:hAnsi="Times New Roman" w:cs="Times New Roman"/>
          <w:sz w:val="24"/>
          <w:szCs w:val="20"/>
        </w:rPr>
      </w:pPr>
      <w:r>
        <w:rPr>
          <w:rFonts w:ascii="Times New Roman" w:eastAsia="Times New Roman" w:hAnsi="Times New Roman" w:cs="Times New Roman"/>
          <w:sz w:val="24"/>
          <w:szCs w:val="20"/>
        </w:rPr>
        <w:t>T7.</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Armonizar</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metodologías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capacitar</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personal</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acuerdo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estándares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esquemas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certificación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para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técnicas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avanzadas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ensayos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no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destructivos</w:t>
      </w:r>
      <w:r>
        <w:rPr>
          <w:rFonts w:ascii="Times New Roman" w:eastAsia="Times New Roman" w:hAnsi="Times New Roman" w:cs="Times New Roman"/>
          <w:sz w:val="24"/>
          <w:szCs w:val="20"/>
        </w:rPr>
        <w:t>.</w:t>
      </w:r>
    </w:p>
    <w:p w14:paraId="26516CD5" w14:textId="77777777" w:rsidR="00BE3BCB" w:rsidRPr="00BE3BCB" w:rsidRDefault="00BE3BCB" w:rsidP="001C1B0E">
      <w:pPr>
        <w:pStyle w:val="ListParagraph"/>
        <w:ind w:left="360"/>
        <w:rPr>
          <w:rFonts w:ascii="Times New Roman" w:eastAsia="Times New Roman" w:hAnsi="Times New Roman" w:cs="Times New Roman"/>
          <w:sz w:val="24"/>
          <w:szCs w:val="20"/>
        </w:rPr>
      </w:pPr>
    </w:p>
    <w:p w14:paraId="3CDA5ED6" w14:textId="78680246" w:rsidR="00BE3BCB" w:rsidRPr="00BE3BCB" w:rsidRDefault="00BE3BCB" w:rsidP="001C1B0E">
      <w:pPr>
        <w:pStyle w:val="ListParagraph"/>
        <w:numPr>
          <w:ilvl w:val="0"/>
          <w:numId w:val="61"/>
        </w:numPr>
        <w:spacing w:after="0" w:line="240" w:lineRule="auto"/>
        <w:ind w:left="717" w:hanging="357"/>
        <w:rPr>
          <w:rFonts w:ascii="Times New Roman" w:eastAsia="Times New Roman" w:hAnsi="Times New Roman" w:cs="Times New Roman"/>
          <w:sz w:val="24"/>
          <w:szCs w:val="20"/>
        </w:rPr>
      </w:pPr>
      <w:r>
        <w:rPr>
          <w:rFonts w:ascii="Times New Roman" w:eastAsia="Times New Roman" w:hAnsi="Times New Roman" w:cs="Times New Roman"/>
          <w:sz w:val="24"/>
          <w:szCs w:val="20"/>
        </w:rPr>
        <w:t>T8.</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Transformación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sustentable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recursos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naturales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no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tóxicos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renovables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la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región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(polímeros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naturales)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para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el</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incremento</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la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producción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agrícola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disminución</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de</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los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residuos</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y</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la</w:t>
      </w:r>
      <w:r w:rsidR="00D136BB">
        <w:rPr>
          <w:rFonts w:ascii="Times New Roman" w:eastAsia="Times New Roman" w:hAnsi="Times New Roman" w:cs="Times New Roman"/>
          <w:sz w:val="24"/>
          <w:szCs w:val="20"/>
        </w:rPr>
        <w:t xml:space="preserve"> </w:t>
      </w:r>
      <w:r w:rsidRPr="00BE3BCB">
        <w:rPr>
          <w:rFonts w:ascii="Times New Roman" w:eastAsia="Times New Roman" w:hAnsi="Times New Roman" w:cs="Times New Roman"/>
          <w:sz w:val="24"/>
          <w:szCs w:val="20"/>
        </w:rPr>
        <w:t>contaminación.</w:t>
      </w:r>
    </w:p>
    <w:p w14:paraId="7C4F08D9" w14:textId="77777777" w:rsidR="00B90D66" w:rsidRPr="00B90D66" w:rsidRDefault="00B90D66" w:rsidP="00B90D66">
      <w:pPr>
        <w:pStyle w:val="BodyText"/>
        <w:rPr>
          <w:lang w:val="es-ES"/>
        </w:rPr>
      </w:pPr>
    </w:p>
    <w:p w14:paraId="7F1360E4" w14:textId="21416836" w:rsidR="002C21C1" w:rsidRPr="00561504" w:rsidRDefault="00A11D1F" w:rsidP="00A56304">
      <w:pPr>
        <w:pStyle w:val="Heading2"/>
      </w:pPr>
      <w:bookmarkStart w:id="15" w:name="_Toc385241546"/>
      <w:bookmarkStart w:id="16" w:name="_Hlk31654172"/>
      <w:r w:rsidRPr="00561504">
        <w:t>ESTRATEGIA</w:t>
      </w:r>
      <w:r w:rsidR="00D136BB">
        <w:t xml:space="preserve"> </w:t>
      </w:r>
      <w:r w:rsidRPr="00561504">
        <w:t>PARA</w:t>
      </w:r>
      <w:r w:rsidR="00D136BB">
        <w:t xml:space="preserve"> </w:t>
      </w:r>
      <w:r w:rsidRPr="00561504">
        <w:t>LA</w:t>
      </w:r>
      <w:r w:rsidR="00D136BB">
        <w:t xml:space="preserve"> </w:t>
      </w:r>
      <w:r w:rsidRPr="00561504">
        <w:t>IMPLEMENTACIÓN</w:t>
      </w:r>
      <w:r w:rsidR="00D136BB">
        <w:t xml:space="preserve"> </w:t>
      </w:r>
      <w:r w:rsidRPr="00561504">
        <w:t>DEL</w:t>
      </w:r>
      <w:r w:rsidR="00D136BB">
        <w:t xml:space="preserve"> </w:t>
      </w:r>
      <w:bookmarkEnd w:id="9"/>
      <w:bookmarkEnd w:id="15"/>
      <w:r w:rsidR="007B1665" w:rsidRPr="007B1665">
        <w:t>PERFIL ESTRATÉGICO REGIONA</w:t>
      </w:r>
      <w:r w:rsidR="007B1665">
        <w:t>L</w:t>
      </w:r>
    </w:p>
    <w:bookmarkEnd w:id="16"/>
    <w:p w14:paraId="257918F8" w14:textId="2A4713C6" w:rsidR="00B90D66" w:rsidRPr="00C36E86" w:rsidRDefault="00B90D66" w:rsidP="00B90D66">
      <w:pPr>
        <w:pStyle w:val="BodyText"/>
        <w:rPr>
          <w:lang w:val="es-ES"/>
        </w:rPr>
      </w:pPr>
      <w:r w:rsidRPr="00C36E86">
        <w:rPr>
          <w:lang w:val="es-ES"/>
        </w:rPr>
        <w:t>Para</w:t>
      </w:r>
      <w:r w:rsidR="00D136BB">
        <w:rPr>
          <w:lang w:val="es-ES"/>
        </w:rPr>
        <w:t xml:space="preserve"> </w:t>
      </w:r>
      <w:r w:rsidRPr="00C36E86">
        <w:rPr>
          <w:lang w:val="es-ES"/>
        </w:rPr>
        <w:t>alcanzar</w:t>
      </w:r>
      <w:r w:rsidR="00D136BB">
        <w:rPr>
          <w:lang w:val="es-ES"/>
        </w:rPr>
        <w:t xml:space="preserve"> </w:t>
      </w:r>
      <w:r w:rsidRPr="00C36E86">
        <w:rPr>
          <w:lang w:val="es-ES"/>
        </w:rPr>
        <w:t>los</w:t>
      </w:r>
      <w:r w:rsidR="00D136BB">
        <w:rPr>
          <w:lang w:val="es-ES"/>
        </w:rPr>
        <w:t xml:space="preserve"> </w:t>
      </w:r>
      <w:r w:rsidRPr="00C36E86">
        <w:rPr>
          <w:lang w:val="es-ES"/>
        </w:rPr>
        <w:t>resultados</w:t>
      </w:r>
      <w:r w:rsidR="00D136BB">
        <w:rPr>
          <w:lang w:val="es-ES"/>
        </w:rPr>
        <w:t xml:space="preserve"> </w:t>
      </w:r>
      <w:r w:rsidRPr="00C36E86">
        <w:rPr>
          <w:lang w:val="es-ES"/>
        </w:rPr>
        <w:t>de</w:t>
      </w:r>
      <w:r w:rsidR="00D136BB">
        <w:rPr>
          <w:lang w:val="es-ES"/>
        </w:rPr>
        <w:t xml:space="preserve"> </w:t>
      </w:r>
      <w:r w:rsidRPr="00C36E86">
        <w:rPr>
          <w:lang w:val="es-ES"/>
        </w:rPr>
        <w:t>largo</w:t>
      </w:r>
      <w:r w:rsidR="00D136BB">
        <w:rPr>
          <w:lang w:val="es-ES"/>
        </w:rPr>
        <w:t xml:space="preserve"> </w:t>
      </w:r>
      <w:r w:rsidRPr="00C36E86">
        <w:rPr>
          <w:lang w:val="es-ES"/>
        </w:rPr>
        <w:t>plazo</w:t>
      </w:r>
      <w:r w:rsidR="00D136BB">
        <w:rPr>
          <w:lang w:val="es-ES"/>
        </w:rPr>
        <w:t xml:space="preserve"> </w:t>
      </w:r>
      <w:r w:rsidRPr="00C36E86">
        <w:rPr>
          <w:lang w:val="es-ES"/>
        </w:rPr>
        <w:t>planteados</w:t>
      </w:r>
      <w:r w:rsidR="00D136BB">
        <w:rPr>
          <w:lang w:val="es-ES"/>
        </w:rPr>
        <w:t xml:space="preserve"> </w:t>
      </w:r>
      <w:r w:rsidRPr="00C36E86">
        <w:rPr>
          <w:lang w:val="es-ES"/>
        </w:rPr>
        <w:t>en</w:t>
      </w:r>
      <w:r w:rsidR="00D136BB">
        <w:rPr>
          <w:lang w:val="es-ES"/>
        </w:rPr>
        <w:t xml:space="preserve"> </w:t>
      </w:r>
      <w:r w:rsidRPr="00C36E86">
        <w:rPr>
          <w:lang w:val="es-ES"/>
        </w:rPr>
        <w:t>el</w:t>
      </w:r>
      <w:r w:rsidR="00D136BB">
        <w:rPr>
          <w:lang w:val="es-ES"/>
        </w:rPr>
        <w:t xml:space="preserve"> </w:t>
      </w:r>
      <w:r w:rsidRPr="00C36E86">
        <w:rPr>
          <w:lang w:val="es-ES"/>
        </w:rPr>
        <w:t>PER</w:t>
      </w:r>
      <w:r w:rsidR="00D136BB">
        <w:rPr>
          <w:lang w:val="es-ES"/>
        </w:rPr>
        <w:t xml:space="preserve"> </w:t>
      </w:r>
      <w:r w:rsidRPr="00C36E86">
        <w:rPr>
          <w:lang w:val="es-ES"/>
        </w:rPr>
        <w:t>se</w:t>
      </w:r>
      <w:r w:rsidR="00D136BB">
        <w:rPr>
          <w:lang w:val="es-ES"/>
        </w:rPr>
        <w:t xml:space="preserve"> </w:t>
      </w:r>
      <w:r w:rsidRPr="00C36E86">
        <w:rPr>
          <w:lang w:val="es-ES"/>
        </w:rPr>
        <w:t>requiere</w:t>
      </w:r>
      <w:r w:rsidR="00D136BB">
        <w:rPr>
          <w:lang w:val="es-ES"/>
        </w:rPr>
        <w:t xml:space="preserve"> </w:t>
      </w:r>
      <w:r w:rsidRPr="00C36E86">
        <w:rPr>
          <w:lang w:val="es-ES"/>
        </w:rPr>
        <w:t>de</w:t>
      </w:r>
      <w:r w:rsidR="00D136BB">
        <w:rPr>
          <w:lang w:val="es-ES"/>
        </w:rPr>
        <w:t xml:space="preserve"> </w:t>
      </w:r>
      <w:r w:rsidRPr="00C36E86">
        <w:rPr>
          <w:lang w:val="es-ES"/>
        </w:rPr>
        <w:t>la</w:t>
      </w:r>
      <w:r w:rsidR="00D136BB">
        <w:rPr>
          <w:lang w:val="es-ES"/>
        </w:rPr>
        <w:t xml:space="preserve"> </w:t>
      </w:r>
      <w:r w:rsidRPr="00C36E86">
        <w:rPr>
          <w:lang w:val="es-ES"/>
        </w:rPr>
        <w:t>formulación</w:t>
      </w:r>
      <w:r w:rsidR="00D136BB">
        <w:rPr>
          <w:lang w:val="es-ES"/>
        </w:rPr>
        <w:t xml:space="preserve"> </w:t>
      </w:r>
      <w:r w:rsidRPr="00C36E86">
        <w:rPr>
          <w:lang w:val="es-ES"/>
        </w:rPr>
        <w:t>de</w:t>
      </w:r>
      <w:r w:rsidR="00D136BB">
        <w:rPr>
          <w:lang w:val="es-ES"/>
        </w:rPr>
        <w:t xml:space="preserve"> </w:t>
      </w:r>
      <w:r w:rsidRPr="00C36E86">
        <w:rPr>
          <w:lang w:val="es-ES"/>
        </w:rPr>
        <w:t>objetivos</w:t>
      </w:r>
      <w:r w:rsidR="00D136BB">
        <w:rPr>
          <w:lang w:val="es-ES"/>
        </w:rPr>
        <w:t xml:space="preserve"> </w:t>
      </w:r>
      <w:r w:rsidRPr="00C36E86">
        <w:rPr>
          <w:lang w:val="es-ES"/>
        </w:rPr>
        <w:t>específicos</w:t>
      </w:r>
      <w:r w:rsidR="00D136BB">
        <w:rPr>
          <w:lang w:val="es-ES"/>
        </w:rPr>
        <w:t xml:space="preserve"> </w:t>
      </w:r>
      <w:r w:rsidRPr="00C36E86">
        <w:rPr>
          <w:lang w:val="es-ES"/>
        </w:rPr>
        <w:t>y</w:t>
      </w:r>
      <w:r w:rsidR="00D136BB">
        <w:rPr>
          <w:lang w:val="es-ES"/>
        </w:rPr>
        <w:t xml:space="preserve"> </w:t>
      </w:r>
      <w:r w:rsidRPr="00C36E86">
        <w:rPr>
          <w:lang w:val="es-ES"/>
        </w:rPr>
        <w:t>de</w:t>
      </w:r>
      <w:r w:rsidR="00D136BB">
        <w:rPr>
          <w:lang w:val="es-ES"/>
        </w:rPr>
        <w:t xml:space="preserve"> </w:t>
      </w:r>
      <w:r w:rsidRPr="00C36E86">
        <w:rPr>
          <w:lang w:val="es-ES"/>
        </w:rPr>
        <w:t>indicadores</w:t>
      </w:r>
      <w:r w:rsidR="00D136BB">
        <w:rPr>
          <w:lang w:val="es-ES"/>
        </w:rPr>
        <w:t xml:space="preserve"> </w:t>
      </w:r>
      <w:r w:rsidRPr="00C36E86">
        <w:rPr>
          <w:lang w:val="es-ES"/>
        </w:rPr>
        <w:t>precisos,</w:t>
      </w:r>
      <w:r w:rsidR="00D136BB">
        <w:rPr>
          <w:lang w:val="es-ES"/>
        </w:rPr>
        <w:t xml:space="preserve"> </w:t>
      </w:r>
      <w:r w:rsidRPr="00C36E86">
        <w:rPr>
          <w:lang w:val="es-ES"/>
        </w:rPr>
        <w:t>a</w:t>
      </w:r>
      <w:r w:rsidR="00D136BB">
        <w:rPr>
          <w:lang w:val="es-ES"/>
        </w:rPr>
        <w:t xml:space="preserve"> </w:t>
      </w:r>
      <w:r w:rsidRPr="00C36E86">
        <w:rPr>
          <w:lang w:val="es-ES"/>
        </w:rPr>
        <w:t>partir</w:t>
      </w:r>
      <w:r w:rsidR="00D136BB">
        <w:rPr>
          <w:lang w:val="es-ES"/>
        </w:rPr>
        <w:t xml:space="preserve"> </w:t>
      </w:r>
      <w:r w:rsidRPr="00C36E86">
        <w:rPr>
          <w:lang w:val="es-ES"/>
        </w:rPr>
        <w:t>de</w:t>
      </w:r>
      <w:r w:rsidR="00D136BB">
        <w:rPr>
          <w:lang w:val="es-ES"/>
        </w:rPr>
        <w:t xml:space="preserve"> </w:t>
      </w:r>
      <w:r w:rsidRPr="00C36E86">
        <w:rPr>
          <w:lang w:val="es-ES"/>
        </w:rPr>
        <w:t>líneas</w:t>
      </w:r>
      <w:r w:rsidR="00D136BB">
        <w:rPr>
          <w:lang w:val="es-ES"/>
        </w:rPr>
        <w:t xml:space="preserve"> </w:t>
      </w:r>
      <w:r w:rsidRPr="00C36E86">
        <w:rPr>
          <w:lang w:val="es-ES"/>
        </w:rPr>
        <w:t>de</w:t>
      </w:r>
      <w:r w:rsidR="00D136BB">
        <w:rPr>
          <w:lang w:val="es-ES"/>
        </w:rPr>
        <w:t xml:space="preserve"> </w:t>
      </w:r>
      <w:r w:rsidRPr="00C36E86">
        <w:rPr>
          <w:lang w:val="es-ES"/>
        </w:rPr>
        <w:t>base</w:t>
      </w:r>
      <w:r w:rsidR="00D136BB">
        <w:rPr>
          <w:lang w:val="es-ES"/>
        </w:rPr>
        <w:t xml:space="preserve"> </w:t>
      </w:r>
      <w:r w:rsidRPr="00C36E86">
        <w:rPr>
          <w:lang w:val="es-ES"/>
        </w:rPr>
        <w:t>actualizadas</w:t>
      </w:r>
      <w:r w:rsidR="00D136BB">
        <w:rPr>
          <w:lang w:val="es-ES"/>
        </w:rPr>
        <w:t xml:space="preserve"> </w:t>
      </w:r>
      <w:r w:rsidRPr="00C36E86">
        <w:rPr>
          <w:lang w:val="es-ES"/>
        </w:rPr>
        <w:t>y</w:t>
      </w:r>
      <w:r w:rsidR="00D136BB">
        <w:rPr>
          <w:lang w:val="es-ES"/>
        </w:rPr>
        <w:t xml:space="preserve"> </w:t>
      </w:r>
      <w:r w:rsidRPr="00C36E86">
        <w:rPr>
          <w:lang w:val="es-ES"/>
        </w:rPr>
        <w:t>que</w:t>
      </w:r>
      <w:r w:rsidR="00D136BB">
        <w:rPr>
          <w:lang w:val="es-ES"/>
        </w:rPr>
        <w:t xml:space="preserve"> </w:t>
      </w:r>
      <w:r w:rsidRPr="00C36E86">
        <w:rPr>
          <w:lang w:val="es-ES"/>
        </w:rPr>
        <w:t>posibilitan</w:t>
      </w:r>
      <w:r w:rsidR="00D136BB">
        <w:rPr>
          <w:lang w:val="es-ES"/>
        </w:rPr>
        <w:t xml:space="preserve"> </w:t>
      </w:r>
      <w:r w:rsidRPr="00C36E86">
        <w:rPr>
          <w:lang w:val="es-ES"/>
        </w:rPr>
        <w:t>la</w:t>
      </w:r>
      <w:r w:rsidR="00D136BB">
        <w:rPr>
          <w:lang w:val="es-ES"/>
        </w:rPr>
        <w:t xml:space="preserve"> </w:t>
      </w:r>
      <w:r w:rsidRPr="00C36E86">
        <w:rPr>
          <w:lang w:val="es-ES"/>
        </w:rPr>
        <w:t>formulación</w:t>
      </w:r>
      <w:r w:rsidR="00D136BB">
        <w:rPr>
          <w:lang w:val="es-ES"/>
        </w:rPr>
        <w:t xml:space="preserve"> </w:t>
      </w:r>
      <w:r w:rsidRPr="00C36E86">
        <w:rPr>
          <w:lang w:val="es-ES"/>
        </w:rPr>
        <w:t>de</w:t>
      </w:r>
      <w:r w:rsidR="00D136BB">
        <w:rPr>
          <w:lang w:val="es-ES"/>
        </w:rPr>
        <w:t xml:space="preserve"> </w:t>
      </w:r>
      <w:r w:rsidRPr="00C36E86">
        <w:rPr>
          <w:lang w:val="es-ES"/>
        </w:rPr>
        <w:t>metas</w:t>
      </w:r>
      <w:r w:rsidR="00D136BB">
        <w:rPr>
          <w:lang w:val="es-ES"/>
        </w:rPr>
        <w:t xml:space="preserve"> </w:t>
      </w:r>
      <w:r w:rsidRPr="00C36E86">
        <w:rPr>
          <w:lang w:val="es-ES"/>
        </w:rPr>
        <w:t>que</w:t>
      </w:r>
      <w:r w:rsidR="00D136BB">
        <w:rPr>
          <w:lang w:val="es-ES"/>
        </w:rPr>
        <w:t xml:space="preserve"> </w:t>
      </w:r>
      <w:r w:rsidRPr="00C36E86">
        <w:rPr>
          <w:lang w:val="es-ES"/>
        </w:rPr>
        <w:t>se</w:t>
      </w:r>
      <w:r w:rsidR="00D136BB">
        <w:rPr>
          <w:lang w:val="es-ES"/>
        </w:rPr>
        <w:t xml:space="preserve"> </w:t>
      </w:r>
      <w:r w:rsidRPr="00C36E86">
        <w:rPr>
          <w:lang w:val="es-ES"/>
        </w:rPr>
        <w:t>deben</w:t>
      </w:r>
      <w:r w:rsidR="00D136BB">
        <w:rPr>
          <w:lang w:val="es-ES"/>
        </w:rPr>
        <w:t xml:space="preserve"> </w:t>
      </w:r>
      <w:r w:rsidRPr="00C36E86">
        <w:rPr>
          <w:lang w:val="es-ES"/>
        </w:rPr>
        <w:t>alcanzar</w:t>
      </w:r>
      <w:r w:rsidR="00D136BB">
        <w:rPr>
          <w:lang w:val="es-ES"/>
        </w:rPr>
        <w:t xml:space="preserve"> </w:t>
      </w:r>
      <w:r w:rsidRPr="00C36E86">
        <w:rPr>
          <w:lang w:val="es-ES"/>
        </w:rPr>
        <w:t>a</w:t>
      </w:r>
      <w:r w:rsidR="00D136BB">
        <w:rPr>
          <w:lang w:val="es-ES"/>
        </w:rPr>
        <w:t xml:space="preserve"> </w:t>
      </w:r>
      <w:r w:rsidRPr="00C36E86">
        <w:rPr>
          <w:lang w:val="es-ES"/>
        </w:rPr>
        <w:t>través</w:t>
      </w:r>
      <w:r w:rsidR="00D136BB">
        <w:rPr>
          <w:lang w:val="es-ES"/>
        </w:rPr>
        <w:t xml:space="preserve"> </w:t>
      </w:r>
      <w:r w:rsidRPr="00C36E86">
        <w:rPr>
          <w:lang w:val="es-ES"/>
        </w:rPr>
        <w:t>de</w:t>
      </w:r>
      <w:r w:rsidR="00D136BB">
        <w:rPr>
          <w:lang w:val="es-ES"/>
        </w:rPr>
        <w:t xml:space="preserve"> </w:t>
      </w:r>
      <w:r w:rsidRPr="00C36E86">
        <w:rPr>
          <w:lang w:val="es-ES"/>
        </w:rPr>
        <w:t>los</w:t>
      </w:r>
      <w:r w:rsidR="00D136BB">
        <w:rPr>
          <w:lang w:val="es-ES"/>
        </w:rPr>
        <w:t xml:space="preserve"> </w:t>
      </w:r>
      <w:r w:rsidRPr="00C36E86">
        <w:rPr>
          <w:lang w:val="es-ES"/>
        </w:rPr>
        <w:t>programas</w:t>
      </w:r>
      <w:r w:rsidR="00D136BB">
        <w:rPr>
          <w:lang w:val="es-ES"/>
        </w:rPr>
        <w:t xml:space="preserve"> </w:t>
      </w:r>
      <w:r w:rsidRPr="00C36E86">
        <w:rPr>
          <w:lang w:val="es-ES"/>
        </w:rPr>
        <w:t>de</w:t>
      </w:r>
      <w:r w:rsidR="00D136BB">
        <w:rPr>
          <w:lang w:val="es-ES"/>
        </w:rPr>
        <w:t xml:space="preserve"> </w:t>
      </w:r>
      <w:r w:rsidRPr="00C36E86">
        <w:rPr>
          <w:lang w:val="es-ES"/>
        </w:rPr>
        <w:t>cooperación</w:t>
      </w:r>
      <w:r w:rsidR="00D136BB">
        <w:rPr>
          <w:lang w:val="es-ES"/>
        </w:rPr>
        <w:t xml:space="preserve"> </w:t>
      </w:r>
      <w:r w:rsidRPr="00C36E86">
        <w:rPr>
          <w:lang w:val="es-ES"/>
        </w:rPr>
        <w:t>técnica.</w:t>
      </w:r>
    </w:p>
    <w:p w14:paraId="2126EDB1" w14:textId="15A0B7FE" w:rsidR="00B90D66" w:rsidRPr="00C36E86" w:rsidRDefault="00B90D66" w:rsidP="00B90D66">
      <w:pPr>
        <w:pStyle w:val="BodyText"/>
        <w:rPr>
          <w:lang w:val="es-ES"/>
        </w:rPr>
      </w:pPr>
      <w:r>
        <w:rPr>
          <w:lang w:val="es-ES"/>
        </w:rPr>
        <w:t>Con</w:t>
      </w:r>
      <w:r w:rsidR="00D136BB">
        <w:rPr>
          <w:lang w:val="es-ES"/>
        </w:rPr>
        <w:t xml:space="preserve"> </w:t>
      </w:r>
      <w:r>
        <w:rPr>
          <w:lang w:val="es-ES"/>
        </w:rPr>
        <w:t>este</w:t>
      </w:r>
      <w:r w:rsidR="00D136BB">
        <w:rPr>
          <w:lang w:val="es-ES"/>
        </w:rPr>
        <w:t xml:space="preserve"> </w:t>
      </w:r>
      <w:r>
        <w:rPr>
          <w:lang w:val="es-ES"/>
        </w:rPr>
        <w:t>objetivo</w:t>
      </w:r>
      <w:r w:rsidR="00D136BB">
        <w:rPr>
          <w:lang w:val="es-ES"/>
        </w:rPr>
        <w:t xml:space="preserve"> </w:t>
      </w:r>
      <w:r>
        <w:rPr>
          <w:lang w:val="es-ES"/>
        </w:rPr>
        <w:t>se</w:t>
      </w:r>
      <w:r w:rsidR="00D136BB">
        <w:rPr>
          <w:lang w:val="es-ES"/>
        </w:rPr>
        <w:t xml:space="preserve"> </w:t>
      </w:r>
      <w:r>
        <w:rPr>
          <w:lang w:val="es-ES"/>
        </w:rPr>
        <w:t>identificó</w:t>
      </w:r>
      <w:r w:rsidR="00D136BB">
        <w:rPr>
          <w:lang w:val="es-ES"/>
        </w:rPr>
        <w:t xml:space="preserve"> </w:t>
      </w:r>
      <w:r>
        <w:rPr>
          <w:lang w:val="es-ES"/>
        </w:rPr>
        <w:t>la</w:t>
      </w:r>
      <w:r w:rsidR="00D136BB">
        <w:rPr>
          <w:lang w:val="es-ES"/>
        </w:rPr>
        <w:t xml:space="preserve"> </w:t>
      </w:r>
      <w:r>
        <w:rPr>
          <w:lang w:val="es-ES"/>
        </w:rPr>
        <w:t>necesidad</w:t>
      </w:r>
      <w:r w:rsidR="00D136BB">
        <w:rPr>
          <w:lang w:val="es-ES"/>
        </w:rPr>
        <w:t xml:space="preserve"> </w:t>
      </w:r>
      <w:r>
        <w:rPr>
          <w:lang w:val="es-ES"/>
        </w:rPr>
        <w:t>de</w:t>
      </w:r>
      <w:r w:rsidR="00D136BB">
        <w:rPr>
          <w:lang w:val="es-ES"/>
        </w:rPr>
        <w:t xml:space="preserve"> </w:t>
      </w:r>
      <w:r w:rsidRPr="00C36E86">
        <w:rPr>
          <w:lang w:val="es-ES"/>
        </w:rPr>
        <w:t>establecer</w:t>
      </w:r>
      <w:r w:rsidR="00D136BB">
        <w:rPr>
          <w:lang w:val="es-ES"/>
        </w:rPr>
        <w:t xml:space="preserve"> </w:t>
      </w:r>
      <w:r w:rsidRPr="00C36E86">
        <w:rPr>
          <w:lang w:val="es-ES"/>
        </w:rPr>
        <w:t>una</w:t>
      </w:r>
      <w:r w:rsidR="00D136BB">
        <w:rPr>
          <w:lang w:val="es-ES"/>
        </w:rPr>
        <w:t xml:space="preserve"> </w:t>
      </w:r>
      <w:r w:rsidRPr="00C36E86">
        <w:rPr>
          <w:lang w:val="es-ES"/>
        </w:rPr>
        <w:t>estrategia</w:t>
      </w:r>
      <w:r w:rsidR="00D136BB">
        <w:rPr>
          <w:lang w:val="es-ES"/>
        </w:rPr>
        <w:t xml:space="preserve"> </w:t>
      </w:r>
      <w:r w:rsidRPr="00C36E86">
        <w:rPr>
          <w:lang w:val="es-ES"/>
        </w:rPr>
        <w:t>de</w:t>
      </w:r>
      <w:r w:rsidR="00D136BB">
        <w:rPr>
          <w:lang w:val="es-ES"/>
        </w:rPr>
        <w:t xml:space="preserve"> </w:t>
      </w:r>
      <w:r w:rsidRPr="00C36E86">
        <w:rPr>
          <w:lang w:val="es-ES"/>
        </w:rPr>
        <w:t>implementación</w:t>
      </w:r>
      <w:r w:rsidR="00D136BB">
        <w:rPr>
          <w:lang w:val="es-ES"/>
        </w:rPr>
        <w:t xml:space="preserve"> </w:t>
      </w:r>
      <w:r>
        <w:rPr>
          <w:lang w:val="es-ES"/>
        </w:rPr>
        <w:t>del</w:t>
      </w:r>
      <w:r w:rsidR="00D136BB">
        <w:rPr>
          <w:lang w:val="es-ES"/>
        </w:rPr>
        <w:t xml:space="preserve"> </w:t>
      </w:r>
      <w:r>
        <w:rPr>
          <w:lang w:val="es-ES"/>
        </w:rPr>
        <w:t>PER</w:t>
      </w:r>
      <w:r w:rsidRPr="00C36E86">
        <w:rPr>
          <w:lang w:val="es-ES"/>
        </w:rPr>
        <w:t>,</w:t>
      </w:r>
      <w:r w:rsidR="00D136BB">
        <w:rPr>
          <w:lang w:val="es-ES"/>
        </w:rPr>
        <w:t xml:space="preserve"> </w:t>
      </w:r>
      <w:r w:rsidRPr="00C36E86">
        <w:rPr>
          <w:lang w:val="es-ES"/>
        </w:rPr>
        <w:t>a</w:t>
      </w:r>
      <w:r w:rsidR="00D136BB">
        <w:rPr>
          <w:lang w:val="es-ES"/>
        </w:rPr>
        <w:t xml:space="preserve"> </w:t>
      </w:r>
      <w:r w:rsidRPr="00C36E86">
        <w:rPr>
          <w:lang w:val="es-ES"/>
        </w:rPr>
        <w:t>partir</w:t>
      </w:r>
      <w:r w:rsidR="00D136BB">
        <w:rPr>
          <w:lang w:val="es-ES"/>
        </w:rPr>
        <w:t xml:space="preserve"> </w:t>
      </w:r>
      <w:r w:rsidRPr="00C36E86">
        <w:rPr>
          <w:lang w:val="es-ES"/>
        </w:rPr>
        <w:t>de</w:t>
      </w:r>
      <w:r w:rsidR="00D136BB">
        <w:rPr>
          <w:lang w:val="es-ES"/>
        </w:rPr>
        <w:t xml:space="preserve"> </w:t>
      </w:r>
      <w:r w:rsidRPr="00C36E86">
        <w:rPr>
          <w:lang w:val="es-ES"/>
        </w:rPr>
        <w:t>la</w:t>
      </w:r>
      <w:r w:rsidR="00D136BB">
        <w:rPr>
          <w:lang w:val="es-ES"/>
        </w:rPr>
        <w:t xml:space="preserve"> </w:t>
      </w:r>
      <w:r>
        <w:rPr>
          <w:lang w:val="es-ES"/>
        </w:rPr>
        <w:t>formulación</w:t>
      </w:r>
      <w:r w:rsidR="00D136BB">
        <w:rPr>
          <w:lang w:val="es-ES"/>
        </w:rPr>
        <w:t xml:space="preserve"> </w:t>
      </w:r>
      <w:r>
        <w:rPr>
          <w:lang w:val="es-ES"/>
        </w:rPr>
        <w:t>y</w:t>
      </w:r>
      <w:r w:rsidR="00D136BB">
        <w:rPr>
          <w:lang w:val="es-ES"/>
        </w:rPr>
        <w:t xml:space="preserve"> </w:t>
      </w:r>
      <w:r>
        <w:rPr>
          <w:lang w:val="es-ES"/>
        </w:rPr>
        <w:t>la</w:t>
      </w:r>
      <w:r w:rsidR="00D136BB">
        <w:rPr>
          <w:lang w:val="es-ES"/>
        </w:rPr>
        <w:t xml:space="preserve"> </w:t>
      </w:r>
      <w:r>
        <w:rPr>
          <w:lang w:val="es-ES"/>
        </w:rPr>
        <w:t>priorización</w:t>
      </w:r>
      <w:r w:rsidR="00D136BB">
        <w:rPr>
          <w:lang w:val="es-ES"/>
        </w:rPr>
        <w:t xml:space="preserve"> </w:t>
      </w:r>
      <w:r>
        <w:rPr>
          <w:lang w:val="es-ES"/>
        </w:rPr>
        <w:t>de</w:t>
      </w:r>
      <w:r w:rsidR="00D136BB">
        <w:rPr>
          <w:lang w:val="es-ES"/>
        </w:rPr>
        <w:t xml:space="preserve"> </w:t>
      </w:r>
      <w:r>
        <w:rPr>
          <w:lang w:val="es-ES"/>
        </w:rPr>
        <w:t>las</w:t>
      </w:r>
      <w:r w:rsidR="00D136BB">
        <w:rPr>
          <w:lang w:val="es-ES"/>
        </w:rPr>
        <w:t xml:space="preserve"> </w:t>
      </w:r>
      <w:r w:rsidRPr="00C36E86">
        <w:rPr>
          <w:lang w:val="es-ES"/>
        </w:rPr>
        <w:t>necesidades/problemas</w:t>
      </w:r>
      <w:r w:rsidR="00D136BB">
        <w:rPr>
          <w:lang w:val="es-ES"/>
        </w:rPr>
        <w:t xml:space="preserve"> </w:t>
      </w:r>
      <w:r>
        <w:rPr>
          <w:lang w:val="es-ES"/>
        </w:rPr>
        <w:t>identificadas</w:t>
      </w:r>
      <w:r w:rsidR="00D136BB">
        <w:rPr>
          <w:lang w:val="es-ES"/>
        </w:rPr>
        <w:t xml:space="preserve"> </w:t>
      </w:r>
      <w:r>
        <w:rPr>
          <w:lang w:val="es-ES"/>
        </w:rPr>
        <w:t>para</w:t>
      </w:r>
      <w:r w:rsidR="00D136BB">
        <w:rPr>
          <w:lang w:val="es-ES"/>
        </w:rPr>
        <w:t xml:space="preserve"> </w:t>
      </w:r>
      <w:r w:rsidRPr="00C36E86">
        <w:rPr>
          <w:lang w:val="es-ES"/>
        </w:rPr>
        <w:t>cada</w:t>
      </w:r>
      <w:r w:rsidR="00D136BB">
        <w:rPr>
          <w:lang w:val="es-ES"/>
        </w:rPr>
        <w:t xml:space="preserve"> </w:t>
      </w:r>
      <w:r w:rsidRPr="00C36E86">
        <w:rPr>
          <w:lang w:val="es-ES"/>
        </w:rPr>
        <w:t>sector</w:t>
      </w:r>
      <w:r>
        <w:rPr>
          <w:lang w:val="es-ES"/>
        </w:rPr>
        <w:t>,</w:t>
      </w:r>
      <w:r w:rsidR="00D136BB">
        <w:rPr>
          <w:lang w:val="es-ES"/>
        </w:rPr>
        <w:t xml:space="preserve"> </w:t>
      </w:r>
      <w:r>
        <w:rPr>
          <w:lang w:val="es-ES"/>
        </w:rPr>
        <w:t>el</w:t>
      </w:r>
      <w:r w:rsidR="00D136BB">
        <w:rPr>
          <w:lang w:val="es-ES"/>
        </w:rPr>
        <w:t xml:space="preserve"> </w:t>
      </w:r>
      <w:r>
        <w:rPr>
          <w:lang w:val="es-ES"/>
        </w:rPr>
        <w:t>que</w:t>
      </w:r>
      <w:r w:rsidR="00D136BB">
        <w:rPr>
          <w:lang w:val="es-ES"/>
        </w:rPr>
        <w:t xml:space="preserve"> </w:t>
      </w:r>
      <w:r>
        <w:rPr>
          <w:lang w:val="es-ES"/>
        </w:rPr>
        <w:t>será</w:t>
      </w:r>
      <w:r w:rsidR="00D136BB">
        <w:rPr>
          <w:lang w:val="es-ES"/>
        </w:rPr>
        <w:t xml:space="preserve"> </w:t>
      </w:r>
      <w:r>
        <w:rPr>
          <w:lang w:val="es-ES"/>
        </w:rPr>
        <w:t>presentado</w:t>
      </w:r>
      <w:r w:rsidR="00D136BB">
        <w:rPr>
          <w:lang w:val="es-ES"/>
        </w:rPr>
        <w:t xml:space="preserve"> </w:t>
      </w:r>
      <w:r>
        <w:rPr>
          <w:lang w:val="es-ES"/>
        </w:rPr>
        <w:t>en</w:t>
      </w:r>
      <w:r w:rsidR="00D136BB">
        <w:rPr>
          <w:lang w:val="es-ES"/>
        </w:rPr>
        <w:t xml:space="preserve"> </w:t>
      </w:r>
      <w:r>
        <w:rPr>
          <w:lang w:val="es-ES"/>
        </w:rPr>
        <w:t>un</w:t>
      </w:r>
      <w:r w:rsidR="00D136BB">
        <w:rPr>
          <w:lang w:val="es-ES"/>
        </w:rPr>
        <w:t xml:space="preserve"> </w:t>
      </w:r>
      <w:r>
        <w:rPr>
          <w:lang w:val="es-ES"/>
        </w:rPr>
        <w:t>documento</w:t>
      </w:r>
      <w:r w:rsidR="00D136BB">
        <w:rPr>
          <w:lang w:val="es-ES"/>
        </w:rPr>
        <w:t xml:space="preserve"> </w:t>
      </w:r>
      <w:r>
        <w:rPr>
          <w:lang w:val="es-ES"/>
        </w:rPr>
        <w:t>complementar.</w:t>
      </w:r>
    </w:p>
    <w:p w14:paraId="6D79625C" w14:textId="57555F9F" w:rsidR="00D657A4" w:rsidRDefault="00B90D66" w:rsidP="002C21C1">
      <w:pPr>
        <w:pStyle w:val="BodyText"/>
        <w:rPr>
          <w:lang w:val="es-ES"/>
        </w:rPr>
      </w:pPr>
      <w:r>
        <w:rPr>
          <w:lang w:val="es-ES"/>
        </w:rPr>
        <w:t>A</w:t>
      </w:r>
      <w:r w:rsidR="00D136BB">
        <w:rPr>
          <w:lang w:val="es-ES"/>
        </w:rPr>
        <w:t xml:space="preserve"> </w:t>
      </w:r>
      <w:r w:rsidR="00144FCC">
        <w:rPr>
          <w:lang w:val="es-ES"/>
        </w:rPr>
        <w:t>continuación,</w:t>
      </w:r>
      <w:r w:rsidR="00D136BB">
        <w:rPr>
          <w:lang w:val="es-ES"/>
        </w:rPr>
        <w:t xml:space="preserve"> </w:t>
      </w:r>
      <w:r>
        <w:rPr>
          <w:lang w:val="es-ES"/>
        </w:rPr>
        <w:t>se</w:t>
      </w:r>
      <w:r w:rsidR="00D136BB">
        <w:rPr>
          <w:lang w:val="es-ES"/>
        </w:rPr>
        <w:t xml:space="preserve"> </w:t>
      </w:r>
      <w:r>
        <w:rPr>
          <w:lang w:val="es-ES"/>
        </w:rPr>
        <w:t>presenta</w:t>
      </w:r>
      <w:r w:rsidR="00D136BB">
        <w:rPr>
          <w:lang w:val="es-ES"/>
        </w:rPr>
        <w:t xml:space="preserve"> </w:t>
      </w:r>
      <w:r>
        <w:rPr>
          <w:lang w:val="es-ES"/>
        </w:rPr>
        <w:t>el</w:t>
      </w:r>
      <w:r w:rsidR="00D136BB">
        <w:rPr>
          <w:lang w:val="es-ES"/>
        </w:rPr>
        <w:t xml:space="preserve"> </w:t>
      </w:r>
      <w:r>
        <w:rPr>
          <w:lang w:val="es-ES"/>
        </w:rPr>
        <w:t>resultado</w:t>
      </w:r>
      <w:r w:rsidR="00D136BB">
        <w:rPr>
          <w:lang w:val="es-ES"/>
        </w:rPr>
        <w:t xml:space="preserve"> </w:t>
      </w:r>
      <w:r>
        <w:rPr>
          <w:lang w:val="es-ES"/>
        </w:rPr>
        <w:t>detallado</w:t>
      </w:r>
      <w:r w:rsidR="00D136BB">
        <w:rPr>
          <w:lang w:val="es-ES"/>
        </w:rPr>
        <w:t xml:space="preserve"> </w:t>
      </w:r>
      <w:r>
        <w:rPr>
          <w:lang w:val="es-ES"/>
        </w:rPr>
        <w:t>de</w:t>
      </w:r>
      <w:r w:rsidR="00D136BB">
        <w:rPr>
          <w:lang w:val="es-ES"/>
        </w:rPr>
        <w:t xml:space="preserve"> </w:t>
      </w:r>
      <w:r>
        <w:rPr>
          <w:lang w:val="es-ES"/>
        </w:rPr>
        <w:t>los</w:t>
      </w:r>
      <w:r w:rsidR="00D136BB">
        <w:rPr>
          <w:lang w:val="es-ES"/>
        </w:rPr>
        <w:t xml:space="preserve"> </w:t>
      </w:r>
      <w:r>
        <w:rPr>
          <w:lang w:val="es-ES"/>
        </w:rPr>
        <w:t>análisis</w:t>
      </w:r>
      <w:r w:rsidR="00D136BB">
        <w:rPr>
          <w:lang w:val="es-ES"/>
        </w:rPr>
        <w:t xml:space="preserve"> </w:t>
      </w:r>
      <w:r>
        <w:rPr>
          <w:lang w:val="es-ES"/>
        </w:rPr>
        <w:t>y</w:t>
      </w:r>
      <w:r w:rsidR="00D136BB">
        <w:rPr>
          <w:lang w:val="es-ES"/>
        </w:rPr>
        <w:t xml:space="preserve"> </w:t>
      </w:r>
      <w:r>
        <w:rPr>
          <w:lang w:val="es-ES"/>
        </w:rPr>
        <w:t>formulaciones</w:t>
      </w:r>
      <w:r w:rsidR="00D136BB">
        <w:rPr>
          <w:lang w:val="es-ES"/>
        </w:rPr>
        <w:t xml:space="preserve"> </w:t>
      </w:r>
      <w:r>
        <w:rPr>
          <w:lang w:val="es-ES"/>
        </w:rPr>
        <w:t>de</w:t>
      </w:r>
      <w:r w:rsidR="00D136BB">
        <w:rPr>
          <w:lang w:val="es-ES"/>
        </w:rPr>
        <w:t xml:space="preserve"> </w:t>
      </w:r>
      <w:r>
        <w:rPr>
          <w:lang w:val="es-ES"/>
        </w:rPr>
        <w:t>las</w:t>
      </w:r>
      <w:r w:rsidR="00D136BB">
        <w:rPr>
          <w:lang w:val="es-ES"/>
        </w:rPr>
        <w:t xml:space="preserve"> </w:t>
      </w:r>
      <w:r>
        <w:rPr>
          <w:lang w:val="es-ES"/>
        </w:rPr>
        <w:t>necesidades/problemas</w:t>
      </w:r>
      <w:r w:rsidR="00D136BB">
        <w:rPr>
          <w:lang w:val="es-ES"/>
        </w:rPr>
        <w:t xml:space="preserve"> </w:t>
      </w:r>
      <w:r>
        <w:rPr>
          <w:lang w:val="es-ES"/>
        </w:rPr>
        <w:t>para</w:t>
      </w:r>
      <w:r w:rsidR="00D136BB">
        <w:rPr>
          <w:lang w:val="es-ES"/>
        </w:rPr>
        <w:t xml:space="preserve"> </w:t>
      </w:r>
      <w:r>
        <w:rPr>
          <w:lang w:val="es-ES"/>
        </w:rPr>
        <w:t>cada</w:t>
      </w:r>
      <w:r w:rsidR="00D136BB">
        <w:rPr>
          <w:lang w:val="es-ES"/>
        </w:rPr>
        <w:t xml:space="preserve"> </w:t>
      </w:r>
      <w:r>
        <w:rPr>
          <w:lang w:val="es-ES"/>
        </w:rPr>
        <w:t>uno</w:t>
      </w:r>
      <w:r w:rsidR="00D136BB">
        <w:rPr>
          <w:lang w:val="es-ES"/>
        </w:rPr>
        <w:t xml:space="preserve"> </w:t>
      </w:r>
      <w:r>
        <w:rPr>
          <w:lang w:val="es-ES"/>
        </w:rPr>
        <w:t>de</w:t>
      </w:r>
      <w:r w:rsidR="00D136BB">
        <w:rPr>
          <w:lang w:val="es-ES"/>
        </w:rPr>
        <w:t xml:space="preserve"> </w:t>
      </w:r>
      <w:r>
        <w:rPr>
          <w:lang w:val="es-ES"/>
        </w:rPr>
        <w:t>los</w:t>
      </w:r>
      <w:r w:rsidR="00D136BB">
        <w:rPr>
          <w:lang w:val="es-ES"/>
        </w:rPr>
        <w:t xml:space="preserve"> </w:t>
      </w:r>
      <w:r>
        <w:rPr>
          <w:lang w:val="es-ES"/>
        </w:rPr>
        <w:t>sectores</w:t>
      </w:r>
      <w:r w:rsidR="00D136BB">
        <w:rPr>
          <w:lang w:val="es-ES"/>
        </w:rPr>
        <w:t xml:space="preserve"> </w:t>
      </w:r>
      <w:r>
        <w:rPr>
          <w:lang w:val="es-ES"/>
        </w:rPr>
        <w:t>temáticos</w:t>
      </w:r>
      <w:r w:rsidR="00D136BB">
        <w:rPr>
          <w:lang w:val="es-ES"/>
        </w:rPr>
        <w:t xml:space="preserve"> </w:t>
      </w:r>
      <w:r w:rsidR="005F0B96">
        <w:rPr>
          <w:lang w:val="es-ES"/>
        </w:rPr>
        <w:t>del</w:t>
      </w:r>
      <w:r w:rsidR="00D136BB">
        <w:rPr>
          <w:lang w:val="es-ES"/>
        </w:rPr>
        <w:t xml:space="preserve"> </w:t>
      </w:r>
      <w:r w:rsidR="005F0B96">
        <w:rPr>
          <w:lang w:val="es-ES"/>
        </w:rPr>
        <w:t>PER.</w:t>
      </w:r>
    </w:p>
    <w:p w14:paraId="72761B7B" w14:textId="7344A556" w:rsidR="007714F9" w:rsidRPr="007714F9" w:rsidRDefault="007714F9" w:rsidP="007714F9">
      <w:pPr>
        <w:rPr>
          <w:rFonts w:ascii="Times New Roman" w:eastAsia="Times New Roman" w:hAnsi="Times New Roman" w:cs="Times New Roman"/>
          <w:sz w:val="24"/>
          <w:szCs w:val="20"/>
          <w:lang w:val="es-ES"/>
        </w:rPr>
      </w:pPr>
    </w:p>
    <w:p w14:paraId="38093F29" w14:textId="1EB342D0" w:rsidR="007714F9" w:rsidRPr="00BA0DDD" w:rsidRDefault="007714F9" w:rsidP="007714F9">
      <w:pPr>
        <w:pStyle w:val="Heading1"/>
        <w:numPr>
          <w:ilvl w:val="1"/>
          <w:numId w:val="2"/>
        </w:numPr>
        <w:spacing w:before="0" w:line="360" w:lineRule="auto"/>
        <w:rPr>
          <w:lang w:val="es-MX"/>
        </w:rPr>
      </w:pPr>
      <w:r w:rsidRPr="00561504">
        <w:t>PROCESO</w:t>
      </w:r>
      <w:r w:rsidR="00D136BB">
        <w:t xml:space="preserve"> </w:t>
      </w:r>
      <w:r w:rsidRPr="00561504">
        <w:t>DE</w:t>
      </w:r>
      <w:r w:rsidR="00D136BB">
        <w:t xml:space="preserve"> </w:t>
      </w:r>
      <w:r w:rsidRPr="00561504">
        <w:t>ELABORACIÓN</w:t>
      </w:r>
      <w:r w:rsidR="00D136BB">
        <w:t xml:space="preserve"> </w:t>
      </w:r>
      <w:r w:rsidRPr="00561504">
        <w:t>DEL</w:t>
      </w:r>
      <w:r w:rsidR="00D136BB">
        <w:t xml:space="preserve"> </w:t>
      </w:r>
      <w:r w:rsidR="007B1665" w:rsidRPr="007B1665">
        <w:t>PERFIL ESTRATÉGICO REGIONA</w:t>
      </w:r>
      <w:r w:rsidR="007B1665">
        <w:t xml:space="preserve">L </w:t>
      </w:r>
      <w:r w:rsidRPr="00561504">
        <w:t>20</w:t>
      </w:r>
      <w:r>
        <w:t>22</w:t>
      </w:r>
      <w:r w:rsidRPr="00561504">
        <w:t>-202</w:t>
      </w:r>
      <w:r>
        <w:t>9</w:t>
      </w:r>
    </w:p>
    <w:p w14:paraId="55C8DCF0" w14:textId="31222153" w:rsidR="007714F9" w:rsidRDefault="007714F9" w:rsidP="007714F9">
      <w:pPr>
        <w:pStyle w:val="BodyText"/>
        <w:rPr>
          <w:lang w:val="es-ES"/>
        </w:rPr>
      </w:pPr>
      <w:r w:rsidRPr="006B147C">
        <w:rPr>
          <w:lang w:val="es-ES"/>
        </w:rPr>
        <w:t>El</w:t>
      </w:r>
      <w:r w:rsidR="00D136BB">
        <w:rPr>
          <w:lang w:val="es-ES"/>
        </w:rPr>
        <w:t xml:space="preserve"> </w:t>
      </w:r>
      <w:r w:rsidRPr="006B147C">
        <w:rPr>
          <w:lang w:val="es-ES"/>
        </w:rPr>
        <w:t>proceso</w:t>
      </w:r>
      <w:r w:rsidR="00D136BB">
        <w:rPr>
          <w:lang w:val="es-ES"/>
        </w:rPr>
        <w:t xml:space="preserve"> </w:t>
      </w:r>
      <w:r w:rsidRPr="006B147C">
        <w:rPr>
          <w:lang w:val="es-ES"/>
        </w:rPr>
        <w:t>para</w:t>
      </w:r>
      <w:r w:rsidR="00D136BB">
        <w:rPr>
          <w:lang w:val="es-ES"/>
        </w:rPr>
        <w:t xml:space="preserve"> </w:t>
      </w:r>
      <w:r w:rsidRPr="006B147C">
        <w:rPr>
          <w:lang w:val="es-ES"/>
        </w:rPr>
        <w:t>la</w:t>
      </w:r>
      <w:r w:rsidR="00D136BB">
        <w:rPr>
          <w:lang w:val="es-ES"/>
        </w:rPr>
        <w:t xml:space="preserve"> </w:t>
      </w:r>
      <w:r w:rsidRPr="006B147C">
        <w:rPr>
          <w:lang w:val="es-ES"/>
        </w:rPr>
        <w:t>elaboración</w:t>
      </w:r>
      <w:r w:rsidR="00D136BB">
        <w:rPr>
          <w:lang w:val="es-ES"/>
        </w:rPr>
        <w:t xml:space="preserve"> </w:t>
      </w:r>
      <w:r w:rsidRPr="006B147C">
        <w:rPr>
          <w:lang w:val="es-ES"/>
        </w:rPr>
        <w:t>del</w:t>
      </w:r>
      <w:r w:rsidR="00D136BB">
        <w:rPr>
          <w:lang w:val="es-ES"/>
        </w:rPr>
        <w:t xml:space="preserve"> </w:t>
      </w:r>
      <w:r w:rsidRPr="006B147C">
        <w:rPr>
          <w:lang w:val="es-ES"/>
        </w:rPr>
        <w:t>PER</w:t>
      </w:r>
      <w:r w:rsidR="00D136BB">
        <w:rPr>
          <w:lang w:val="es-ES"/>
        </w:rPr>
        <w:t xml:space="preserve"> </w:t>
      </w:r>
      <w:r w:rsidRPr="006B147C">
        <w:rPr>
          <w:lang w:val="es-ES"/>
        </w:rPr>
        <w:t>20</w:t>
      </w:r>
      <w:r>
        <w:rPr>
          <w:lang w:val="es-ES"/>
        </w:rPr>
        <w:t>22</w:t>
      </w:r>
      <w:r w:rsidRPr="006B147C">
        <w:rPr>
          <w:lang w:val="es-ES"/>
        </w:rPr>
        <w:t>-202</w:t>
      </w:r>
      <w:r>
        <w:rPr>
          <w:lang w:val="es-ES"/>
        </w:rPr>
        <w:t>9</w:t>
      </w:r>
      <w:r w:rsidR="00D136BB">
        <w:rPr>
          <w:lang w:val="es-ES"/>
        </w:rPr>
        <w:t xml:space="preserve"> </w:t>
      </w:r>
      <w:r w:rsidRPr="006B147C">
        <w:rPr>
          <w:lang w:val="es-ES"/>
        </w:rPr>
        <w:t>se</w:t>
      </w:r>
      <w:r w:rsidR="00D136BB">
        <w:rPr>
          <w:lang w:val="es-ES"/>
        </w:rPr>
        <w:t xml:space="preserve"> </w:t>
      </w:r>
      <w:r>
        <w:rPr>
          <w:lang w:val="es-ES"/>
        </w:rPr>
        <w:t>dio</w:t>
      </w:r>
      <w:r w:rsidR="00D136BB">
        <w:rPr>
          <w:lang w:val="es-ES"/>
        </w:rPr>
        <w:t xml:space="preserve"> </w:t>
      </w:r>
      <w:r>
        <w:rPr>
          <w:lang w:val="es-ES"/>
        </w:rPr>
        <w:t>a</w:t>
      </w:r>
      <w:r w:rsidR="00D136BB">
        <w:rPr>
          <w:lang w:val="es-ES"/>
        </w:rPr>
        <w:t xml:space="preserve"> </w:t>
      </w:r>
      <w:r>
        <w:rPr>
          <w:lang w:val="es-ES"/>
        </w:rPr>
        <w:t>través</w:t>
      </w:r>
      <w:r w:rsidR="00D136BB">
        <w:rPr>
          <w:lang w:val="es-ES"/>
        </w:rPr>
        <w:t xml:space="preserve"> </w:t>
      </w:r>
      <w:r>
        <w:rPr>
          <w:lang w:val="es-ES"/>
        </w:rPr>
        <w:t>de</w:t>
      </w:r>
      <w:r w:rsidR="00D136BB">
        <w:rPr>
          <w:lang w:val="es-ES"/>
        </w:rPr>
        <w:t xml:space="preserve"> </w:t>
      </w:r>
      <w:r>
        <w:rPr>
          <w:lang w:val="es-ES"/>
        </w:rPr>
        <w:t>reuniones</w:t>
      </w:r>
      <w:r w:rsidR="00D136BB">
        <w:rPr>
          <w:lang w:val="es-ES"/>
        </w:rPr>
        <w:t xml:space="preserve"> </w:t>
      </w:r>
      <w:r>
        <w:rPr>
          <w:lang w:val="es-ES"/>
        </w:rPr>
        <w:t>del</w:t>
      </w:r>
      <w:r w:rsidR="00D136BB">
        <w:rPr>
          <w:lang w:val="es-ES"/>
        </w:rPr>
        <w:t xml:space="preserve"> </w:t>
      </w:r>
      <w:r>
        <w:rPr>
          <w:lang w:val="es-ES"/>
        </w:rPr>
        <w:t>Grupo</w:t>
      </w:r>
      <w:r w:rsidR="00D136BB">
        <w:rPr>
          <w:lang w:val="es-ES"/>
        </w:rPr>
        <w:t xml:space="preserve"> </w:t>
      </w:r>
      <w:r>
        <w:rPr>
          <w:lang w:val="es-ES"/>
        </w:rPr>
        <w:t>de</w:t>
      </w:r>
      <w:r w:rsidR="00D136BB">
        <w:rPr>
          <w:lang w:val="es-ES"/>
        </w:rPr>
        <w:t xml:space="preserve"> </w:t>
      </w:r>
      <w:r>
        <w:rPr>
          <w:lang w:val="es-ES"/>
        </w:rPr>
        <w:t>Seguimiento</w:t>
      </w:r>
      <w:r w:rsidR="00D136BB">
        <w:rPr>
          <w:lang w:val="es-ES"/>
        </w:rPr>
        <w:t xml:space="preserve"> </w:t>
      </w:r>
      <w:r>
        <w:rPr>
          <w:lang w:val="es-ES"/>
        </w:rPr>
        <w:t>y</w:t>
      </w:r>
      <w:r w:rsidR="00D136BB">
        <w:rPr>
          <w:lang w:val="es-ES"/>
        </w:rPr>
        <w:t xml:space="preserve"> </w:t>
      </w:r>
      <w:r>
        <w:rPr>
          <w:lang w:val="es-ES"/>
        </w:rPr>
        <w:t>Evaluación,</w:t>
      </w:r>
      <w:r w:rsidR="00D136BB">
        <w:rPr>
          <w:lang w:val="es-ES"/>
        </w:rPr>
        <w:t xml:space="preserve"> </w:t>
      </w:r>
      <w:r>
        <w:rPr>
          <w:lang w:val="es-ES"/>
        </w:rPr>
        <w:t>de</w:t>
      </w:r>
      <w:r w:rsidR="00D136BB">
        <w:rPr>
          <w:lang w:val="es-ES"/>
        </w:rPr>
        <w:t xml:space="preserve"> </w:t>
      </w:r>
      <w:r>
        <w:rPr>
          <w:lang w:val="es-ES"/>
        </w:rPr>
        <w:t>acuerdo</w:t>
      </w:r>
      <w:r w:rsidR="00D136BB">
        <w:rPr>
          <w:lang w:val="es-ES"/>
        </w:rPr>
        <w:t xml:space="preserve"> </w:t>
      </w:r>
      <w:r>
        <w:rPr>
          <w:lang w:val="es-ES"/>
        </w:rPr>
        <w:t>al</w:t>
      </w:r>
      <w:r w:rsidR="00D136BB">
        <w:rPr>
          <w:lang w:val="es-ES"/>
        </w:rPr>
        <w:t xml:space="preserve"> </w:t>
      </w:r>
      <w:r>
        <w:rPr>
          <w:lang w:val="es-ES"/>
        </w:rPr>
        <w:t>cronograma</w:t>
      </w:r>
      <w:r w:rsidR="00D136BB">
        <w:rPr>
          <w:lang w:val="es-ES"/>
        </w:rPr>
        <w:t xml:space="preserve"> </w:t>
      </w:r>
      <w:r>
        <w:rPr>
          <w:lang w:val="es-ES"/>
        </w:rPr>
        <w:t>de</w:t>
      </w:r>
      <w:r w:rsidR="00D136BB">
        <w:rPr>
          <w:lang w:val="es-ES"/>
        </w:rPr>
        <w:t xml:space="preserve"> </w:t>
      </w:r>
      <w:r>
        <w:rPr>
          <w:lang w:val="es-ES"/>
        </w:rPr>
        <w:t>trabajo</w:t>
      </w:r>
      <w:r w:rsidR="00D136BB">
        <w:rPr>
          <w:lang w:val="es-ES"/>
        </w:rPr>
        <w:t xml:space="preserve"> </w:t>
      </w:r>
      <w:r>
        <w:rPr>
          <w:lang w:val="es-ES"/>
        </w:rPr>
        <w:t>que</w:t>
      </w:r>
      <w:r w:rsidR="00D136BB">
        <w:rPr>
          <w:lang w:val="es-ES"/>
        </w:rPr>
        <w:t xml:space="preserve"> </w:t>
      </w:r>
      <w:r>
        <w:rPr>
          <w:lang w:val="es-ES"/>
        </w:rPr>
        <w:t>se</w:t>
      </w:r>
      <w:r w:rsidR="00D136BB">
        <w:rPr>
          <w:lang w:val="es-ES"/>
        </w:rPr>
        <w:t xml:space="preserve"> </w:t>
      </w:r>
      <w:r>
        <w:rPr>
          <w:lang w:val="es-ES"/>
        </w:rPr>
        <w:t>presenta</w:t>
      </w:r>
      <w:r w:rsidR="00D136BB">
        <w:rPr>
          <w:lang w:val="es-ES"/>
        </w:rPr>
        <w:t xml:space="preserve"> </w:t>
      </w:r>
      <w:r>
        <w:rPr>
          <w:lang w:val="es-ES"/>
        </w:rPr>
        <w:t>a</w:t>
      </w:r>
      <w:r w:rsidR="00D136BB">
        <w:rPr>
          <w:lang w:val="es-ES"/>
        </w:rPr>
        <w:t xml:space="preserve"> </w:t>
      </w:r>
      <w:r>
        <w:rPr>
          <w:lang w:val="es-ES"/>
        </w:rPr>
        <w:t>continuación:</w:t>
      </w:r>
    </w:p>
    <w:p w14:paraId="15D0C340" w14:textId="57B09755" w:rsidR="007714F9" w:rsidRDefault="007714F9" w:rsidP="007714F9">
      <w:pPr>
        <w:pStyle w:val="ListParagraph"/>
        <w:numPr>
          <w:ilvl w:val="0"/>
          <w:numId w:val="11"/>
        </w:numPr>
        <w:spacing w:after="0" w:line="240" w:lineRule="auto"/>
        <w:jc w:val="both"/>
        <w:rPr>
          <w:rFonts w:ascii="Times New Roman" w:eastAsia="Times New Roman" w:hAnsi="Times New Roman"/>
          <w:b/>
          <w:bCs/>
          <w:color w:val="000000" w:themeColor="text1"/>
          <w:sz w:val="24"/>
          <w:szCs w:val="24"/>
          <w:lang w:val="es-ES" w:eastAsia="es-ES"/>
        </w:rPr>
      </w:pPr>
      <w:r w:rsidRPr="00C8477B">
        <w:rPr>
          <w:rFonts w:ascii="Times New Roman" w:eastAsia="Times New Roman" w:hAnsi="Times New Roman"/>
          <w:b/>
          <w:bCs/>
          <w:color w:val="000000" w:themeColor="text1"/>
          <w:sz w:val="24"/>
          <w:szCs w:val="24"/>
          <w:lang w:val="es-ES" w:eastAsia="es-ES"/>
        </w:rPr>
        <w:t>1ª</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b/>
          <w:bCs/>
          <w:color w:val="000000" w:themeColor="text1"/>
          <w:sz w:val="24"/>
          <w:szCs w:val="24"/>
          <w:lang w:val="es-ES" w:eastAsia="es-ES"/>
        </w:rPr>
        <w:t>Reunión</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b/>
          <w:bCs/>
          <w:color w:val="000000" w:themeColor="text1"/>
          <w:sz w:val="24"/>
          <w:szCs w:val="24"/>
          <w:lang w:val="es-ES" w:eastAsia="es-ES"/>
        </w:rPr>
        <w:t>del</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b/>
          <w:bCs/>
          <w:color w:val="000000" w:themeColor="text1"/>
          <w:sz w:val="24"/>
          <w:szCs w:val="24"/>
          <w:lang w:val="es-ES" w:eastAsia="es-ES"/>
        </w:rPr>
        <w:t>Grupo</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b/>
          <w:bCs/>
          <w:color w:val="000000" w:themeColor="text1"/>
          <w:sz w:val="24"/>
          <w:szCs w:val="24"/>
          <w:lang w:val="es-ES" w:eastAsia="es-ES"/>
        </w:rPr>
        <w:t>de</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b/>
          <w:bCs/>
          <w:color w:val="000000" w:themeColor="text1"/>
          <w:sz w:val="24"/>
          <w:szCs w:val="24"/>
          <w:lang w:val="es-ES" w:eastAsia="es-ES"/>
        </w:rPr>
        <w:t>Seguimiento</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b/>
          <w:bCs/>
          <w:color w:val="000000" w:themeColor="text1"/>
          <w:sz w:val="24"/>
          <w:szCs w:val="24"/>
          <w:lang w:val="es-ES" w:eastAsia="es-ES"/>
        </w:rPr>
        <w:t>y</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b/>
          <w:bCs/>
          <w:color w:val="000000" w:themeColor="text1"/>
          <w:sz w:val="24"/>
          <w:szCs w:val="24"/>
          <w:lang w:val="es-ES" w:eastAsia="es-ES"/>
        </w:rPr>
        <w:t>Evaluación.</w:t>
      </w:r>
    </w:p>
    <w:p w14:paraId="04DF1C7C" w14:textId="23D35AC2" w:rsidR="007714F9" w:rsidRPr="00C8477B"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C8477B">
        <w:rPr>
          <w:rFonts w:ascii="Times New Roman" w:eastAsia="Times New Roman" w:hAnsi="Times New Roman"/>
          <w:b/>
          <w:bCs/>
          <w:color w:val="000000" w:themeColor="text1"/>
          <w:sz w:val="24"/>
          <w:szCs w:val="24"/>
          <w:lang w:val="es-ES" w:eastAsia="es-ES"/>
        </w:rPr>
        <w:t>Lugar</w:t>
      </w:r>
      <w:r w:rsidRPr="00C8477B">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sidRPr="00C8477B">
        <w:rPr>
          <w:rFonts w:ascii="Times New Roman" w:eastAsia="Times New Roman" w:hAnsi="Times New Roman"/>
          <w:bCs/>
          <w:color w:val="000000" w:themeColor="text1"/>
          <w:sz w:val="24"/>
          <w:szCs w:val="24"/>
          <w:lang w:val="es-ES" w:eastAsia="es-ES"/>
        </w:rPr>
        <w:t>Viena</w:t>
      </w:r>
    </w:p>
    <w:p w14:paraId="7E54774B" w14:textId="7A1095DA" w:rsidR="007714F9" w:rsidRPr="00C8477B"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C8477B">
        <w:rPr>
          <w:rFonts w:ascii="Times New Roman" w:eastAsia="Times New Roman" w:hAnsi="Times New Roman"/>
          <w:b/>
          <w:bCs/>
          <w:color w:val="000000" w:themeColor="text1"/>
          <w:sz w:val="24"/>
          <w:szCs w:val="24"/>
          <w:lang w:val="es-ES" w:eastAsia="es-ES"/>
        </w:rPr>
        <w:t>Fecha</w:t>
      </w:r>
      <w:r>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05-07</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noviembre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2018</w:t>
      </w:r>
    </w:p>
    <w:p w14:paraId="09716592" w14:textId="28CB12F1" w:rsidR="007714F9" w:rsidRDefault="007714F9" w:rsidP="007714F9">
      <w:pPr>
        <w:spacing w:after="0" w:line="240" w:lineRule="auto"/>
        <w:jc w:val="both"/>
        <w:rPr>
          <w:rFonts w:ascii="Times New Roman" w:eastAsia="Times New Roman" w:hAnsi="Times New Roman"/>
          <w:b/>
          <w:bCs/>
          <w:color w:val="FF0000"/>
          <w:sz w:val="24"/>
          <w:szCs w:val="24"/>
          <w:lang w:val="es-ES" w:eastAsia="es-ES"/>
        </w:rPr>
      </w:pPr>
      <w:r w:rsidRPr="00C8477B">
        <w:rPr>
          <w:rFonts w:ascii="Times New Roman" w:eastAsia="Times New Roman" w:hAnsi="Times New Roman"/>
          <w:b/>
          <w:bCs/>
          <w:color w:val="000000" w:themeColor="text1"/>
          <w:sz w:val="24"/>
          <w:szCs w:val="24"/>
          <w:lang w:val="es-ES" w:eastAsia="es-ES"/>
        </w:rPr>
        <w:lastRenderedPageBreak/>
        <w:t>Duración</w:t>
      </w:r>
      <w:r>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3</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días</w:t>
      </w:r>
    </w:p>
    <w:p w14:paraId="5E52461D" w14:textId="77777777" w:rsidR="007714F9" w:rsidRDefault="007714F9" w:rsidP="007714F9">
      <w:pPr>
        <w:spacing w:after="0" w:line="240" w:lineRule="auto"/>
        <w:jc w:val="both"/>
        <w:rPr>
          <w:rFonts w:ascii="Times New Roman" w:eastAsia="Times New Roman" w:hAnsi="Times New Roman"/>
          <w:b/>
          <w:bCs/>
          <w:color w:val="FF0000"/>
          <w:sz w:val="24"/>
          <w:szCs w:val="24"/>
          <w:lang w:val="es-ES" w:eastAsia="es-ES"/>
        </w:rPr>
      </w:pPr>
    </w:p>
    <w:p w14:paraId="1558A998" w14:textId="2E1ED52C"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C8477B">
        <w:rPr>
          <w:rFonts w:ascii="Times New Roman" w:eastAsia="Times New Roman" w:hAnsi="Times New Roman"/>
          <w:bCs/>
          <w:color w:val="000000" w:themeColor="text1"/>
          <w:sz w:val="24"/>
          <w:szCs w:val="24"/>
          <w:lang w:val="es-ES" w:eastAsia="es-ES"/>
        </w:rPr>
        <w:t>En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esta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reunión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Grupo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y</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elaboró</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ToR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evaluación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PER-2016/2021</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y</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cronograma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recabar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informaciones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respecto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ejecución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situación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proyectos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período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abarcado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por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PER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vigente.</w:t>
      </w:r>
    </w:p>
    <w:p w14:paraId="056EE4A5" w14:textId="77777777"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p>
    <w:p w14:paraId="0A4638CE" w14:textId="29F6FAD4" w:rsidR="007714F9" w:rsidRDefault="007714F9" w:rsidP="007714F9">
      <w:pPr>
        <w:pStyle w:val="ListParagraph"/>
        <w:numPr>
          <w:ilvl w:val="0"/>
          <w:numId w:val="11"/>
        </w:numPr>
        <w:spacing w:after="0" w:line="240" w:lineRule="auto"/>
        <w:jc w:val="both"/>
        <w:rPr>
          <w:rFonts w:ascii="Times New Roman" w:eastAsia="Times New Roman" w:hAnsi="Times New Roman"/>
          <w:b/>
          <w:bCs/>
          <w:color w:val="000000" w:themeColor="text1"/>
          <w:sz w:val="24"/>
          <w:szCs w:val="24"/>
          <w:lang w:val="es-ES" w:eastAsia="es-ES"/>
        </w:rPr>
      </w:pPr>
      <w:r w:rsidRPr="003208BB">
        <w:rPr>
          <w:rFonts w:ascii="Times New Roman" w:eastAsia="Times New Roman" w:hAnsi="Times New Roman"/>
          <w:b/>
          <w:bCs/>
          <w:color w:val="000000" w:themeColor="text1"/>
          <w:sz w:val="24"/>
          <w:szCs w:val="24"/>
          <w:lang w:val="es-ES" w:eastAsia="es-ES"/>
        </w:rPr>
        <w:t>2ª</w:t>
      </w:r>
      <w:r w:rsidR="00D136BB">
        <w:rPr>
          <w:rFonts w:ascii="Times New Roman" w:eastAsia="Times New Roman" w:hAnsi="Times New Roman"/>
          <w:b/>
          <w:bCs/>
          <w:color w:val="000000" w:themeColor="text1"/>
          <w:sz w:val="24"/>
          <w:szCs w:val="24"/>
          <w:lang w:val="es-ES" w:eastAsia="es-ES"/>
        </w:rPr>
        <w:t xml:space="preserve"> </w:t>
      </w:r>
      <w:r w:rsidRPr="003208BB">
        <w:rPr>
          <w:rFonts w:ascii="Times New Roman" w:eastAsia="Times New Roman" w:hAnsi="Times New Roman"/>
          <w:b/>
          <w:bCs/>
          <w:color w:val="000000" w:themeColor="text1"/>
          <w:sz w:val="24"/>
          <w:szCs w:val="24"/>
          <w:lang w:val="es-ES" w:eastAsia="es-ES"/>
        </w:rPr>
        <w:t>Reunión</w:t>
      </w:r>
      <w:r w:rsidR="00D136BB">
        <w:rPr>
          <w:rFonts w:ascii="Times New Roman" w:eastAsia="Times New Roman" w:hAnsi="Times New Roman"/>
          <w:b/>
          <w:bCs/>
          <w:color w:val="000000" w:themeColor="text1"/>
          <w:sz w:val="24"/>
          <w:szCs w:val="24"/>
          <w:lang w:val="es-ES" w:eastAsia="es-ES"/>
        </w:rPr>
        <w:t xml:space="preserve"> </w:t>
      </w:r>
      <w:r w:rsidRPr="003208BB">
        <w:rPr>
          <w:rFonts w:ascii="Times New Roman" w:eastAsia="Times New Roman" w:hAnsi="Times New Roman"/>
          <w:b/>
          <w:bCs/>
          <w:color w:val="000000" w:themeColor="text1"/>
          <w:sz w:val="24"/>
          <w:szCs w:val="24"/>
          <w:lang w:val="es-ES" w:eastAsia="es-ES"/>
        </w:rPr>
        <w:t>del</w:t>
      </w:r>
      <w:r w:rsidR="00D136BB">
        <w:rPr>
          <w:rFonts w:ascii="Times New Roman" w:eastAsia="Times New Roman" w:hAnsi="Times New Roman"/>
          <w:b/>
          <w:bCs/>
          <w:color w:val="000000" w:themeColor="text1"/>
          <w:sz w:val="24"/>
          <w:szCs w:val="24"/>
          <w:lang w:val="es-ES" w:eastAsia="es-ES"/>
        </w:rPr>
        <w:t xml:space="preserve"> </w:t>
      </w:r>
      <w:r w:rsidRPr="003208BB">
        <w:rPr>
          <w:rFonts w:ascii="Times New Roman" w:eastAsia="Times New Roman" w:hAnsi="Times New Roman"/>
          <w:b/>
          <w:bCs/>
          <w:color w:val="000000" w:themeColor="text1"/>
          <w:sz w:val="24"/>
          <w:szCs w:val="24"/>
          <w:lang w:val="es-ES" w:eastAsia="es-ES"/>
        </w:rPr>
        <w:t>Grupo</w:t>
      </w:r>
      <w:r w:rsidR="00D136BB">
        <w:rPr>
          <w:rFonts w:ascii="Times New Roman" w:eastAsia="Times New Roman" w:hAnsi="Times New Roman"/>
          <w:b/>
          <w:bCs/>
          <w:color w:val="000000" w:themeColor="text1"/>
          <w:sz w:val="24"/>
          <w:szCs w:val="24"/>
          <w:lang w:val="es-ES" w:eastAsia="es-ES"/>
        </w:rPr>
        <w:t xml:space="preserve"> </w:t>
      </w:r>
      <w:r w:rsidRPr="003208BB">
        <w:rPr>
          <w:rFonts w:ascii="Times New Roman" w:eastAsia="Times New Roman" w:hAnsi="Times New Roman"/>
          <w:b/>
          <w:bCs/>
          <w:color w:val="000000" w:themeColor="text1"/>
          <w:sz w:val="24"/>
          <w:szCs w:val="24"/>
          <w:lang w:val="es-ES" w:eastAsia="es-ES"/>
        </w:rPr>
        <w:t>de</w:t>
      </w:r>
      <w:r w:rsidR="00D136BB">
        <w:rPr>
          <w:rFonts w:ascii="Times New Roman" w:eastAsia="Times New Roman" w:hAnsi="Times New Roman"/>
          <w:b/>
          <w:bCs/>
          <w:color w:val="000000" w:themeColor="text1"/>
          <w:sz w:val="24"/>
          <w:szCs w:val="24"/>
          <w:lang w:val="es-ES" w:eastAsia="es-ES"/>
        </w:rPr>
        <w:t xml:space="preserve"> </w:t>
      </w:r>
      <w:r w:rsidRPr="003208BB">
        <w:rPr>
          <w:rFonts w:ascii="Times New Roman" w:eastAsia="Times New Roman" w:hAnsi="Times New Roman"/>
          <w:b/>
          <w:bCs/>
          <w:color w:val="000000" w:themeColor="text1"/>
          <w:sz w:val="24"/>
          <w:szCs w:val="24"/>
          <w:lang w:val="es-ES" w:eastAsia="es-ES"/>
        </w:rPr>
        <w:t>Seguimiento</w:t>
      </w:r>
      <w:r w:rsidR="00D136BB">
        <w:rPr>
          <w:rFonts w:ascii="Times New Roman" w:eastAsia="Times New Roman" w:hAnsi="Times New Roman"/>
          <w:b/>
          <w:bCs/>
          <w:color w:val="000000" w:themeColor="text1"/>
          <w:sz w:val="24"/>
          <w:szCs w:val="24"/>
          <w:lang w:val="es-ES" w:eastAsia="es-ES"/>
        </w:rPr>
        <w:t xml:space="preserve"> </w:t>
      </w:r>
      <w:r w:rsidRPr="003208BB">
        <w:rPr>
          <w:rFonts w:ascii="Times New Roman" w:eastAsia="Times New Roman" w:hAnsi="Times New Roman"/>
          <w:b/>
          <w:bCs/>
          <w:color w:val="000000" w:themeColor="text1"/>
          <w:sz w:val="24"/>
          <w:szCs w:val="24"/>
          <w:lang w:val="es-ES" w:eastAsia="es-ES"/>
        </w:rPr>
        <w:t>y</w:t>
      </w:r>
      <w:r w:rsidR="00D136BB">
        <w:rPr>
          <w:rFonts w:ascii="Times New Roman" w:eastAsia="Times New Roman" w:hAnsi="Times New Roman"/>
          <w:b/>
          <w:bCs/>
          <w:color w:val="000000" w:themeColor="text1"/>
          <w:sz w:val="24"/>
          <w:szCs w:val="24"/>
          <w:lang w:val="es-ES" w:eastAsia="es-ES"/>
        </w:rPr>
        <w:t xml:space="preserve"> </w:t>
      </w:r>
      <w:r w:rsidRPr="003208BB">
        <w:rPr>
          <w:rFonts w:ascii="Times New Roman" w:eastAsia="Times New Roman" w:hAnsi="Times New Roman"/>
          <w:b/>
          <w:bCs/>
          <w:color w:val="000000" w:themeColor="text1"/>
          <w:sz w:val="24"/>
          <w:szCs w:val="24"/>
          <w:lang w:val="es-ES" w:eastAsia="es-ES"/>
        </w:rPr>
        <w:t>Evaluación.</w:t>
      </w:r>
    </w:p>
    <w:p w14:paraId="42FDE66A" w14:textId="67ACC63D" w:rsidR="007714F9" w:rsidRPr="0084750A"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Lugar</w:t>
      </w:r>
      <w:r w:rsidRPr="0084750A">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sidRPr="0084750A">
        <w:rPr>
          <w:rFonts w:ascii="Times New Roman" w:eastAsia="Times New Roman" w:hAnsi="Times New Roman"/>
          <w:bCs/>
          <w:color w:val="000000" w:themeColor="text1"/>
          <w:sz w:val="24"/>
          <w:szCs w:val="24"/>
          <w:lang w:val="es-ES" w:eastAsia="es-ES"/>
        </w:rPr>
        <w:t>Viena</w:t>
      </w:r>
    </w:p>
    <w:p w14:paraId="217D5776" w14:textId="6449BEB2" w:rsidR="007714F9" w:rsidRPr="0084750A"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Fecha</w:t>
      </w:r>
      <w:r>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01-05</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abril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2019</w:t>
      </w:r>
    </w:p>
    <w:p w14:paraId="6091135F" w14:textId="22425C1D"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Duración</w:t>
      </w:r>
      <w:r w:rsidRPr="0084750A">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1</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semana</w:t>
      </w:r>
    </w:p>
    <w:p w14:paraId="38A1049F" w14:textId="77777777"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p>
    <w:p w14:paraId="143B0AD3" w14:textId="5A7ECC6D"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esta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reunión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integraron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expertos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temáticos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invitados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participar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proceso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evaluación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proyectos,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así</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como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TO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y</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PMO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Organismo.</w:t>
      </w:r>
    </w:p>
    <w:p w14:paraId="381B09EF" w14:textId="5214A79B"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Durante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semana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trabajo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evaluaron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proyectos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que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correspondientes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PER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2016/2021,</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según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orientaciones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ToR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seguimiento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y</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evaluación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proyectos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y</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elaboró</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informe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reunión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que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servirá</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como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documento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referencia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elaboración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PER-2022/2029.</w:t>
      </w:r>
    </w:p>
    <w:p w14:paraId="0058E208" w14:textId="77777777"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p>
    <w:p w14:paraId="6CE3F5F7" w14:textId="49FE437E" w:rsidR="007714F9" w:rsidRDefault="007714F9" w:rsidP="007714F9">
      <w:pPr>
        <w:pStyle w:val="ListParagraph"/>
        <w:numPr>
          <w:ilvl w:val="0"/>
          <w:numId w:val="11"/>
        </w:numPr>
        <w:spacing w:after="0" w:line="240" w:lineRule="auto"/>
        <w:jc w:val="both"/>
        <w:rPr>
          <w:rFonts w:ascii="Times New Roman" w:eastAsia="Times New Roman" w:hAnsi="Times New Roman"/>
          <w:b/>
          <w:bCs/>
          <w:color w:val="000000" w:themeColor="text1"/>
          <w:sz w:val="24"/>
          <w:szCs w:val="24"/>
          <w:lang w:val="es-ES" w:eastAsia="es-ES"/>
        </w:rPr>
      </w:pPr>
      <w:r>
        <w:rPr>
          <w:rFonts w:ascii="Times New Roman" w:eastAsia="Times New Roman" w:hAnsi="Times New Roman"/>
          <w:b/>
          <w:bCs/>
          <w:color w:val="000000" w:themeColor="text1"/>
          <w:sz w:val="24"/>
          <w:szCs w:val="24"/>
          <w:lang w:val="es-ES" w:eastAsia="es-ES"/>
        </w:rPr>
        <w:t>XX</w:t>
      </w:r>
      <w:r w:rsidR="00D136BB">
        <w:rPr>
          <w:rFonts w:ascii="Times New Roman" w:eastAsia="Times New Roman" w:hAnsi="Times New Roman"/>
          <w:b/>
          <w:bCs/>
          <w:color w:val="000000" w:themeColor="text1"/>
          <w:sz w:val="24"/>
          <w:szCs w:val="24"/>
          <w:lang w:val="es-ES" w:eastAsia="es-ES"/>
        </w:rPr>
        <w:t xml:space="preserve"> </w:t>
      </w:r>
      <w:r>
        <w:rPr>
          <w:rFonts w:ascii="Times New Roman" w:eastAsia="Times New Roman" w:hAnsi="Times New Roman"/>
          <w:b/>
          <w:bCs/>
          <w:color w:val="000000" w:themeColor="text1"/>
          <w:sz w:val="24"/>
          <w:szCs w:val="24"/>
          <w:lang w:val="es-ES" w:eastAsia="es-ES"/>
        </w:rPr>
        <w:t>Reunión</w:t>
      </w:r>
      <w:r w:rsidR="00D136BB">
        <w:rPr>
          <w:rFonts w:ascii="Times New Roman" w:eastAsia="Times New Roman" w:hAnsi="Times New Roman"/>
          <w:b/>
          <w:bCs/>
          <w:color w:val="000000" w:themeColor="text1"/>
          <w:sz w:val="24"/>
          <w:szCs w:val="24"/>
          <w:lang w:val="es-ES" w:eastAsia="es-ES"/>
        </w:rPr>
        <w:t xml:space="preserve"> </w:t>
      </w:r>
      <w:r>
        <w:rPr>
          <w:rFonts w:ascii="Times New Roman" w:eastAsia="Times New Roman" w:hAnsi="Times New Roman"/>
          <w:b/>
          <w:bCs/>
          <w:color w:val="000000" w:themeColor="text1"/>
          <w:sz w:val="24"/>
          <w:szCs w:val="24"/>
          <w:lang w:val="es-ES" w:eastAsia="es-ES"/>
        </w:rPr>
        <w:t>del</w:t>
      </w:r>
      <w:r w:rsidR="00D136BB">
        <w:rPr>
          <w:rFonts w:ascii="Times New Roman" w:eastAsia="Times New Roman" w:hAnsi="Times New Roman"/>
          <w:b/>
          <w:bCs/>
          <w:color w:val="000000" w:themeColor="text1"/>
          <w:sz w:val="24"/>
          <w:szCs w:val="24"/>
          <w:lang w:val="es-ES" w:eastAsia="es-ES"/>
        </w:rPr>
        <w:t xml:space="preserve"> </w:t>
      </w:r>
      <w:r>
        <w:rPr>
          <w:rFonts w:ascii="Times New Roman" w:eastAsia="Times New Roman" w:hAnsi="Times New Roman"/>
          <w:b/>
          <w:bCs/>
          <w:color w:val="000000" w:themeColor="text1"/>
          <w:sz w:val="24"/>
          <w:szCs w:val="24"/>
          <w:lang w:val="es-ES" w:eastAsia="es-ES"/>
        </w:rPr>
        <w:t>OCTA</w:t>
      </w:r>
    </w:p>
    <w:p w14:paraId="005FF341" w14:textId="7702D42A" w:rsidR="007714F9" w:rsidRPr="0084750A"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Lugar</w:t>
      </w:r>
      <w:r>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Cuba</w:t>
      </w:r>
    </w:p>
    <w:p w14:paraId="7C03C37A" w14:textId="02EA7957" w:rsidR="007714F9" w:rsidRPr="0084750A"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Fecha</w:t>
      </w:r>
      <w:r>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20-24</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mayo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2019</w:t>
      </w:r>
    </w:p>
    <w:p w14:paraId="376F085F" w14:textId="7FCF2C39"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Duración</w:t>
      </w:r>
      <w:r w:rsidRPr="0084750A">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1</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semana</w:t>
      </w:r>
    </w:p>
    <w:p w14:paraId="39A0FFB3" w14:textId="77777777"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p>
    <w:p w14:paraId="707E5209" w14:textId="3B10404E"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En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esta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reunión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OCTA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discutió,</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ajustó</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y</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aprobó</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Término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Referencia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(ToR)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elaboración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PER-2022/2029</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y,</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junto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con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ello,</w:t>
      </w:r>
      <w:r w:rsidR="00D136BB">
        <w:rPr>
          <w:rFonts w:ascii="Times New Roman" w:eastAsia="Times New Roman" w:hAnsi="Times New Roman"/>
          <w:bCs/>
          <w:color w:val="000000" w:themeColor="text1"/>
          <w:sz w:val="24"/>
          <w:szCs w:val="24"/>
          <w:lang w:val="es-ES" w:eastAsia="es-ES"/>
        </w:rPr>
        <w:t xml:space="preserve"> </w:t>
      </w:r>
      <w:r w:rsidR="007F08BA">
        <w:rPr>
          <w:rFonts w:ascii="Times New Roman" w:eastAsia="Times New Roman" w:hAnsi="Times New Roman"/>
          <w:bCs/>
          <w:color w:val="000000" w:themeColor="text1"/>
          <w:sz w:val="24"/>
          <w:szCs w:val="24"/>
          <w:lang w:val="es-ES" w:eastAsia="es-ES"/>
        </w:rPr>
        <w:t>las</w:t>
      </w:r>
      <w:r w:rsidR="00D136BB">
        <w:rPr>
          <w:rFonts w:ascii="Times New Roman" w:eastAsia="Times New Roman" w:hAnsi="Times New Roman"/>
          <w:bCs/>
          <w:color w:val="000000" w:themeColor="text1"/>
          <w:sz w:val="24"/>
          <w:szCs w:val="24"/>
          <w:lang w:val="es-ES" w:eastAsia="es-ES"/>
        </w:rPr>
        <w:t xml:space="preserve"> </w:t>
      </w:r>
      <w:r w:rsidR="007F08BA">
        <w:rPr>
          <w:rFonts w:ascii="Times New Roman" w:eastAsia="Times New Roman" w:hAnsi="Times New Roman"/>
          <w:bCs/>
          <w:color w:val="000000" w:themeColor="text1"/>
          <w:sz w:val="24"/>
          <w:szCs w:val="24"/>
          <w:lang w:val="es-ES" w:eastAsia="es-ES"/>
        </w:rPr>
        <w:t>elecciones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Necesidades/Problemas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bienio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2022-2023,</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partir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evaluación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que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hizo</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reunión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abril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2019.</w:t>
      </w:r>
    </w:p>
    <w:p w14:paraId="391E2592" w14:textId="77777777"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p>
    <w:p w14:paraId="54942715" w14:textId="7864D12B" w:rsidR="007714F9" w:rsidRPr="00A572DB" w:rsidRDefault="007714F9" w:rsidP="007714F9">
      <w:pPr>
        <w:pStyle w:val="ListParagraph"/>
        <w:numPr>
          <w:ilvl w:val="0"/>
          <w:numId w:val="11"/>
        </w:numPr>
        <w:spacing w:after="0" w:line="240" w:lineRule="auto"/>
        <w:jc w:val="both"/>
        <w:rPr>
          <w:rFonts w:ascii="Times New Roman" w:eastAsia="Times New Roman" w:hAnsi="Times New Roman"/>
          <w:b/>
          <w:bCs/>
          <w:sz w:val="24"/>
          <w:szCs w:val="24"/>
          <w:lang w:val="es-ES" w:eastAsia="es-ES"/>
        </w:rPr>
      </w:pPr>
      <w:r w:rsidRPr="00A572DB">
        <w:rPr>
          <w:rFonts w:ascii="Times New Roman" w:eastAsia="Times New Roman" w:hAnsi="Times New Roman"/>
          <w:b/>
          <w:bCs/>
          <w:sz w:val="24"/>
          <w:szCs w:val="24"/>
          <w:lang w:val="es-ES" w:eastAsia="es-ES"/>
        </w:rPr>
        <w:t>XX</w:t>
      </w:r>
      <w:r w:rsidR="00D136BB">
        <w:rPr>
          <w:rFonts w:ascii="Times New Roman" w:eastAsia="Times New Roman" w:hAnsi="Times New Roman"/>
          <w:b/>
          <w:bCs/>
          <w:sz w:val="24"/>
          <w:szCs w:val="24"/>
          <w:lang w:val="es-ES" w:eastAsia="es-ES"/>
        </w:rPr>
        <w:t xml:space="preserve"> </w:t>
      </w:r>
      <w:r w:rsidRPr="00A572DB">
        <w:rPr>
          <w:rFonts w:ascii="Times New Roman" w:eastAsia="Times New Roman" w:hAnsi="Times New Roman"/>
          <w:b/>
          <w:bCs/>
          <w:sz w:val="24"/>
          <w:szCs w:val="24"/>
          <w:lang w:val="es-ES" w:eastAsia="es-ES"/>
        </w:rPr>
        <w:t>Reunión</w:t>
      </w:r>
      <w:r w:rsidR="00D136BB">
        <w:rPr>
          <w:rFonts w:ascii="Times New Roman" w:eastAsia="Times New Roman" w:hAnsi="Times New Roman"/>
          <w:b/>
          <w:bCs/>
          <w:sz w:val="24"/>
          <w:szCs w:val="24"/>
          <w:lang w:val="es-ES" w:eastAsia="es-ES"/>
        </w:rPr>
        <w:t xml:space="preserve"> </w:t>
      </w:r>
      <w:r w:rsidRPr="00A572DB">
        <w:rPr>
          <w:rFonts w:ascii="Times New Roman" w:eastAsia="Times New Roman" w:hAnsi="Times New Roman"/>
          <w:b/>
          <w:bCs/>
          <w:sz w:val="24"/>
          <w:szCs w:val="24"/>
          <w:lang w:val="es-ES" w:eastAsia="es-ES"/>
        </w:rPr>
        <w:t>del</w:t>
      </w:r>
      <w:r w:rsidR="00D136BB">
        <w:rPr>
          <w:rFonts w:ascii="Times New Roman" w:eastAsia="Times New Roman" w:hAnsi="Times New Roman"/>
          <w:b/>
          <w:bCs/>
          <w:sz w:val="24"/>
          <w:szCs w:val="24"/>
          <w:lang w:val="es-ES" w:eastAsia="es-ES"/>
        </w:rPr>
        <w:t xml:space="preserve"> </w:t>
      </w:r>
      <w:r w:rsidRPr="00A572DB">
        <w:rPr>
          <w:rFonts w:ascii="Times New Roman" w:eastAsia="Times New Roman" w:hAnsi="Times New Roman"/>
          <w:b/>
          <w:bCs/>
          <w:sz w:val="24"/>
          <w:szCs w:val="24"/>
          <w:lang w:val="es-ES" w:eastAsia="es-ES"/>
        </w:rPr>
        <w:t>ORA</w:t>
      </w:r>
    </w:p>
    <w:p w14:paraId="52AC30B0" w14:textId="371BC620" w:rsidR="007714F9" w:rsidRPr="0084750A"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Lugar</w:t>
      </w:r>
      <w:r>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Viena</w:t>
      </w:r>
    </w:p>
    <w:p w14:paraId="32D4A488" w14:textId="3BF1C167" w:rsidR="007714F9" w:rsidRPr="0084750A"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Fecha</w:t>
      </w:r>
      <w:r>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septiembre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2019</w:t>
      </w:r>
    </w:p>
    <w:p w14:paraId="22B8D205" w14:textId="1C625FFB"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84750A">
        <w:rPr>
          <w:rFonts w:ascii="Times New Roman" w:eastAsia="Times New Roman" w:hAnsi="Times New Roman"/>
          <w:b/>
          <w:bCs/>
          <w:color w:val="000000" w:themeColor="text1"/>
          <w:sz w:val="24"/>
          <w:szCs w:val="24"/>
          <w:lang w:val="es-ES" w:eastAsia="es-ES"/>
        </w:rPr>
        <w:t>Duración</w:t>
      </w:r>
      <w:r w:rsidRPr="0084750A">
        <w:rPr>
          <w:rFonts w:ascii="Times New Roman" w:eastAsia="Times New Roman" w:hAnsi="Times New Roman"/>
          <w:bCs/>
          <w:color w:val="000000" w:themeColor="text1"/>
          <w:sz w:val="24"/>
          <w:szCs w:val="24"/>
          <w:lang w:val="es-ES" w:eastAsia="es-ES"/>
        </w:rPr>
        <w:t>:</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1</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día</w:t>
      </w:r>
    </w:p>
    <w:p w14:paraId="275DD0C6" w14:textId="03AE040C"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Pr>
          <w:rFonts w:ascii="Times New Roman" w:eastAsia="Times New Roman" w:hAnsi="Times New Roman"/>
          <w:bCs/>
          <w:color w:val="000000" w:themeColor="text1"/>
          <w:sz w:val="24"/>
          <w:szCs w:val="24"/>
          <w:lang w:val="es-ES" w:eastAsia="es-ES"/>
        </w:rPr>
        <w:t>En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esta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reunión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ORA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discutió,</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ajustó</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y</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se</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aprobó</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los</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ToR</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para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la</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elaboración</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del</w:t>
      </w:r>
      <w:r w:rsidR="00D136BB">
        <w:rPr>
          <w:rFonts w:ascii="Times New Roman" w:eastAsia="Times New Roman" w:hAnsi="Times New Roman"/>
          <w:bCs/>
          <w:color w:val="000000" w:themeColor="text1"/>
          <w:sz w:val="24"/>
          <w:szCs w:val="24"/>
          <w:lang w:val="es-ES" w:eastAsia="es-ES"/>
        </w:rPr>
        <w:t xml:space="preserve"> </w:t>
      </w:r>
      <w:r>
        <w:rPr>
          <w:rFonts w:ascii="Times New Roman" w:eastAsia="Times New Roman" w:hAnsi="Times New Roman"/>
          <w:bCs/>
          <w:color w:val="000000" w:themeColor="text1"/>
          <w:sz w:val="24"/>
          <w:szCs w:val="24"/>
          <w:lang w:val="es-ES" w:eastAsia="es-ES"/>
        </w:rPr>
        <w:t>PER-2022/2029.</w:t>
      </w:r>
    </w:p>
    <w:p w14:paraId="551F164B" w14:textId="77777777" w:rsidR="007714F9"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p>
    <w:p w14:paraId="24A71756" w14:textId="51617D18" w:rsidR="007714F9" w:rsidRPr="00372FFC" w:rsidRDefault="007714F9" w:rsidP="007714F9">
      <w:pPr>
        <w:pStyle w:val="ListParagraph"/>
        <w:numPr>
          <w:ilvl w:val="0"/>
          <w:numId w:val="11"/>
        </w:numPr>
        <w:spacing w:after="0" w:line="240" w:lineRule="auto"/>
        <w:jc w:val="both"/>
        <w:rPr>
          <w:rFonts w:ascii="Times New Roman" w:eastAsia="Times New Roman" w:hAnsi="Times New Roman"/>
          <w:b/>
          <w:bCs/>
          <w:sz w:val="24"/>
          <w:szCs w:val="24"/>
          <w:lang w:val="es-ES" w:eastAsia="es-ES"/>
        </w:rPr>
      </w:pPr>
      <w:r w:rsidRPr="00B85539">
        <w:rPr>
          <w:rFonts w:ascii="Times New Roman" w:eastAsia="Times New Roman" w:hAnsi="Times New Roman"/>
          <w:b/>
          <w:bCs/>
          <w:color w:val="000000" w:themeColor="text1"/>
          <w:sz w:val="24"/>
          <w:szCs w:val="24"/>
          <w:lang w:val="es-ES" w:eastAsia="es-ES"/>
        </w:rPr>
        <w:t>1ª</w:t>
      </w:r>
      <w:r w:rsidR="00D136BB">
        <w:rPr>
          <w:rFonts w:ascii="Times New Roman" w:eastAsia="Times New Roman" w:hAnsi="Times New Roman"/>
          <w:b/>
          <w:bCs/>
          <w:color w:val="000000" w:themeColor="text1"/>
          <w:sz w:val="24"/>
          <w:szCs w:val="24"/>
          <w:lang w:val="es-ES" w:eastAsia="es-ES"/>
        </w:rPr>
        <w:t xml:space="preserve"> </w:t>
      </w:r>
      <w:r w:rsidRPr="00B85539">
        <w:rPr>
          <w:rFonts w:ascii="Times New Roman" w:eastAsia="Times New Roman" w:hAnsi="Times New Roman"/>
          <w:b/>
          <w:bCs/>
          <w:color w:val="000000" w:themeColor="text1"/>
          <w:sz w:val="24"/>
          <w:szCs w:val="24"/>
          <w:lang w:val="es-ES" w:eastAsia="es-ES"/>
        </w:rPr>
        <w:t>Reunión</w:t>
      </w:r>
      <w:r w:rsidR="00D136BB">
        <w:rPr>
          <w:rFonts w:ascii="Times New Roman" w:eastAsia="Times New Roman" w:hAnsi="Times New Roman"/>
          <w:b/>
          <w:bCs/>
          <w:color w:val="000000" w:themeColor="text1"/>
          <w:sz w:val="24"/>
          <w:szCs w:val="24"/>
          <w:lang w:val="es-ES" w:eastAsia="es-ES"/>
        </w:rPr>
        <w:t xml:space="preserve"> </w:t>
      </w:r>
      <w:r w:rsidRPr="00B85539">
        <w:rPr>
          <w:rFonts w:ascii="Times New Roman" w:eastAsia="Times New Roman" w:hAnsi="Times New Roman"/>
          <w:b/>
          <w:bCs/>
          <w:color w:val="000000" w:themeColor="text1"/>
          <w:sz w:val="24"/>
          <w:szCs w:val="24"/>
          <w:lang w:val="es-ES" w:eastAsia="es-ES"/>
        </w:rPr>
        <w:t>de</w:t>
      </w:r>
      <w:r w:rsidR="00D136BB">
        <w:rPr>
          <w:rFonts w:ascii="Times New Roman" w:eastAsia="Times New Roman" w:hAnsi="Times New Roman"/>
          <w:b/>
          <w:bCs/>
          <w:color w:val="000000" w:themeColor="text1"/>
          <w:sz w:val="24"/>
          <w:szCs w:val="24"/>
          <w:lang w:val="es-ES" w:eastAsia="es-ES"/>
        </w:rPr>
        <w:t xml:space="preserve"> </w:t>
      </w:r>
      <w:r w:rsidRPr="00B85539">
        <w:rPr>
          <w:rFonts w:ascii="Times New Roman" w:eastAsia="Times New Roman" w:hAnsi="Times New Roman"/>
          <w:b/>
          <w:bCs/>
          <w:color w:val="000000" w:themeColor="text1"/>
          <w:sz w:val="24"/>
          <w:szCs w:val="24"/>
          <w:lang w:val="es-ES" w:eastAsia="es-ES"/>
        </w:rPr>
        <w:t>los</w:t>
      </w:r>
      <w:r w:rsidR="00D136BB">
        <w:rPr>
          <w:rFonts w:ascii="Times New Roman" w:eastAsia="Times New Roman" w:hAnsi="Times New Roman"/>
          <w:b/>
          <w:bCs/>
          <w:color w:val="000000" w:themeColor="text1"/>
          <w:sz w:val="24"/>
          <w:szCs w:val="24"/>
          <w:lang w:val="es-ES" w:eastAsia="es-ES"/>
        </w:rPr>
        <w:t xml:space="preserve"> </w:t>
      </w:r>
      <w:r w:rsidRPr="00B85539">
        <w:rPr>
          <w:rFonts w:ascii="Times New Roman" w:eastAsia="Times New Roman" w:hAnsi="Times New Roman"/>
          <w:b/>
          <w:bCs/>
          <w:color w:val="000000" w:themeColor="text1"/>
          <w:sz w:val="24"/>
          <w:szCs w:val="24"/>
          <w:lang w:val="es-ES" w:eastAsia="es-ES"/>
        </w:rPr>
        <w:t>Grupos</w:t>
      </w:r>
      <w:r w:rsidR="00D136BB">
        <w:rPr>
          <w:rFonts w:ascii="Times New Roman" w:eastAsia="Times New Roman" w:hAnsi="Times New Roman"/>
          <w:b/>
          <w:bCs/>
          <w:color w:val="000000" w:themeColor="text1"/>
          <w:sz w:val="24"/>
          <w:szCs w:val="24"/>
          <w:lang w:val="es-ES" w:eastAsia="es-ES"/>
        </w:rPr>
        <w:t xml:space="preserve"> </w:t>
      </w:r>
      <w:r w:rsidRPr="00B85539">
        <w:rPr>
          <w:rFonts w:ascii="Times New Roman" w:eastAsia="Times New Roman" w:hAnsi="Times New Roman"/>
          <w:b/>
          <w:bCs/>
          <w:color w:val="000000" w:themeColor="text1"/>
          <w:sz w:val="24"/>
          <w:szCs w:val="24"/>
          <w:lang w:val="es-ES" w:eastAsia="es-ES"/>
        </w:rPr>
        <w:t>Temáticos.</w:t>
      </w:r>
    </w:p>
    <w:p w14:paraId="3936FAC9" w14:textId="0500D5EC" w:rsidR="007714F9" w:rsidRPr="00C8477B" w:rsidRDefault="007714F9" w:rsidP="007714F9">
      <w:pPr>
        <w:spacing w:after="0" w:line="240" w:lineRule="auto"/>
        <w:jc w:val="both"/>
        <w:rPr>
          <w:rFonts w:ascii="Times New Roman" w:eastAsia="Times New Roman" w:hAnsi="Times New Roman"/>
          <w:b/>
          <w:bCs/>
          <w:color w:val="000000" w:themeColor="text1"/>
          <w:sz w:val="24"/>
          <w:szCs w:val="24"/>
          <w:lang w:val="es-ES" w:eastAsia="es-ES"/>
        </w:rPr>
      </w:pPr>
      <w:r w:rsidRPr="00C8477B">
        <w:rPr>
          <w:rFonts w:ascii="Times New Roman" w:eastAsia="Times New Roman" w:hAnsi="Times New Roman"/>
          <w:b/>
          <w:bCs/>
          <w:color w:val="000000" w:themeColor="text1"/>
          <w:sz w:val="24"/>
          <w:szCs w:val="24"/>
          <w:lang w:val="es-ES" w:eastAsia="es-ES"/>
        </w:rPr>
        <w:t>Lugar:</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bCs/>
          <w:color w:val="000000" w:themeColor="text1"/>
          <w:sz w:val="24"/>
          <w:szCs w:val="24"/>
          <w:lang w:val="es-ES" w:eastAsia="es-ES"/>
        </w:rPr>
        <w:t>Viena</w:t>
      </w:r>
    </w:p>
    <w:p w14:paraId="0D3FC1DF" w14:textId="399D5573" w:rsidR="007714F9" w:rsidRPr="00C8477B"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C8477B">
        <w:rPr>
          <w:rFonts w:ascii="Times New Roman" w:eastAsia="Times New Roman" w:hAnsi="Times New Roman"/>
          <w:b/>
          <w:bCs/>
          <w:color w:val="000000" w:themeColor="text1"/>
          <w:sz w:val="24"/>
          <w:szCs w:val="24"/>
          <w:lang w:val="es-ES" w:eastAsia="es-ES"/>
        </w:rPr>
        <w:t>Fecha:</w:t>
      </w:r>
      <w:r w:rsidR="00D136BB">
        <w:rPr>
          <w:rFonts w:ascii="Times New Roman" w:eastAsia="Times New Roman" w:hAnsi="Times New Roman"/>
          <w:b/>
          <w:bCs/>
          <w:color w:val="000000" w:themeColor="text1"/>
          <w:sz w:val="24"/>
          <w:szCs w:val="24"/>
          <w:lang w:val="es-ES" w:eastAsia="es-ES"/>
        </w:rPr>
        <w:t xml:space="preserve"> </w:t>
      </w:r>
      <w:r w:rsidRPr="00C8477B">
        <w:rPr>
          <w:rFonts w:ascii="Times New Roman" w:eastAsia="Times New Roman" w:hAnsi="Times New Roman"/>
          <w:color w:val="000000" w:themeColor="text1"/>
          <w:sz w:val="24"/>
          <w:szCs w:val="24"/>
          <w:lang w:val="es-ES" w:eastAsia="es-ES"/>
        </w:rPr>
        <w:t>04-08</w:t>
      </w:r>
      <w:r w:rsidR="00D136BB">
        <w:rPr>
          <w:rFonts w:ascii="Times New Roman" w:eastAsia="Times New Roman" w:hAnsi="Times New Roman"/>
          <w:b/>
          <w:bCs/>
          <w:color w:val="000000" w:themeColor="text1"/>
          <w:sz w:val="24"/>
          <w:szCs w:val="24"/>
          <w:lang w:val="es-ES" w:eastAsia="es-ES"/>
        </w:rPr>
        <w:t xml:space="preserve"> </w:t>
      </w:r>
      <w:r w:rsidR="00FA651F">
        <w:rPr>
          <w:rFonts w:ascii="Times New Roman" w:eastAsia="Times New Roman" w:hAnsi="Times New Roman"/>
          <w:bCs/>
          <w:color w:val="000000" w:themeColor="text1"/>
          <w:sz w:val="24"/>
          <w:szCs w:val="24"/>
          <w:lang w:val="es-ES" w:eastAsia="es-ES"/>
        </w:rPr>
        <w:t>n</w:t>
      </w:r>
      <w:r w:rsidRPr="00C8477B">
        <w:rPr>
          <w:rFonts w:ascii="Times New Roman" w:eastAsia="Times New Roman" w:hAnsi="Times New Roman"/>
          <w:bCs/>
          <w:color w:val="000000" w:themeColor="text1"/>
          <w:sz w:val="24"/>
          <w:szCs w:val="24"/>
          <w:lang w:val="es-ES" w:eastAsia="es-ES"/>
        </w:rPr>
        <w:t>oviembre</w:t>
      </w:r>
      <w:r w:rsidR="00D136BB">
        <w:rPr>
          <w:rFonts w:ascii="Times New Roman" w:eastAsia="Times New Roman" w:hAnsi="Times New Roman"/>
          <w:bCs/>
          <w:color w:val="000000" w:themeColor="text1"/>
          <w:sz w:val="24"/>
          <w:szCs w:val="24"/>
          <w:lang w:val="es-ES" w:eastAsia="es-ES"/>
        </w:rPr>
        <w:t xml:space="preserve"> </w:t>
      </w:r>
      <w:r w:rsidRPr="00C8477B">
        <w:rPr>
          <w:rFonts w:ascii="Times New Roman" w:eastAsia="Times New Roman" w:hAnsi="Times New Roman"/>
          <w:bCs/>
          <w:color w:val="000000" w:themeColor="text1"/>
          <w:sz w:val="24"/>
          <w:szCs w:val="24"/>
          <w:lang w:val="es-ES" w:eastAsia="es-ES"/>
        </w:rPr>
        <w:t>2019</w:t>
      </w:r>
    </w:p>
    <w:p w14:paraId="61FD3B1C" w14:textId="3C12A79E" w:rsidR="007714F9" w:rsidRPr="00C8477B"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r w:rsidRPr="00C8477B">
        <w:rPr>
          <w:rFonts w:ascii="Times New Roman" w:eastAsia="Times New Roman" w:hAnsi="Times New Roman"/>
          <w:b/>
          <w:bCs/>
          <w:color w:val="000000" w:themeColor="text1"/>
          <w:sz w:val="24"/>
          <w:szCs w:val="24"/>
          <w:lang w:val="es-ES" w:eastAsia="es-ES"/>
        </w:rPr>
        <w:t>Duración:</w:t>
      </w:r>
      <w:r w:rsidR="00D136BB">
        <w:rPr>
          <w:rFonts w:ascii="Times New Roman" w:eastAsia="Times New Roman" w:hAnsi="Times New Roman"/>
          <w:bCs/>
          <w:color w:val="000000" w:themeColor="text1"/>
          <w:sz w:val="24"/>
          <w:szCs w:val="24"/>
          <w:lang w:val="es-ES" w:eastAsia="es-ES"/>
        </w:rPr>
        <w:t xml:space="preserve"> </w:t>
      </w:r>
      <w:r w:rsidRPr="00C8477B">
        <w:rPr>
          <w:rFonts w:ascii="Times New Roman" w:eastAsia="Times New Roman" w:hAnsi="Times New Roman"/>
          <w:bCs/>
          <w:color w:val="000000" w:themeColor="text1"/>
          <w:sz w:val="24"/>
          <w:szCs w:val="24"/>
          <w:lang w:val="es-ES" w:eastAsia="es-ES"/>
        </w:rPr>
        <w:t>1</w:t>
      </w:r>
      <w:r w:rsidR="00D136BB">
        <w:rPr>
          <w:rFonts w:ascii="Times New Roman" w:eastAsia="Times New Roman" w:hAnsi="Times New Roman"/>
          <w:bCs/>
          <w:color w:val="000000" w:themeColor="text1"/>
          <w:sz w:val="24"/>
          <w:szCs w:val="24"/>
          <w:lang w:val="es-ES" w:eastAsia="es-ES"/>
        </w:rPr>
        <w:t xml:space="preserve"> </w:t>
      </w:r>
      <w:r w:rsidRPr="00C8477B">
        <w:rPr>
          <w:rFonts w:ascii="Times New Roman" w:eastAsia="Times New Roman" w:hAnsi="Times New Roman"/>
          <w:bCs/>
          <w:color w:val="000000" w:themeColor="text1"/>
          <w:sz w:val="24"/>
          <w:szCs w:val="24"/>
          <w:lang w:val="es-ES" w:eastAsia="es-ES"/>
        </w:rPr>
        <w:t>semana</w:t>
      </w:r>
    </w:p>
    <w:p w14:paraId="4AD19CBA" w14:textId="77777777" w:rsidR="007714F9" w:rsidRPr="00C8477B" w:rsidRDefault="007714F9" w:rsidP="007714F9">
      <w:pPr>
        <w:spacing w:after="0" w:line="240" w:lineRule="auto"/>
        <w:jc w:val="both"/>
        <w:rPr>
          <w:rFonts w:ascii="Times New Roman" w:eastAsia="Times New Roman" w:hAnsi="Times New Roman"/>
          <w:bCs/>
          <w:color w:val="000000" w:themeColor="text1"/>
          <w:sz w:val="24"/>
          <w:szCs w:val="24"/>
          <w:lang w:val="es-ES" w:eastAsia="es-ES"/>
        </w:rPr>
      </w:pPr>
    </w:p>
    <w:p w14:paraId="66767990" w14:textId="770CD2C5" w:rsidR="007714F9" w:rsidRDefault="007714F9" w:rsidP="007714F9">
      <w:pPr>
        <w:spacing w:after="0" w:line="240" w:lineRule="auto"/>
        <w:jc w:val="both"/>
        <w:rPr>
          <w:rFonts w:ascii="Times New Roman" w:eastAsia="Times New Roman" w:hAnsi="Times New Roman"/>
          <w:bCs/>
          <w:sz w:val="24"/>
          <w:szCs w:val="24"/>
          <w:lang w:val="es-ES" w:eastAsia="es-ES"/>
        </w:rPr>
      </w:pPr>
      <w:r>
        <w:rPr>
          <w:rFonts w:ascii="Times New Roman" w:eastAsia="Times New Roman" w:hAnsi="Times New Roman"/>
          <w:bCs/>
          <w:sz w:val="24"/>
          <w:szCs w:val="24"/>
          <w:lang w:val="es-ES" w:eastAsia="es-ES"/>
        </w:rPr>
        <w:t>En</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esta</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reunión</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se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hizo</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el</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diagnóstico</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estratégico</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sectorial,</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con</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identifica</w:t>
      </w:r>
      <w:r>
        <w:rPr>
          <w:rFonts w:ascii="Times New Roman" w:eastAsia="Times New Roman" w:hAnsi="Times New Roman"/>
          <w:bCs/>
          <w:sz w:val="24"/>
          <w:szCs w:val="24"/>
          <w:lang w:val="es-ES" w:eastAsia="es-ES"/>
        </w:rPr>
        <w:t>ción</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de</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las</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necesidades</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o</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problemas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para</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el</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período</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2022-2029</w:t>
      </w:r>
      <w:r w:rsidRPr="00F22423">
        <w:rPr>
          <w:rFonts w:ascii="Times New Roman" w:eastAsia="Times New Roman" w:hAnsi="Times New Roman"/>
          <w:bCs/>
          <w:sz w:val="24"/>
          <w:szCs w:val="24"/>
          <w:lang w:val="es-ES" w:eastAsia="es-ES"/>
        </w:rPr>
        <w:t>,</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sus</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objetivos</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estratégicos</w:t>
      </w:r>
      <w:r>
        <w:rPr>
          <w:rFonts w:ascii="Times New Roman" w:eastAsia="Times New Roman" w:hAnsi="Times New Roman"/>
          <w:bCs/>
          <w:sz w:val="24"/>
          <w:szCs w:val="24"/>
          <w:lang w:val="es-ES" w:eastAsia="es-ES"/>
        </w:rPr>
        <w:t>,</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indicadores</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de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resultado</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y</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la</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respectiva</w:t>
      </w:r>
      <w:r w:rsidR="00D136BB">
        <w:rPr>
          <w:rFonts w:ascii="Times New Roman" w:eastAsia="Times New Roman" w:hAnsi="Times New Roman"/>
          <w:bCs/>
          <w:sz w:val="24"/>
          <w:szCs w:val="24"/>
          <w:lang w:val="es-ES" w:eastAsia="es-ES"/>
        </w:rPr>
        <w:t xml:space="preserve"> </w:t>
      </w:r>
      <w:r w:rsidRPr="00F22423">
        <w:rPr>
          <w:rFonts w:ascii="Times New Roman" w:eastAsia="Times New Roman" w:hAnsi="Times New Roman"/>
          <w:bCs/>
          <w:sz w:val="24"/>
          <w:szCs w:val="24"/>
          <w:lang w:val="es-ES" w:eastAsia="es-ES"/>
        </w:rPr>
        <w:t>priorización</w:t>
      </w:r>
      <w:r>
        <w:rPr>
          <w:rFonts w:ascii="Times New Roman" w:eastAsia="Times New Roman" w:hAnsi="Times New Roman"/>
          <w:bCs/>
          <w:sz w:val="24"/>
          <w:szCs w:val="24"/>
          <w:lang w:val="es-ES" w:eastAsia="es-ES"/>
        </w:rPr>
        <w:t>,</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que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se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encuentran</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plasmados</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en</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este</w:t>
      </w:r>
      <w:r w:rsidR="00D136BB">
        <w:rPr>
          <w:rFonts w:ascii="Times New Roman" w:eastAsia="Times New Roman" w:hAnsi="Times New Roman"/>
          <w:bCs/>
          <w:sz w:val="24"/>
          <w:szCs w:val="24"/>
          <w:lang w:val="es-ES" w:eastAsia="es-ES"/>
        </w:rPr>
        <w:t xml:space="preserve"> </w:t>
      </w:r>
      <w:r>
        <w:rPr>
          <w:rFonts w:ascii="Times New Roman" w:eastAsia="Times New Roman" w:hAnsi="Times New Roman"/>
          <w:bCs/>
          <w:sz w:val="24"/>
          <w:szCs w:val="24"/>
          <w:lang w:val="es-ES" w:eastAsia="es-ES"/>
        </w:rPr>
        <w:t>documento.</w:t>
      </w:r>
    </w:p>
    <w:p w14:paraId="6A227C07" w14:textId="77777777" w:rsidR="007714F9" w:rsidRDefault="007714F9" w:rsidP="007714F9">
      <w:pPr>
        <w:spacing w:after="0" w:line="240" w:lineRule="auto"/>
        <w:jc w:val="both"/>
        <w:rPr>
          <w:rFonts w:ascii="Times New Roman" w:eastAsia="Times New Roman" w:hAnsi="Times New Roman"/>
          <w:bCs/>
          <w:sz w:val="24"/>
          <w:szCs w:val="24"/>
          <w:lang w:val="es-ES" w:eastAsia="es-ES"/>
        </w:rPr>
      </w:pPr>
    </w:p>
    <w:p w14:paraId="0510D989" w14:textId="77777777" w:rsidR="007714F9" w:rsidRDefault="007714F9" w:rsidP="002C21C1">
      <w:pPr>
        <w:pStyle w:val="BodyText"/>
        <w:rPr>
          <w:lang w:val="es-ES"/>
        </w:rPr>
      </w:pPr>
    </w:p>
    <w:p w14:paraId="64BF5310" w14:textId="77777777" w:rsidR="00144FCC" w:rsidRDefault="00144FCC" w:rsidP="002C21C1">
      <w:pPr>
        <w:pStyle w:val="BodyText"/>
        <w:rPr>
          <w:lang w:val="es-ES"/>
        </w:rPr>
      </w:pPr>
    </w:p>
    <w:p w14:paraId="1AE27F88" w14:textId="77777777" w:rsidR="003719F8" w:rsidRDefault="003719F8" w:rsidP="002C21C1">
      <w:pPr>
        <w:pStyle w:val="BodyText"/>
        <w:rPr>
          <w:lang w:val="es-ES"/>
        </w:rPr>
      </w:pPr>
    </w:p>
    <w:p w14:paraId="7E433B66" w14:textId="77777777" w:rsidR="003719F8" w:rsidRDefault="003719F8" w:rsidP="002C21C1">
      <w:pPr>
        <w:pStyle w:val="BodyText"/>
        <w:rPr>
          <w:lang w:val="es-ES"/>
        </w:rPr>
      </w:pPr>
    </w:p>
    <w:p w14:paraId="744AC4B1" w14:textId="77777777" w:rsidR="003719F8" w:rsidRDefault="003719F8" w:rsidP="002C21C1">
      <w:pPr>
        <w:pStyle w:val="BodyText"/>
        <w:rPr>
          <w:lang w:val="es-ES"/>
        </w:rPr>
      </w:pPr>
    </w:p>
    <w:p w14:paraId="7368B841" w14:textId="77777777" w:rsidR="003719F8" w:rsidRDefault="003719F8" w:rsidP="002C21C1">
      <w:pPr>
        <w:pStyle w:val="BodyText"/>
        <w:rPr>
          <w:lang w:val="es-ES"/>
        </w:rPr>
      </w:pPr>
    </w:p>
    <w:p w14:paraId="13717C7E" w14:textId="77777777" w:rsidR="003719F8" w:rsidRDefault="003719F8" w:rsidP="003719F8">
      <w:pPr>
        <w:pStyle w:val="BodyText"/>
        <w:ind w:left="-851"/>
        <w:rPr>
          <w:lang w:val="es-ES"/>
        </w:rPr>
      </w:pPr>
    </w:p>
    <w:p w14:paraId="03C1B064" w14:textId="77777777" w:rsidR="003719F8" w:rsidRDefault="003719F8" w:rsidP="002C21C1">
      <w:pPr>
        <w:pStyle w:val="BodyText"/>
        <w:rPr>
          <w:lang w:val="es-ES"/>
        </w:rPr>
      </w:pPr>
    </w:p>
    <w:p w14:paraId="38988BCC" w14:textId="77777777" w:rsidR="007D64DD" w:rsidRDefault="007D64DD" w:rsidP="00307054">
      <w:pPr>
        <w:pStyle w:val="BodyText"/>
        <w:rPr>
          <w:b/>
          <w:bCs/>
          <w:i/>
          <w:sz w:val="60"/>
          <w:szCs w:val="32"/>
          <w:lang w:val="es-ES"/>
        </w:rPr>
      </w:pPr>
    </w:p>
    <w:p w14:paraId="4F37F60A" w14:textId="77777777" w:rsidR="007D64DD" w:rsidRDefault="007D64DD" w:rsidP="003719F8">
      <w:pPr>
        <w:pStyle w:val="BodyText"/>
        <w:ind w:left="-851"/>
        <w:rPr>
          <w:b/>
          <w:bCs/>
          <w:i/>
          <w:sz w:val="60"/>
          <w:szCs w:val="32"/>
          <w:lang w:val="es-ES"/>
        </w:rPr>
      </w:pPr>
    </w:p>
    <w:p w14:paraId="30E6AACF" w14:textId="77777777" w:rsidR="007D64DD" w:rsidRDefault="007D64DD" w:rsidP="003719F8">
      <w:pPr>
        <w:pStyle w:val="BodyText"/>
        <w:ind w:left="-851"/>
        <w:rPr>
          <w:b/>
          <w:bCs/>
          <w:i/>
          <w:sz w:val="60"/>
          <w:szCs w:val="32"/>
          <w:lang w:val="es-ES"/>
        </w:rPr>
      </w:pPr>
    </w:p>
    <w:p w14:paraId="1C33A47D" w14:textId="77777777" w:rsidR="007D64DD" w:rsidRDefault="007D64DD" w:rsidP="003719F8">
      <w:pPr>
        <w:pStyle w:val="BodyText"/>
        <w:ind w:left="-851"/>
        <w:rPr>
          <w:b/>
          <w:bCs/>
          <w:i/>
          <w:sz w:val="60"/>
          <w:szCs w:val="32"/>
          <w:lang w:val="es-ES"/>
        </w:rPr>
      </w:pPr>
    </w:p>
    <w:p w14:paraId="043A085C" w14:textId="77777777" w:rsidR="007D64DD" w:rsidRDefault="007D64DD" w:rsidP="003719F8">
      <w:pPr>
        <w:pStyle w:val="BodyText"/>
        <w:ind w:left="-851"/>
        <w:rPr>
          <w:b/>
          <w:bCs/>
          <w:i/>
          <w:sz w:val="60"/>
          <w:szCs w:val="32"/>
          <w:lang w:val="es-ES"/>
        </w:rPr>
      </w:pPr>
    </w:p>
    <w:p w14:paraId="415F66B2" w14:textId="445239F1" w:rsidR="003719F8" w:rsidRDefault="00722D2A" w:rsidP="00851F36">
      <w:pPr>
        <w:pStyle w:val="BodyText"/>
        <w:ind w:left="-851"/>
        <w:jc w:val="center"/>
        <w:rPr>
          <w:lang w:val="es-ES"/>
        </w:rPr>
      </w:pPr>
      <w:r>
        <w:rPr>
          <w:b/>
          <w:bCs/>
          <w:i/>
          <w:color w:val="95B3D7" w:themeColor="accent1" w:themeTint="99"/>
          <w:sz w:val="60"/>
          <w:szCs w:val="32"/>
          <w:lang w:val="es-ES"/>
        </w:rPr>
        <w:t>ALIMENTACIÓN Y AGRICULTURA</w:t>
      </w:r>
    </w:p>
    <w:p w14:paraId="03F39A20" w14:textId="77777777" w:rsidR="00144FCC" w:rsidRDefault="00144FCC" w:rsidP="002C21C1">
      <w:pPr>
        <w:pStyle w:val="BodyText"/>
        <w:rPr>
          <w:lang w:val="es-ES"/>
        </w:rPr>
      </w:pPr>
    </w:p>
    <w:p w14:paraId="336C80D6" w14:textId="77777777" w:rsidR="00D657A4" w:rsidRDefault="00D657A4" w:rsidP="002C21C1">
      <w:pPr>
        <w:pStyle w:val="BodyText"/>
        <w:rPr>
          <w:lang w:val="es-ES"/>
        </w:rPr>
      </w:pPr>
    </w:p>
    <w:p w14:paraId="649768F5" w14:textId="77777777" w:rsidR="003719F8" w:rsidRPr="00394F96" w:rsidRDefault="00307054" w:rsidP="00394F96">
      <w:pPr>
        <w:rPr>
          <w:rFonts w:ascii="Times New Roman" w:eastAsia="Times New Roman" w:hAnsi="Times New Roman" w:cs="Times New Roman"/>
          <w:sz w:val="24"/>
          <w:szCs w:val="20"/>
          <w:lang w:val="es-ES"/>
        </w:rPr>
      </w:pPr>
      <w:r>
        <w:rPr>
          <w:lang w:val="es-ES"/>
        </w:rPr>
        <w:br w:type="page"/>
      </w:r>
    </w:p>
    <w:p w14:paraId="1FA26954" w14:textId="77777777" w:rsidR="00436D72" w:rsidRPr="00393320" w:rsidRDefault="00436D72" w:rsidP="00436D72">
      <w:pPr>
        <w:jc w:val="both"/>
      </w:pPr>
    </w:p>
    <w:p w14:paraId="34AF8BB1" w14:textId="7AD6B9B2" w:rsidR="00436D72" w:rsidRPr="00031A5F" w:rsidRDefault="00394F96" w:rsidP="00394F96">
      <w:pPr>
        <w:pStyle w:val="BodyText"/>
        <w:spacing w:line="276" w:lineRule="auto"/>
        <w:rPr>
          <w:b/>
          <w:bCs/>
          <w:szCs w:val="24"/>
          <w:lang w:val="es-MX"/>
        </w:rPr>
      </w:pPr>
      <w:r w:rsidRPr="00031A5F">
        <w:rPr>
          <w:b/>
          <w:bCs/>
          <w:szCs w:val="24"/>
          <w:lang w:val="es-MX"/>
        </w:rPr>
        <w:t>I.</w:t>
      </w:r>
      <w:r w:rsidR="00D136BB">
        <w:rPr>
          <w:b/>
          <w:bCs/>
          <w:szCs w:val="24"/>
          <w:lang w:val="es-MX"/>
        </w:rPr>
        <w:t xml:space="preserve"> </w:t>
      </w:r>
      <w:r w:rsidR="00436D72" w:rsidRPr="00031A5F">
        <w:rPr>
          <w:b/>
          <w:bCs/>
          <w:szCs w:val="24"/>
          <w:lang w:val="es-MX"/>
        </w:rPr>
        <w:t>Análisis</w:t>
      </w:r>
      <w:r w:rsidR="00D136BB">
        <w:rPr>
          <w:b/>
          <w:bCs/>
          <w:szCs w:val="24"/>
          <w:lang w:val="es-MX"/>
        </w:rPr>
        <w:t xml:space="preserve"> </w:t>
      </w:r>
      <w:r w:rsidR="00D532E8">
        <w:rPr>
          <w:b/>
          <w:bCs/>
          <w:szCs w:val="24"/>
          <w:lang w:val="es-MX"/>
        </w:rPr>
        <w:t>G</w:t>
      </w:r>
      <w:r w:rsidR="00436D72" w:rsidRPr="00031A5F">
        <w:rPr>
          <w:b/>
          <w:bCs/>
          <w:szCs w:val="24"/>
          <w:lang w:val="es-MX"/>
        </w:rPr>
        <w:t>eneral</w:t>
      </w:r>
      <w:r w:rsidR="00D136BB">
        <w:rPr>
          <w:b/>
          <w:bCs/>
          <w:szCs w:val="24"/>
          <w:lang w:val="es-MX"/>
        </w:rPr>
        <w:t xml:space="preserve"> </w:t>
      </w:r>
      <w:r w:rsidR="00436D72" w:rsidRPr="00031A5F">
        <w:rPr>
          <w:b/>
          <w:bCs/>
          <w:szCs w:val="24"/>
          <w:lang w:val="es-MX"/>
        </w:rPr>
        <w:t>de</w:t>
      </w:r>
      <w:r w:rsidR="00D136BB">
        <w:rPr>
          <w:b/>
          <w:bCs/>
          <w:szCs w:val="24"/>
          <w:lang w:val="es-MX"/>
        </w:rPr>
        <w:t xml:space="preserve"> </w:t>
      </w:r>
      <w:r w:rsidR="00436D72" w:rsidRPr="00031A5F">
        <w:rPr>
          <w:b/>
          <w:bCs/>
          <w:szCs w:val="24"/>
          <w:lang w:val="es-MX"/>
        </w:rPr>
        <w:t>la</w:t>
      </w:r>
      <w:r w:rsidR="00D136BB">
        <w:rPr>
          <w:b/>
          <w:bCs/>
          <w:szCs w:val="24"/>
          <w:lang w:val="es-MX"/>
        </w:rPr>
        <w:t xml:space="preserve"> </w:t>
      </w:r>
      <w:r w:rsidR="00D532E8">
        <w:rPr>
          <w:b/>
          <w:bCs/>
          <w:szCs w:val="24"/>
          <w:lang w:val="es-MX"/>
        </w:rPr>
        <w:t>S</w:t>
      </w:r>
      <w:r w:rsidR="00436D72" w:rsidRPr="00031A5F">
        <w:rPr>
          <w:b/>
          <w:bCs/>
          <w:szCs w:val="24"/>
          <w:lang w:val="es-MX"/>
        </w:rPr>
        <w:t>ituación</w:t>
      </w:r>
      <w:r w:rsidR="00D136BB">
        <w:rPr>
          <w:b/>
          <w:bCs/>
          <w:szCs w:val="24"/>
          <w:lang w:val="es-MX"/>
        </w:rPr>
        <w:t xml:space="preserve"> </w:t>
      </w:r>
      <w:r w:rsidR="00D532E8">
        <w:rPr>
          <w:b/>
          <w:bCs/>
          <w:szCs w:val="24"/>
          <w:lang w:val="es-MX"/>
        </w:rPr>
        <w:t>R</w:t>
      </w:r>
      <w:r w:rsidR="00436D72" w:rsidRPr="00031A5F">
        <w:rPr>
          <w:b/>
          <w:bCs/>
          <w:szCs w:val="24"/>
          <w:lang w:val="es-MX"/>
        </w:rPr>
        <w:t>egional.</w:t>
      </w:r>
    </w:p>
    <w:p w14:paraId="4D8EC66A" w14:textId="1E083FDF" w:rsidR="00394F96" w:rsidRPr="00031A5F" w:rsidRDefault="00D136BB" w:rsidP="00394F96">
      <w:pPr>
        <w:jc w:val="both"/>
        <w:rPr>
          <w:rFonts w:ascii="Times New Roman" w:hAnsi="Times New Roman" w:cs="Times New Roman"/>
          <w:sz w:val="24"/>
          <w:szCs w:val="24"/>
          <w:lang w:val="es-ES"/>
        </w:rPr>
      </w:pPr>
      <w:r>
        <w:rPr>
          <w:rFonts w:ascii="Times New Roman" w:hAnsi="Times New Roman" w:cs="Times New Roman"/>
          <w:sz w:val="24"/>
          <w:szCs w:val="24"/>
          <w:lang w:val="es-MX"/>
        </w:rPr>
        <w:t xml:space="preserve"> </w:t>
      </w:r>
      <w:r w:rsidR="00394F96" w:rsidRPr="00031A5F">
        <w:rPr>
          <w:rFonts w:ascii="Times New Roman" w:hAnsi="Times New Roman" w:cs="Times New Roman"/>
          <w:sz w:val="24"/>
          <w:szCs w:val="24"/>
        </w:rPr>
        <w:t>En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que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respecta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al</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sector</w:t>
      </w:r>
      <w:r>
        <w:rPr>
          <w:rFonts w:ascii="Times New Roman" w:hAnsi="Times New Roman" w:cs="Times New Roman"/>
          <w:sz w:val="24"/>
          <w:szCs w:val="24"/>
        </w:rPr>
        <w:t xml:space="preserve"> </w:t>
      </w:r>
      <w:r w:rsidR="00C41191">
        <w:rPr>
          <w:rFonts w:ascii="Times New Roman" w:hAnsi="Times New Roman" w:cs="Times New Roman"/>
          <w:sz w:val="24"/>
          <w:szCs w:val="24"/>
        </w:rPr>
        <w:t>Alimentación y Agricultura</w:t>
      </w:r>
      <w:r w:rsidR="00394F96" w:rsidRPr="00031A5F">
        <w:rPr>
          <w:rFonts w:ascii="Times New Roman" w:hAnsi="Times New Roman" w:cs="Times New Roman"/>
          <w:sz w:val="24"/>
          <w:szCs w:val="24"/>
        </w:rPr>
        <w:t>,</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muchas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características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Matriz</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DAFO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analizadas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el</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PER</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anterior</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todavía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prevalecen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región,</w:t>
      </w:r>
      <w:r>
        <w:rPr>
          <w:rFonts w:ascii="Times New Roman" w:hAnsi="Times New Roman" w:cs="Times New Roman"/>
          <w:sz w:val="24"/>
          <w:szCs w:val="24"/>
        </w:rPr>
        <w:t xml:space="preserve"> </w:t>
      </w:r>
      <w:r w:rsidR="00E262AD">
        <w:rPr>
          <w:rFonts w:ascii="Times New Roman" w:hAnsi="Times New Roman" w:cs="Times New Roman"/>
          <w:sz w:val="24"/>
          <w:szCs w:val="24"/>
        </w:rPr>
        <w:t>pero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nuevas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oportunidades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han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apareciendo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con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destaque,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asociadas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gran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diversidad</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climática,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biológica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y</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recursos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naturales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(disponibilidad</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tierras,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agua,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etc.)</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que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posee,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región,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factores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estos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que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tendrán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un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reflejo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el</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potencial</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aumento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producción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alimentos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calidad.</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Se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partió</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del</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principio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definir</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necesidades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y</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problemas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manera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independiente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aplicación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técnicas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nucleares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y</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luego,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después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un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análisis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sobre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posibilidades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solución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esas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Necesidades/Problemas,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se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encontró</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que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muchas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ellas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técnicas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nucleares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son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herramientas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E262AD">
        <w:rPr>
          <w:rFonts w:ascii="Times New Roman" w:hAnsi="Times New Roman" w:cs="Times New Roman"/>
          <w:sz w:val="24"/>
          <w:szCs w:val="24"/>
        </w:rPr>
        <w:t>gran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valor,</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como</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se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verá</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más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adelante.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Los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principales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desafíos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atenderán</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los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Objetivos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E262AD">
        <w:rPr>
          <w:rFonts w:ascii="Times New Roman" w:hAnsi="Times New Roman" w:cs="Times New Roman"/>
          <w:sz w:val="24"/>
          <w:szCs w:val="24"/>
        </w:rPr>
        <w:t>D</w:t>
      </w:r>
      <w:r w:rsidR="00394F96" w:rsidRPr="00031A5F">
        <w:rPr>
          <w:rFonts w:ascii="Times New Roman" w:hAnsi="Times New Roman" w:cs="Times New Roman"/>
          <w:sz w:val="24"/>
          <w:szCs w:val="24"/>
        </w:rPr>
        <w:t>esarrollo</w:t>
      </w:r>
      <w:r>
        <w:rPr>
          <w:rFonts w:ascii="Times New Roman" w:hAnsi="Times New Roman" w:cs="Times New Roman"/>
          <w:sz w:val="24"/>
          <w:szCs w:val="24"/>
        </w:rPr>
        <w:t xml:space="preserve"> </w:t>
      </w:r>
      <w:r w:rsidR="00E262AD">
        <w:rPr>
          <w:rFonts w:ascii="Times New Roman" w:hAnsi="Times New Roman" w:cs="Times New Roman"/>
          <w:sz w:val="24"/>
          <w:szCs w:val="24"/>
        </w:rPr>
        <w:t>S</w:t>
      </w:r>
      <w:r w:rsidR="00394F96" w:rsidRPr="00031A5F">
        <w:rPr>
          <w:rFonts w:ascii="Times New Roman" w:hAnsi="Times New Roman" w:cs="Times New Roman"/>
          <w:sz w:val="24"/>
          <w:szCs w:val="24"/>
        </w:rPr>
        <w:t>ostenible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(ODS)</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de</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la</w:t>
      </w:r>
      <w:r>
        <w:rPr>
          <w:rFonts w:ascii="Times New Roman" w:hAnsi="Times New Roman" w:cs="Times New Roman"/>
          <w:sz w:val="24"/>
          <w:szCs w:val="24"/>
        </w:rPr>
        <w:t xml:space="preserve"> </w:t>
      </w:r>
      <w:r w:rsidR="00394F96" w:rsidRPr="00031A5F">
        <w:rPr>
          <w:rFonts w:ascii="Times New Roman" w:hAnsi="Times New Roman" w:cs="Times New Roman"/>
          <w:sz w:val="24"/>
          <w:szCs w:val="24"/>
        </w:rPr>
        <w:t>ONU:</w:t>
      </w:r>
      <w:r>
        <w:rPr>
          <w:rFonts w:ascii="Times New Roman" w:hAnsi="Times New Roman" w:cs="Times New Roman"/>
          <w:sz w:val="24"/>
          <w:szCs w:val="24"/>
        </w:rPr>
        <w:t xml:space="preserve"> </w:t>
      </w:r>
      <w:r w:rsidR="00394F96" w:rsidRPr="00031A5F">
        <w:rPr>
          <w:rFonts w:ascii="Times New Roman" w:hAnsi="Times New Roman" w:cs="Times New Roman"/>
          <w:sz w:val="24"/>
          <w:szCs w:val="24"/>
          <w:lang w:val="es-ES"/>
        </w:rPr>
        <w:t>ODS</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1</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(Erradicación</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la</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pobreza),</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2</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(Hambre</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cero),</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3</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(Buena</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salud</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y</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bienestar).</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8</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(Empleo</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digno</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y</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crecimiento</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económico),</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13</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(Combate</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a</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las</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alteraciones</w:t>
      </w:r>
      <w:r>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climáticas).</w:t>
      </w:r>
    </w:p>
    <w:p w14:paraId="795EA46D" w14:textId="5CAD383F" w:rsidR="00394F96" w:rsidRPr="00031A5F" w:rsidRDefault="00394F96" w:rsidP="00394F96">
      <w:pPr>
        <w:jc w:val="both"/>
        <w:rPr>
          <w:rFonts w:ascii="Times New Roman" w:hAnsi="Times New Roman" w:cs="Times New Roman"/>
          <w:iCs/>
          <w:sz w:val="24"/>
          <w:szCs w:val="24"/>
        </w:rPr>
      </w:pP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destacar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subsectores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fueron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cubiertos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trabajo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mismos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considerados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anterior,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dentro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cuatro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temas:</w:t>
      </w:r>
      <w:r w:rsidR="00D136BB">
        <w:rPr>
          <w:rFonts w:ascii="Times New Roman" w:hAnsi="Times New Roman" w:cs="Times New Roman"/>
          <w:sz w:val="24"/>
          <w:szCs w:val="24"/>
        </w:rPr>
        <w:t xml:space="preserve"> </w:t>
      </w:r>
      <w:r w:rsidR="00E262AD">
        <w:rPr>
          <w:rFonts w:ascii="Times New Roman" w:hAnsi="Times New Roman" w:cs="Times New Roman"/>
          <w:i/>
          <w:iCs/>
          <w:sz w:val="24"/>
          <w:szCs w:val="24"/>
        </w:rPr>
        <w:t>a</w:t>
      </w:r>
      <w:r w:rsidRPr="00031A5F">
        <w:rPr>
          <w:rFonts w:ascii="Times New Roman" w:hAnsi="Times New Roman" w:cs="Times New Roman"/>
          <w:i/>
          <w:iCs/>
          <w:sz w:val="24"/>
          <w:szCs w:val="24"/>
        </w:rPr>
        <w:t>gricultura,</w:t>
      </w:r>
      <w:r w:rsidR="00D136BB">
        <w:rPr>
          <w:rFonts w:ascii="Times New Roman" w:hAnsi="Times New Roman" w:cs="Times New Roman"/>
          <w:i/>
          <w:iCs/>
          <w:sz w:val="24"/>
          <w:szCs w:val="24"/>
        </w:rPr>
        <w:t xml:space="preserve"> </w:t>
      </w:r>
      <w:r w:rsidR="00E262AD">
        <w:rPr>
          <w:rFonts w:ascii="Times New Roman" w:hAnsi="Times New Roman" w:cs="Times New Roman"/>
          <w:i/>
          <w:iCs/>
          <w:sz w:val="24"/>
          <w:szCs w:val="24"/>
        </w:rPr>
        <w:t>a</w:t>
      </w:r>
      <w:r w:rsidRPr="00031A5F">
        <w:rPr>
          <w:rFonts w:ascii="Times New Roman" w:hAnsi="Times New Roman" w:cs="Times New Roman"/>
          <w:i/>
          <w:iCs/>
          <w:sz w:val="24"/>
          <w:szCs w:val="24"/>
        </w:rPr>
        <w:t>limentación,</w:t>
      </w:r>
      <w:r w:rsidR="00D136BB">
        <w:rPr>
          <w:rFonts w:ascii="Times New Roman" w:hAnsi="Times New Roman" w:cs="Times New Roman"/>
          <w:i/>
          <w:iCs/>
          <w:sz w:val="24"/>
          <w:szCs w:val="24"/>
        </w:rPr>
        <w:t xml:space="preserve"> </w:t>
      </w:r>
      <w:r w:rsidR="00E262AD">
        <w:rPr>
          <w:rFonts w:ascii="Times New Roman" w:hAnsi="Times New Roman" w:cs="Times New Roman"/>
          <w:i/>
          <w:iCs/>
          <w:sz w:val="24"/>
          <w:szCs w:val="24"/>
        </w:rPr>
        <w:t>salud</w:t>
      </w:r>
      <w:r w:rsidR="00D136BB">
        <w:rPr>
          <w:rFonts w:ascii="Times New Roman" w:hAnsi="Times New Roman" w:cs="Times New Roman"/>
          <w:i/>
          <w:iCs/>
          <w:sz w:val="24"/>
          <w:szCs w:val="24"/>
        </w:rPr>
        <w:t xml:space="preserve"> </w:t>
      </w:r>
      <w:r w:rsidR="00E262AD">
        <w:rPr>
          <w:rFonts w:ascii="Times New Roman" w:hAnsi="Times New Roman" w:cs="Times New Roman"/>
          <w:i/>
          <w:iCs/>
          <w:sz w:val="24"/>
          <w:szCs w:val="24"/>
        </w:rPr>
        <w:t>animal</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industrialización</w:t>
      </w:r>
      <w:r w:rsidRPr="00031A5F">
        <w:rPr>
          <w:rFonts w:ascii="Times New Roman" w:hAnsi="Times New Roman" w:cs="Times New Roman"/>
          <w:iCs/>
          <w:sz w:val="24"/>
          <w:szCs w:val="24"/>
        </w:rPr>
        <w:t>,</w:t>
      </w:r>
      <w:r w:rsidR="00D136BB">
        <w:rPr>
          <w:rFonts w:ascii="Times New Roman" w:hAnsi="Times New Roman" w:cs="Times New Roman"/>
          <w:iCs/>
          <w:sz w:val="24"/>
          <w:szCs w:val="24"/>
        </w:rPr>
        <w:t xml:space="preserve"> </w:t>
      </w:r>
      <w:r w:rsidRPr="00031A5F">
        <w:rPr>
          <w:rFonts w:ascii="Times New Roman" w:hAnsi="Times New Roman" w:cs="Times New Roman"/>
          <w:iCs/>
          <w:sz w:val="24"/>
          <w:szCs w:val="24"/>
        </w:rPr>
        <w:t>siendo</w:t>
      </w:r>
      <w:r w:rsidR="00D136BB">
        <w:rPr>
          <w:rFonts w:ascii="Times New Roman" w:hAnsi="Times New Roman" w:cs="Times New Roman"/>
          <w:iCs/>
          <w:sz w:val="24"/>
          <w:szCs w:val="24"/>
        </w:rPr>
        <w:t xml:space="preserve"> </w:t>
      </w:r>
      <w:r w:rsidRPr="00031A5F">
        <w:rPr>
          <w:rFonts w:ascii="Times New Roman" w:hAnsi="Times New Roman" w:cs="Times New Roman"/>
          <w:iCs/>
          <w:sz w:val="24"/>
          <w:szCs w:val="24"/>
        </w:rPr>
        <w:t>ellos:</w:t>
      </w:r>
    </w:p>
    <w:p w14:paraId="3ED6D439" w14:textId="1091E687" w:rsidR="00394F96" w:rsidRPr="00031A5F" w:rsidRDefault="00394F96" w:rsidP="00FD57B1">
      <w:pPr>
        <w:numPr>
          <w:ilvl w:val="0"/>
          <w:numId w:val="12"/>
        </w:numPr>
        <w:spacing w:after="0"/>
        <w:ind w:left="567" w:hanging="397"/>
        <w:jc w:val="both"/>
        <w:rPr>
          <w:rFonts w:ascii="Times New Roman" w:hAnsi="Times New Roman" w:cs="Times New Roman"/>
          <w:i/>
          <w:iCs/>
          <w:sz w:val="24"/>
          <w:szCs w:val="24"/>
        </w:rPr>
      </w:pPr>
      <w:r w:rsidRPr="00031A5F">
        <w:rPr>
          <w:rFonts w:ascii="Times New Roman" w:hAnsi="Times New Roman" w:cs="Times New Roman"/>
          <w:i/>
          <w:iCs/>
          <w:sz w:val="24"/>
          <w:szCs w:val="24"/>
        </w:rPr>
        <w:t>Inducción</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de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mutaciones,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selección</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y</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mejoramiento</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genético</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de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plantas</w:t>
      </w:r>
    </w:p>
    <w:p w14:paraId="52985477" w14:textId="7699DA25" w:rsidR="00394F96" w:rsidRPr="00031A5F" w:rsidRDefault="00394F96" w:rsidP="00FD57B1">
      <w:pPr>
        <w:numPr>
          <w:ilvl w:val="0"/>
          <w:numId w:val="12"/>
        </w:numPr>
        <w:spacing w:after="0"/>
        <w:ind w:left="567" w:hanging="397"/>
        <w:jc w:val="both"/>
        <w:rPr>
          <w:rFonts w:ascii="Times New Roman" w:hAnsi="Times New Roman" w:cs="Times New Roman"/>
          <w:i/>
          <w:iCs/>
          <w:sz w:val="24"/>
          <w:szCs w:val="24"/>
        </w:rPr>
      </w:pPr>
      <w:r w:rsidRPr="00031A5F">
        <w:rPr>
          <w:rFonts w:ascii="Times New Roman" w:hAnsi="Times New Roman" w:cs="Times New Roman"/>
          <w:i/>
          <w:iCs/>
          <w:sz w:val="24"/>
          <w:szCs w:val="24"/>
        </w:rPr>
        <w:t>Gestión</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integrada</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de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suelos,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agua,</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plantas,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fertilizantes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y</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protección</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ambiental</w:t>
      </w:r>
    </w:p>
    <w:p w14:paraId="38ED3731" w14:textId="54657796" w:rsidR="00394F96" w:rsidRPr="00031A5F" w:rsidRDefault="00394F96" w:rsidP="00FD57B1">
      <w:pPr>
        <w:numPr>
          <w:ilvl w:val="0"/>
          <w:numId w:val="12"/>
        </w:numPr>
        <w:spacing w:after="0"/>
        <w:ind w:left="567" w:hanging="397"/>
        <w:jc w:val="both"/>
        <w:rPr>
          <w:rFonts w:ascii="Times New Roman" w:hAnsi="Times New Roman" w:cs="Times New Roman"/>
          <w:i/>
          <w:iCs/>
          <w:sz w:val="24"/>
          <w:szCs w:val="24"/>
        </w:rPr>
      </w:pPr>
      <w:r w:rsidRPr="00031A5F">
        <w:rPr>
          <w:rFonts w:ascii="Times New Roman" w:hAnsi="Times New Roman" w:cs="Times New Roman"/>
          <w:i/>
          <w:iCs/>
          <w:sz w:val="24"/>
          <w:szCs w:val="24"/>
        </w:rPr>
        <w:t>Manejo</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integrado</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de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plagas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y</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control</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de</w:t>
      </w:r>
      <w:r w:rsidR="00D136BB">
        <w:rPr>
          <w:rFonts w:ascii="Times New Roman" w:hAnsi="Times New Roman" w:cs="Times New Roman"/>
          <w:i/>
          <w:iCs/>
          <w:sz w:val="24"/>
          <w:szCs w:val="24"/>
        </w:rPr>
        <w:t xml:space="preserve"> </w:t>
      </w:r>
      <w:r w:rsidR="007F08BA" w:rsidRPr="00031A5F">
        <w:rPr>
          <w:rFonts w:ascii="Times New Roman" w:hAnsi="Times New Roman" w:cs="Times New Roman"/>
          <w:i/>
          <w:iCs/>
          <w:sz w:val="24"/>
          <w:szCs w:val="24"/>
        </w:rPr>
        <w:t>enfermedades</w:t>
      </w:r>
      <w:r w:rsidR="00D136BB">
        <w:rPr>
          <w:rFonts w:ascii="Times New Roman" w:hAnsi="Times New Roman" w:cs="Times New Roman"/>
          <w:i/>
          <w:iCs/>
          <w:sz w:val="24"/>
          <w:szCs w:val="24"/>
        </w:rPr>
        <w:t xml:space="preserve"> </w:t>
      </w:r>
      <w:r w:rsidR="007F08BA">
        <w:rPr>
          <w:rFonts w:ascii="Times New Roman" w:hAnsi="Times New Roman" w:cs="Times New Roman"/>
          <w:i/>
          <w:iCs/>
          <w:sz w:val="24"/>
          <w:szCs w:val="24"/>
        </w:rPr>
        <w:t>que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afectan</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plantas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y</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animales</w:t>
      </w:r>
    </w:p>
    <w:p w14:paraId="7F6B2418" w14:textId="2CB7E25A" w:rsidR="00394F96" w:rsidRPr="00031A5F" w:rsidRDefault="00394F96" w:rsidP="00FD57B1">
      <w:pPr>
        <w:numPr>
          <w:ilvl w:val="0"/>
          <w:numId w:val="12"/>
        </w:numPr>
        <w:spacing w:after="0"/>
        <w:ind w:left="567" w:hanging="397"/>
        <w:jc w:val="both"/>
        <w:rPr>
          <w:rFonts w:ascii="Times New Roman" w:hAnsi="Times New Roman" w:cs="Times New Roman"/>
          <w:i/>
          <w:iCs/>
          <w:sz w:val="24"/>
          <w:szCs w:val="24"/>
        </w:rPr>
      </w:pPr>
      <w:r w:rsidRPr="00031A5F">
        <w:rPr>
          <w:rFonts w:ascii="Times New Roman" w:hAnsi="Times New Roman" w:cs="Times New Roman"/>
          <w:i/>
          <w:iCs/>
          <w:sz w:val="24"/>
          <w:szCs w:val="24"/>
        </w:rPr>
        <w:t>Producción</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y</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sanidad</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animal</w:t>
      </w:r>
    </w:p>
    <w:p w14:paraId="4C54AFFE" w14:textId="0CDADAA4" w:rsidR="00436D72" w:rsidRPr="00031A5F" w:rsidRDefault="00394F96" w:rsidP="00FD57B1">
      <w:pPr>
        <w:numPr>
          <w:ilvl w:val="0"/>
          <w:numId w:val="12"/>
        </w:numPr>
        <w:spacing w:after="0"/>
        <w:ind w:left="567" w:hanging="397"/>
        <w:jc w:val="both"/>
        <w:rPr>
          <w:rFonts w:ascii="Times New Roman" w:hAnsi="Times New Roman" w:cs="Times New Roman"/>
          <w:i/>
          <w:iCs/>
          <w:sz w:val="24"/>
          <w:szCs w:val="24"/>
        </w:rPr>
      </w:pPr>
      <w:r w:rsidRPr="00031A5F">
        <w:rPr>
          <w:rFonts w:ascii="Times New Roman" w:hAnsi="Times New Roman" w:cs="Times New Roman"/>
          <w:i/>
          <w:iCs/>
          <w:sz w:val="24"/>
          <w:szCs w:val="24"/>
        </w:rPr>
        <w:t>Alimentos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de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calidad</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(incluido</w:t>
      </w:r>
      <w:r w:rsidR="00E262AD">
        <w:rPr>
          <w:rFonts w:ascii="Times New Roman" w:hAnsi="Times New Roman" w:cs="Times New Roman"/>
          <w:i/>
          <w:iCs/>
          <w:sz w:val="24"/>
          <w:szCs w:val="24"/>
        </w:rPr>
        <w:t>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alimentos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funcionales),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libre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de</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residuos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tóxicos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o</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substancias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dañinas</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a</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la</w:t>
      </w:r>
      <w:r w:rsidR="00D136BB">
        <w:rPr>
          <w:rFonts w:ascii="Times New Roman" w:hAnsi="Times New Roman" w:cs="Times New Roman"/>
          <w:i/>
          <w:iCs/>
          <w:sz w:val="24"/>
          <w:szCs w:val="24"/>
        </w:rPr>
        <w:t xml:space="preserve"> </w:t>
      </w:r>
      <w:r w:rsidRPr="00031A5F">
        <w:rPr>
          <w:rFonts w:ascii="Times New Roman" w:hAnsi="Times New Roman" w:cs="Times New Roman"/>
          <w:i/>
          <w:iCs/>
          <w:sz w:val="24"/>
          <w:szCs w:val="24"/>
        </w:rPr>
        <w:t>salud.</w:t>
      </w:r>
    </w:p>
    <w:p w14:paraId="67F0861A" w14:textId="77777777" w:rsidR="00627A67" w:rsidRPr="00031A5F" w:rsidRDefault="00627A67" w:rsidP="00627A67">
      <w:pPr>
        <w:spacing w:after="0"/>
        <w:ind w:left="567"/>
        <w:jc w:val="both"/>
        <w:rPr>
          <w:rFonts w:ascii="Times New Roman" w:hAnsi="Times New Roman" w:cs="Times New Roman"/>
          <w:i/>
          <w:iCs/>
          <w:sz w:val="24"/>
          <w:szCs w:val="24"/>
        </w:rPr>
      </w:pPr>
    </w:p>
    <w:p w14:paraId="115583B1" w14:textId="4A56E77E" w:rsidR="00436D72" w:rsidRPr="00031A5F" w:rsidRDefault="00436D72" w:rsidP="00436D72">
      <w:pPr>
        <w:jc w:val="both"/>
        <w:rPr>
          <w:rFonts w:ascii="Times New Roman" w:hAnsi="Times New Roman" w:cs="Times New Roman"/>
          <w:sz w:val="24"/>
          <w:szCs w:val="24"/>
          <w:lang w:val="es-ES"/>
        </w:rPr>
      </w:pP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estima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actualmente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7,350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habitantes,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aproximadamente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vive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7F08BA">
        <w:rPr>
          <w:rFonts w:ascii="Times New Roman" w:hAnsi="Times New Roman" w:cs="Times New Roman"/>
          <w:sz w:val="24"/>
          <w:szCs w:val="24"/>
        </w:rPr>
        <w:t>y</w:t>
      </w:r>
      <w:r w:rsidRPr="00031A5F">
        <w:rPr>
          <w:rFonts w:ascii="Times New Roman" w:hAnsi="Times New Roman" w:cs="Times New Roman"/>
          <w:sz w:val="24"/>
          <w:szCs w:val="24"/>
        </w:rPr>
        <w:t>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(FAOSTAT,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éstos,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creciente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éxodo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rural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urbanas,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sólo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promedio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25%</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vive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zonas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rurales,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proporción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superior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40%,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destacándose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pesar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esfuerzos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disminuir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rural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todavía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responde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41%</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extrema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(CEPAL,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2016),</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razón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atendimiento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contribuye,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manera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indiscutible,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aliviar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hambre</w:t>
      </w:r>
      <w:r w:rsidR="00D136BB">
        <w:rPr>
          <w:rFonts w:ascii="Times New Roman" w:hAnsi="Times New Roman" w:cs="Times New Roman"/>
          <w:sz w:val="24"/>
          <w:szCs w:val="24"/>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progreso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millones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habitantes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r w:rsidR="00D136BB">
        <w:rPr>
          <w:rFonts w:ascii="Times New Roman" w:hAnsi="Times New Roman" w:cs="Times New Roman"/>
          <w:sz w:val="24"/>
          <w:szCs w:val="24"/>
          <w:lang w:val="es-ES"/>
        </w:rPr>
        <w:t xml:space="preserve"> </w:t>
      </w:r>
    </w:p>
    <w:p w14:paraId="18A9D487" w14:textId="0B1C0570" w:rsidR="00436D72" w:rsidRPr="00031A5F" w:rsidRDefault="00436D72" w:rsidP="00436D72">
      <w:p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puede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agrupada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grupos,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pequeños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agricultores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w:t>
      </w:r>
      <w:r w:rsidR="00D136BB">
        <w:rPr>
          <w:rFonts w:ascii="Times New Roman" w:hAnsi="Times New Roman" w:cs="Times New Roman"/>
          <w:sz w:val="24"/>
          <w:szCs w:val="24"/>
          <w:lang w:val="es-ES"/>
        </w:rPr>
        <w:t xml:space="preserve"> </w:t>
      </w:r>
      <w:r w:rsidR="007F08BA" w:rsidRPr="00031A5F">
        <w:rPr>
          <w:rFonts w:ascii="Times New Roman" w:hAnsi="Times New Roman" w:cs="Times New Roman"/>
          <w:sz w:val="24"/>
          <w:szCs w:val="24"/>
          <w:lang w:val="es-ES"/>
        </w:rPr>
        <w:t>mayoría,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pequeña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fracción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área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total,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embargo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70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consumidos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diariamente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población,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mínima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tecnología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extractiva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subsistencia.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otro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grupo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menor,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responden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mayor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agronegocio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p>
    <w:p w14:paraId="464AED80" w14:textId="447EB15E" w:rsidR="00436D72" w:rsidRPr="00031A5F" w:rsidRDefault="00436D72" w:rsidP="00394F96">
      <w:pPr>
        <w:autoSpaceDE w:val="0"/>
        <w:autoSpaceDN w:val="0"/>
        <w:adjustRightInd w:val="0"/>
        <w:jc w:val="both"/>
        <w:rPr>
          <w:rFonts w:ascii="Times New Roman" w:hAnsi="Times New Roman" w:cs="Times New Roman"/>
          <w:sz w:val="24"/>
          <w:szCs w:val="24"/>
          <w:lang w:val="es-ES"/>
        </w:rPr>
      </w:pPr>
      <w:r w:rsidRPr="00031A5F">
        <w:rPr>
          <w:rFonts w:ascii="Times New Roman" w:hAnsi="Times New Roman" w:cs="Times New Roman"/>
          <w:sz w:val="24"/>
          <w:szCs w:val="24"/>
        </w:rPr>
        <w:lastRenderedPageBreak/>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422B5D">
        <w:rPr>
          <w:rFonts w:ascii="Times New Roman" w:hAnsi="Times New Roman" w:cs="Times New Roman"/>
          <w:sz w:val="24"/>
          <w:szCs w:val="24"/>
        </w:rPr>
        <w:t>Y</w:t>
      </w:r>
      <w:r w:rsidRPr="00031A5F">
        <w:rPr>
          <w:rFonts w:ascii="Times New Roman" w:hAnsi="Times New Roman" w:cs="Times New Roman"/>
          <w:sz w:val="24"/>
          <w:szCs w:val="24"/>
        </w:rPr>
        <w:t>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ocupa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12.1</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superficie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(1592.76</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posee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(980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potenciales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descontado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superficie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actualmente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todavía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787.27</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(FAOSTAT,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deduce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todavía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puede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expandir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seguridad,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cuatro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veces.</w:t>
      </w:r>
      <w:r w:rsidR="00D136BB">
        <w:rPr>
          <w:rFonts w:ascii="Times New Roman" w:hAnsi="Times New Roman" w:cs="Times New Roman"/>
          <w:sz w:val="24"/>
          <w:szCs w:val="24"/>
        </w:rPr>
        <w:t xml:space="preserve"> </w:t>
      </w:r>
      <w:r w:rsidRPr="00031A5F">
        <w:rPr>
          <w:rFonts w:ascii="Times New Roman" w:eastAsia="TimesNewRoman" w:hAnsi="Times New Roman" w:cs="Times New Roman"/>
          <w:sz w:val="24"/>
          <w:szCs w:val="24"/>
          <w:lang w:val="es-ES"/>
        </w:rPr>
        <w:t>Todo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esto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unido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alta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diversidad</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biológica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que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posee,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región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presenta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mayor</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fortaleza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y</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oportunidad</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para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el</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futuro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desarrollo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humanidad,</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por</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menos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que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respecta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producción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alimentos.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destacar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acuicultura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pleno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2018b).</w:t>
      </w:r>
      <w:r w:rsidR="00D136BB">
        <w:rPr>
          <w:rFonts w:ascii="Times New Roman" w:hAnsi="Times New Roman" w:cs="Times New Roman"/>
          <w:sz w:val="24"/>
          <w:szCs w:val="24"/>
        </w:rPr>
        <w:t xml:space="preserve"> </w:t>
      </w:r>
      <w:r w:rsidRPr="00031A5F">
        <w:rPr>
          <w:rFonts w:ascii="Times New Roman" w:eastAsia="TimesNewRoman" w:hAnsi="Times New Roman" w:cs="Times New Roman"/>
          <w:sz w:val="24"/>
          <w:szCs w:val="24"/>
          <w:lang w:val="es-ES"/>
        </w:rPr>
        <w:t>Por</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eso,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FAO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considera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que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teniendo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cuenta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el</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crecimiento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población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mundial</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que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2050</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puede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superar</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los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9</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mil</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millones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personas,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el</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crecimiento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producción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alimentos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debe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ser</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superior</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70%</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w:t>
      </w:r>
      <w:r w:rsidRPr="00031A5F">
        <w:rPr>
          <w:rFonts w:ascii="Times New Roman" w:hAnsi="Times New Roman" w:cs="Times New Roman"/>
          <w:sz w:val="24"/>
          <w:szCs w:val="24"/>
        </w:rPr>
        <w:t>FAO,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2009,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2012)</w:t>
      </w:r>
      <w:r w:rsidRPr="00031A5F">
        <w:rPr>
          <w:rFonts w:ascii="Times New Roman" w:eastAsia="TimesNewRoman" w:hAnsi="Times New Roman" w:cs="Times New Roman"/>
          <w:sz w:val="24"/>
          <w:szCs w:val="24"/>
          <w:lang w:val="es-ES"/>
        </w:rPr>
        <w:t>.</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Teniendo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cuenta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los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recursos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potenciales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disponibles,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se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espera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que</w:t>
      </w:r>
      <w:r w:rsidR="00D136BB">
        <w:rPr>
          <w:rFonts w:ascii="Times New Roman" w:eastAsia="TimesNewRoman" w:hAnsi="Times New Roman" w:cs="Times New Roman"/>
          <w:sz w:val="24"/>
          <w:szCs w:val="24"/>
          <w:lang w:val="es-ES"/>
        </w:rPr>
        <w:t xml:space="preserve"> </w:t>
      </w:r>
      <w:r w:rsidR="00E262AD">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00E262AD">
        <w:rPr>
          <w:rFonts w:ascii="Times New Roman" w:eastAsia="TimesNewRoman" w:hAnsi="Times New Roman" w:cs="Times New Roman"/>
          <w:sz w:val="24"/>
          <w:szCs w:val="24"/>
          <w:lang w:val="es-ES"/>
        </w:rPr>
        <w:t>región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garantice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producción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más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E262AD">
        <w:rPr>
          <w:rFonts w:ascii="Times New Roman" w:eastAsia="TimesNewRoman" w:hAnsi="Times New Roman" w:cs="Times New Roman"/>
          <w:sz w:val="24"/>
          <w:szCs w:val="24"/>
          <w:lang w:val="es-ES"/>
        </w:rPr>
        <w:t>l</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color w:val="000000" w:themeColor="text1"/>
          <w:sz w:val="24"/>
          <w:szCs w:val="24"/>
          <w:lang w:val="es-ES"/>
        </w:rPr>
        <w:t>30%</w:t>
      </w:r>
      <w:r w:rsidR="00D136BB">
        <w:rPr>
          <w:rFonts w:ascii="Times New Roman" w:eastAsia="TimesNewRoman" w:hAnsi="Times New Roman" w:cs="Times New Roman"/>
          <w:color w:val="000000" w:themeColor="text1"/>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demanda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alimentos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del</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mundo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ese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momento.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ahí</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urgencia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desarrollo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tecnologías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agrícolas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sostenibles</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región</w:t>
      </w:r>
      <w:r w:rsidR="00D136BB">
        <w:rPr>
          <w:rFonts w:ascii="Times New Roman" w:eastAsia="TimesNewRoman" w:hAnsi="Times New Roman" w:cs="Times New Roman"/>
          <w:sz w:val="24"/>
          <w:szCs w:val="24"/>
          <w:lang w:val="es-ES"/>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atender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00E262AD">
        <w:rPr>
          <w:rFonts w:ascii="Times New Roman" w:hAnsi="Times New Roman" w:cs="Times New Roman"/>
          <w:sz w:val="24"/>
          <w:szCs w:val="24"/>
          <w:lang w:val="es-ES"/>
        </w:rPr>
        <w:t>y</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438612A7" w14:textId="52001C13" w:rsidR="00436D72" w:rsidRPr="00031A5F" w:rsidRDefault="00E262AD" w:rsidP="00436D72">
      <w:pPr>
        <w:pStyle w:val="ListParagraph"/>
        <w:spacing w:after="200" w:line="276" w:lineRule="auto"/>
        <w:ind w:left="0"/>
        <w:jc w:val="both"/>
        <w:rPr>
          <w:rFonts w:ascii="Times New Roman" w:hAnsi="Times New Roman" w:cs="Times New Roman"/>
          <w:sz w:val="24"/>
          <w:szCs w:val="24"/>
          <w:lang w:val="es-ES"/>
        </w:rPr>
      </w:pPr>
      <w:r>
        <w:rPr>
          <w:rFonts w:ascii="Times New Roman" w:hAnsi="Times New Roman" w:cs="Times New Roman"/>
          <w:sz w:val="24"/>
          <w:szCs w:val="24"/>
        </w:rPr>
        <w:t>En</w:t>
      </w:r>
      <w:r w:rsidR="00D136BB">
        <w:rPr>
          <w:rFonts w:ascii="Times New Roman" w:hAnsi="Times New Roman" w:cs="Times New Roman"/>
          <w:sz w:val="24"/>
          <w:szCs w:val="24"/>
        </w:rPr>
        <w:t xml:space="preserve"> </w:t>
      </w:r>
      <w:r>
        <w:rPr>
          <w:rFonts w:ascii="Times New Roman" w:hAnsi="Times New Roman" w:cs="Times New Roman"/>
          <w:sz w:val="24"/>
          <w:szCs w:val="24"/>
        </w:rPr>
        <w:t>las</w:t>
      </w:r>
      <w:r w:rsidR="00D136BB">
        <w:rPr>
          <w:rFonts w:ascii="Times New Roman" w:hAnsi="Times New Roman" w:cs="Times New Roman"/>
          <w:sz w:val="24"/>
          <w:szCs w:val="24"/>
        </w:rPr>
        <w:t xml:space="preserve"> </w:t>
      </w:r>
      <w:r>
        <w:rPr>
          <w:rFonts w:ascii="Times New Roman" w:hAnsi="Times New Roman" w:cs="Times New Roman"/>
          <w:sz w:val="24"/>
          <w:szCs w:val="24"/>
        </w:rPr>
        <w:t>últimas</w:t>
      </w:r>
      <w:r w:rsidR="00D136BB">
        <w:rPr>
          <w:rFonts w:ascii="Times New Roman" w:hAnsi="Times New Roman" w:cs="Times New Roman"/>
          <w:sz w:val="24"/>
          <w:szCs w:val="24"/>
        </w:rPr>
        <w:t xml:space="preserve"> </w:t>
      </w:r>
      <w:r>
        <w:rPr>
          <w:rFonts w:ascii="Times New Roman" w:hAnsi="Times New Roman" w:cs="Times New Roman"/>
          <w:sz w:val="24"/>
          <w:szCs w:val="24"/>
        </w:rPr>
        <w:t>décadas</w:t>
      </w:r>
      <w:r w:rsidR="00D136BB">
        <w:rPr>
          <w:rFonts w:ascii="Times New Roman" w:hAnsi="Times New Roman" w:cs="Times New Roman"/>
          <w:sz w:val="24"/>
          <w:szCs w:val="24"/>
        </w:rPr>
        <w:t xml:space="preserve"> </w:t>
      </w:r>
      <w:r>
        <w:rPr>
          <w:rFonts w:ascii="Times New Roman" w:hAnsi="Times New Roman" w:cs="Times New Roman"/>
          <w:sz w:val="24"/>
          <w:szCs w:val="24"/>
        </w:rPr>
        <w:t>hubo</w:t>
      </w:r>
      <w:r w:rsidR="00D136BB">
        <w:rPr>
          <w:rFonts w:ascii="Times New Roman" w:hAnsi="Times New Roman" w:cs="Times New Roman"/>
          <w:sz w:val="24"/>
          <w:szCs w:val="24"/>
        </w:rPr>
        <w:t xml:space="preserve"> </w:t>
      </w:r>
      <w:r>
        <w:rPr>
          <w:rFonts w:ascii="Times New Roman" w:hAnsi="Times New Roman" w:cs="Times New Roman"/>
          <w:sz w:val="24"/>
          <w:szCs w:val="24"/>
        </w:rPr>
        <w:t>grandes</w:t>
      </w:r>
      <w:r w:rsidR="00D136BB">
        <w:rPr>
          <w:rFonts w:ascii="Times New Roman" w:hAnsi="Times New Roman" w:cs="Times New Roman"/>
          <w:sz w:val="24"/>
          <w:szCs w:val="24"/>
        </w:rPr>
        <w:t xml:space="preserve"> </w:t>
      </w:r>
      <w:r>
        <w:rPr>
          <w:rFonts w:ascii="Times New Roman" w:hAnsi="Times New Roman" w:cs="Times New Roman"/>
          <w:sz w:val="24"/>
          <w:szCs w:val="24"/>
        </w:rPr>
        <w:t>avances</w:t>
      </w:r>
      <w:r w:rsidR="00D136BB">
        <w:rPr>
          <w:rFonts w:ascii="Times New Roman" w:hAnsi="Times New Roman" w:cs="Times New Roman"/>
          <w:sz w:val="24"/>
          <w:szCs w:val="24"/>
        </w:rPr>
        <w:t xml:space="preserve"> </w:t>
      </w:r>
      <w:r>
        <w:rPr>
          <w:rFonts w:ascii="Times New Roman" w:hAnsi="Times New Roman" w:cs="Times New Roman"/>
          <w:sz w:val="24"/>
          <w:szCs w:val="24"/>
        </w:rPr>
        <w:t>e</w:t>
      </w:r>
      <w:r w:rsidR="00436D72" w:rsidRPr="00031A5F">
        <w:rPr>
          <w:rFonts w:ascii="Times New Roman" w:hAnsi="Times New Roman" w:cs="Times New Roman"/>
          <w:sz w:val="24"/>
          <w:szCs w:val="24"/>
        </w:rPr>
        <w:t>n</w:t>
      </w:r>
      <w:r w:rsidR="00D136BB">
        <w:rPr>
          <w:rFonts w:ascii="Times New Roman" w:hAnsi="Times New Roman" w:cs="Times New Roman"/>
          <w:sz w:val="24"/>
          <w:szCs w:val="24"/>
        </w:rPr>
        <w:t xml:space="preserve"> </w:t>
      </w:r>
      <w:r w:rsidR="00436D72" w:rsidRPr="00031A5F">
        <w:rPr>
          <w:rFonts w:ascii="Times New Roman" w:hAnsi="Times New Roman" w:cs="Times New Roman"/>
          <w:sz w:val="24"/>
          <w:szCs w:val="24"/>
        </w:rPr>
        <w:t>lo</w:t>
      </w:r>
      <w:r w:rsidR="00D136BB">
        <w:rPr>
          <w:rFonts w:ascii="Times New Roman" w:hAnsi="Times New Roman" w:cs="Times New Roman"/>
          <w:sz w:val="24"/>
          <w:szCs w:val="24"/>
        </w:rPr>
        <w:t xml:space="preserve"> </w:t>
      </w:r>
      <w:r w:rsidR="00436D72"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00436D72" w:rsidRPr="00031A5F">
        <w:rPr>
          <w:rFonts w:ascii="Times New Roman" w:hAnsi="Times New Roman" w:cs="Times New Roman"/>
          <w:sz w:val="24"/>
          <w:szCs w:val="24"/>
        </w:rPr>
        <w:t>respecta</w:t>
      </w:r>
      <w:r w:rsidR="00D136BB">
        <w:rPr>
          <w:rFonts w:ascii="Times New Roman" w:hAnsi="Times New Roman" w:cs="Times New Roman"/>
          <w:sz w:val="24"/>
          <w:szCs w:val="24"/>
        </w:rPr>
        <w:t xml:space="preserve"> </w:t>
      </w:r>
      <w:r w:rsidR="00436D72"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007F08BA">
        <w:rPr>
          <w:rFonts w:ascii="Times New Roman" w:hAnsi="Times New Roman" w:cs="Times New Roman"/>
          <w:sz w:val="24"/>
          <w:szCs w:val="24"/>
        </w:rPr>
        <w:t>control</w:t>
      </w:r>
      <w:r w:rsidR="00D136BB">
        <w:rPr>
          <w:rFonts w:ascii="Times New Roman" w:hAnsi="Times New Roman" w:cs="Times New Roman"/>
          <w:sz w:val="24"/>
          <w:szCs w:val="24"/>
        </w:rPr>
        <w:t xml:space="preserve"> </w:t>
      </w:r>
      <w:r w:rsidR="007F08BA">
        <w:rPr>
          <w:rFonts w:ascii="Times New Roman" w:hAnsi="Times New Roman" w:cs="Times New Roman"/>
          <w:sz w:val="24"/>
          <w:szCs w:val="24"/>
        </w:rPr>
        <w:t>del</w:t>
      </w:r>
      <w:r w:rsidR="00D136BB">
        <w:rPr>
          <w:rFonts w:ascii="Times New Roman" w:hAnsi="Times New Roman" w:cs="Times New Roman"/>
          <w:sz w:val="24"/>
          <w:szCs w:val="24"/>
        </w:rPr>
        <w:t xml:space="preserve"> </w:t>
      </w:r>
      <w:r w:rsidR="00436D72" w:rsidRPr="00031A5F">
        <w:rPr>
          <w:rFonts w:ascii="Times New Roman" w:hAnsi="Times New Roman" w:cs="Times New Roman"/>
          <w:sz w:val="24"/>
          <w:szCs w:val="24"/>
        </w:rPr>
        <w:t>hambre</w:t>
      </w:r>
      <w:r w:rsidR="00D136BB">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00436D72" w:rsidRPr="00031A5F">
        <w:rPr>
          <w:rFonts w:ascii="Times New Roman" w:hAnsi="Times New Roman" w:cs="Times New Roman"/>
          <w:sz w:val="24"/>
          <w:szCs w:val="24"/>
        </w:rPr>
        <w:t>desnutrición</w:t>
      </w:r>
      <w:r>
        <w:rPr>
          <w:rFonts w:ascii="Times New Roman" w:hAnsi="Times New Roman" w:cs="Times New Roman"/>
          <w:sz w:val="24"/>
          <w:szCs w:val="24"/>
        </w:rPr>
        <w:t>.</w:t>
      </w:r>
      <w:r w:rsidR="00D136BB">
        <w:rPr>
          <w:rFonts w:ascii="Times New Roman" w:hAnsi="Times New Roman" w:cs="Times New Roman"/>
          <w:sz w:val="24"/>
          <w:szCs w:val="24"/>
        </w:rPr>
        <w:t xml:space="preserve"> </w:t>
      </w:r>
      <w:r>
        <w:rPr>
          <w:rFonts w:ascii="Times New Roman" w:hAnsi="Times New Roman" w:cs="Times New Roman"/>
          <w:sz w:val="24"/>
          <w:szCs w:val="24"/>
        </w:rPr>
        <w:t>Durante</w:t>
      </w:r>
      <w:r w:rsidR="00D136BB">
        <w:rPr>
          <w:rFonts w:ascii="Times New Roman" w:hAnsi="Times New Roman" w:cs="Times New Roman"/>
          <w:sz w:val="24"/>
          <w:szCs w:val="24"/>
        </w:rPr>
        <w:t xml:space="preserve"> </w:t>
      </w:r>
      <w:r>
        <w:rPr>
          <w:rFonts w:ascii="Times New Roman" w:hAnsi="Times New Roman" w:cs="Times New Roman"/>
          <w:sz w:val="24"/>
          <w:szCs w:val="24"/>
        </w:rPr>
        <w:t>este</w:t>
      </w:r>
      <w:r w:rsidR="00D136BB">
        <w:rPr>
          <w:rFonts w:ascii="Times New Roman" w:hAnsi="Times New Roman" w:cs="Times New Roman"/>
          <w:sz w:val="24"/>
          <w:szCs w:val="24"/>
        </w:rPr>
        <w:t xml:space="preserve"> </w:t>
      </w:r>
      <w:r>
        <w:rPr>
          <w:rFonts w:ascii="Times New Roman" w:hAnsi="Times New Roman" w:cs="Times New Roman"/>
          <w:sz w:val="24"/>
          <w:szCs w:val="24"/>
        </w:rPr>
        <w:t>periodo</w:t>
      </w:r>
      <w:r w:rsidR="00D136BB">
        <w:rPr>
          <w:rFonts w:ascii="Times New Roman" w:hAnsi="Times New Roman" w:cs="Times New Roman"/>
          <w:sz w:val="24"/>
          <w:szCs w:val="24"/>
        </w:rPr>
        <w:t xml:space="preserve"> </w:t>
      </w:r>
      <w:r>
        <w:rPr>
          <w:rFonts w:ascii="Times New Roman" w:hAnsi="Times New Roman" w:cs="Times New Roman"/>
          <w:sz w:val="24"/>
          <w:szCs w:val="24"/>
        </w:rPr>
        <w:t>el</w:t>
      </w:r>
      <w:r w:rsidR="00D136BB">
        <w:rPr>
          <w:rFonts w:ascii="Times New Roman" w:hAnsi="Times New Roman" w:cs="Times New Roman"/>
          <w:sz w:val="24"/>
          <w:szCs w:val="24"/>
        </w:rPr>
        <w:t xml:space="preserve"> </w:t>
      </w:r>
      <w:r>
        <w:rPr>
          <w:rFonts w:ascii="Times New Roman" w:hAnsi="Times New Roman" w:cs="Times New Roman"/>
          <w:sz w:val="24"/>
          <w:szCs w:val="24"/>
        </w:rPr>
        <w:t>porcentaje</w:t>
      </w:r>
      <w:r w:rsidR="00D136BB">
        <w:rPr>
          <w:rFonts w:ascii="Times New Roman" w:hAnsi="Times New Roman" w:cs="Times New Roman"/>
          <w:sz w:val="24"/>
          <w:szCs w:val="24"/>
        </w:rPr>
        <w:t xml:space="preserve"> </w:t>
      </w:r>
      <w:r>
        <w:rPr>
          <w:rFonts w:ascii="Times New Roman" w:hAnsi="Times New Roman" w:cs="Times New Roman"/>
          <w:sz w:val="24"/>
          <w:szCs w:val="24"/>
        </w:rPr>
        <w:t>de</w:t>
      </w:r>
      <w:r w:rsidR="00D136BB">
        <w:rPr>
          <w:rFonts w:ascii="Times New Roman" w:hAnsi="Times New Roman" w:cs="Times New Roman"/>
          <w:sz w:val="24"/>
          <w:szCs w:val="24"/>
        </w:rPr>
        <w:t xml:space="preserve"> </w:t>
      </w:r>
      <w:r>
        <w:rPr>
          <w:rFonts w:ascii="Times New Roman" w:hAnsi="Times New Roman" w:cs="Times New Roman"/>
          <w:sz w:val="24"/>
          <w:szCs w:val="24"/>
        </w:rPr>
        <w:t>la</w:t>
      </w:r>
      <w:r w:rsidR="00D136BB">
        <w:rPr>
          <w:rFonts w:ascii="Times New Roman" w:hAnsi="Times New Roman" w:cs="Times New Roman"/>
          <w:sz w:val="24"/>
          <w:szCs w:val="24"/>
        </w:rPr>
        <w:t xml:space="preserve"> </w:t>
      </w:r>
      <w:r>
        <w:rPr>
          <w:rFonts w:ascii="Times New Roman" w:hAnsi="Times New Roman" w:cs="Times New Roman"/>
          <w:sz w:val="24"/>
          <w:szCs w:val="24"/>
        </w:rPr>
        <w:t>población</w:t>
      </w:r>
      <w:r w:rsidR="00D136BB">
        <w:rPr>
          <w:rFonts w:ascii="Times New Roman" w:hAnsi="Times New Roman" w:cs="Times New Roman"/>
          <w:sz w:val="24"/>
          <w:szCs w:val="24"/>
        </w:rPr>
        <w:t xml:space="preserve"> </w:t>
      </w:r>
      <w:r>
        <w:rPr>
          <w:rFonts w:ascii="Times New Roman" w:hAnsi="Times New Roman" w:cs="Times New Roman"/>
          <w:sz w:val="24"/>
          <w:szCs w:val="24"/>
        </w:rPr>
        <w:t>afectada</w:t>
      </w:r>
      <w:r w:rsidR="00D136BB">
        <w:rPr>
          <w:rFonts w:ascii="Times New Roman" w:hAnsi="Times New Roman" w:cs="Times New Roman"/>
          <w:sz w:val="24"/>
          <w:szCs w:val="24"/>
        </w:rPr>
        <w:t xml:space="preserve"> </w:t>
      </w:r>
      <w:r>
        <w:rPr>
          <w:rFonts w:ascii="Times New Roman" w:hAnsi="Times New Roman" w:cs="Times New Roman"/>
          <w:sz w:val="24"/>
          <w:szCs w:val="24"/>
        </w:rPr>
        <w:t>disminuyó</w:t>
      </w:r>
      <w:r w:rsidR="00D136BB">
        <w:rPr>
          <w:rFonts w:ascii="Times New Roman" w:hAnsi="Times New Roman" w:cs="Times New Roman"/>
          <w:sz w:val="24"/>
          <w:szCs w:val="24"/>
        </w:rPr>
        <w:t xml:space="preserve"> </w:t>
      </w:r>
      <w:r w:rsidR="00436D72" w:rsidRPr="00031A5F">
        <w:rPr>
          <w:rFonts w:ascii="Times New Roman" w:hAnsi="Times New Roman" w:cs="Times New Roman"/>
          <w:sz w:val="24"/>
          <w:szCs w:val="24"/>
        </w:rPr>
        <w:t>de</w:t>
      </w:r>
      <w:r>
        <w:rPr>
          <w:rFonts w:ascii="Times New Roman" w:hAnsi="Times New Roman" w:cs="Times New Roman"/>
          <w:sz w:val="24"/>
          <w:szCs w:val="24"/>
        </w:rPr>
        <w:t>l</w:t>
      </w:r>
      <w:r w:rsidR="00D136BB">
        <w:rPr>
          <w:rFonts w:ascii="Times New Roman" w:hAnsi="Times New Roman" w:cs="Times New Roman"/>
          <w:sz w:val="24"/>
          <w:szCs w:val="24"/>
        </w:rPr>
        <w:t xml:space="preserve"> </w:t>
      </w:r>
      <w:r w:rsidR="00436D72" w:rsidRPr="00031A5F">
        <w:rPr>
          <w:rFonts w:ascii="Times New Roman" w:eastAsia="Arial Unicode MS" w:hAnsi="Times New Roman" w:cs="Times New Roman"/>
          <w:sz w:val="24"/>
          <w:szCs w:val="24"/>
        </w:rPr>
        <w:t>13.5%</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al</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6.5%</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en</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actualidad.</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Sin</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embargo,</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todavía</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viven</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en</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región</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alrededor</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42</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millones</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personas</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afectadas</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por</w:t>
      </w:r>
      <w:r w:rsidR="00D136BB">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subnutrición,</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principalmente</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en</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los</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países</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andinos,</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Mesoamérica</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y</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el</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Caribe.</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Este</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problema</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está</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asociado</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con</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el</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contrastante</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desarrollo</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agrícola</w:t>
      </w:r>
      <w:r w:rsidR="00D136BB">
        <w:rPr>
          <w:rFonts w:ascii="Times New Roman" w:eastAsia="Arial Unicode MS" w:hAnsi="Times New Roman" w:cs="Times New Roman"/>
          <w:sz w:val="24"/>
          <w:szCs w:val="24"/>
        </w:rPr>
        <w:t xml:space="preserve"> </w:t>
      </w:r>
      <w:r w:rsidR="00394F96"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00394F96" w:rsidRPr="00031A5F">
        <w:rPr>
          <w:rFonts w:ascii="Times New Roman" w:eastAsia="Arial Unicode MS" w:hAnsi="Times New Roman" w:cs="Times New Roman"/>
          <w:sz w:val="24"/>
          <w:szCs w:val="24"/>
        </w:rPr>
        <w:t>producción</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00436D72" w:rsidRPr="00031A5F">
        <w:rPr>
          <w:rFonts w:ascii="Times New Roman" w:eastAsia="Arial Unicode MS" w:hAnsi="Times New Roman" w:cs="Times New Roman"/>
          <w:sz w:val="24"/>
          <w:szCs w:val="24"/>
        </w:rPr>
        <w:t>alimentos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(granos,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cereales,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carne,</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leche,</w:t>
      </w:r>
      <w:r w:rsidR="00D136BB">
        <w:rPr>
          <w:rFonts w:ascii="Times New Roman" w:hAnsi="Times New Roman" w:cs="Times New Roman"/>
          <w:sz w:val="24"/>
          <w:szCs w:val="24"/>
          <w:lang w:val="es-ES"/>
        </w:rPr>
        <w:t xml:space="preserve"> </w:t>
      </w:r>
      <w:r w:rsidR="00D06626">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00D06626">
        <w:rPr>
          <w:rFonts w:ascii="Times New Roman" w:hAnsi="Times New Roman" w:cs="Times New Roman"/>
          <w:sz w:val="24"/>
          <w:szCs w:val="24"/>
          <w:lang w:val="es-ES"/>
        </w:rPr>
        <w:t>otros</w:t>
      </w:r>
      <w:r w:rsidR="00436D72" w:rsidRPr="00031A5F">
        <w:rPr>
          <w:rFonts w:ascii="Times New Roman" w:hAnsi="Times New Roman" w:cs="Times New Roman"/>
          <w:sz w:val="24"/>
          <w:szCs w:val="24"/>
          <w:lang w:val="es-ES"/>
        </w:rPr>
        <w:t>)</w:t>
      </w:r>
      <w:r w:rsidR="00D136BB">
        <w:rPr>
          <w:rFonts w:ascii="Times New Roman" w:eastAsia="Arial Unicode MS" w:hAnsi="Times New Roman" w:cs="Times New Roman"/>
          <w:sz w:val="24"/>
          <w:szCs w:val="24"/>
        </w:rPr>
        <w:t xml:space="preserve"> </w:t>
      </w:r>
      <w:r w:rsidR="00436D72" w:rsidRPr="00031A5F">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subregiones.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Pocos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Argentina,</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Brasil</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Uruguay</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producen</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5</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10</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veces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demanda</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actual</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pero</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otros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todavía</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hay</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gran</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espacio</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recorrer</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(Guareschi</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et</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2019).</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desafío</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00436D72" w:rsidRPr="00031A5F">
        <w:rPr>
          <w:rFonts w:ascii="Times New Roman" w:hAnsi="Times New Roman" w:cs="Times New Roman"/>
          <w:sz w:val="24"/>
          <w:szCs w:val="24"/>
          <w:lang w:val="es-ES"/>
        </w:rPr>
        <w:t>2018).</w:t>
      </w:r>
    </w:p>
    <w:p w14:paraId="098671A1" w14:textId="3BAB4DC6" w:rsidR="00436D72" w:rsidRPr="00031A5F" w:rsidRDefault="00436D72" w:rsidP="00436D72">
      <w:pPr>
        <w:jc w:val="both"/>
        <w:rPr>
          <w:rFonts w:ascii="Times New Roman" w:hAnsi="Times New Roman" w:cs="Times New Roman"/>
          <w:sz w:val="24"/>
          <w:szCs w:val="24"/>
        </w:rPr>
      </w:pPr>
      <w:r w:rsidRPr="00031A5F">
        <w:rPr>
          <w:rFonts w:ascii="Times New Roman" w:eastAsia="Arial Unicode MS" w:hAnsi="Times New Roman" w:cs="Times New Roman"/>
          <w:sz w:val="24"/>
          <w:szCs w:val="24"/>
        </w:rPr>
        <w:t>Se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debe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destacar</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que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partir</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2011</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observa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un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estancamiento</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en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indicadores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reducción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pobreza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regional,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algunas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subregiones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índices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retrocedido.</w:t>
      </w:r>
      <w:r w:rsidR="00D136BB">
        <w:rPr>
          <w:rFonts w:ascii="Times New Roman" w:hAnsi="Times New Roman" w:cs="Times New Roman"/>
          <w:sz w:val="24"/>
          <w:szCs w:val="24"/>
        </w:rPr>
        <w:t xml:space="preserve"> </w:t>
      </w:r>
      <w:r w:rsidRPr="00031A5F">
        <w:rPr>
          <w:rFonts w:ascii="Times New Roman" w:hAnsi="Times New Roman" w:cs="Times New Roman"/>
          <w:sz w:val="24"/>
          <w:szCs w:val="24"/>
          <w:lang w:val="es-ES"/>
        </w:rPr>
        <w:t>Si</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situación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prevalece</w:t>
      </w:r>
      <w:r w:rsidR="00D136BB">
        <w:rPr>
          <w:rFonts w:ascii="Times New Roman" w:hAnsi="Times New Roman" w:cs="Times New Roman"/>
          <w:sz w:val="24"/>
          <w:szCs w:val="24"/>
          <w:lang w:val="es-ES"/>
        </w:rPr>
        <w:t xml:space="preserve"> </w:t>
      </w:r>
      <w:r w:rsidR="00D06626">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00D06626">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alcanzará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poner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fin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todas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formas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malnutrición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2030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FIDA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2016).</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contraste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situación,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pasos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erradicar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desnutrición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infantil,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disminuir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mortalidad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materna,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neonatal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niños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menores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5</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años,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mortalidad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causada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transmisibles,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sigue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camino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cumplir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primeras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OPS,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05C1E29E" w14:textId="1A3BDA34" w:rsidR="00436D72" w:rsidRPr="00031A5F" w:rsidRDefault="00436D72" w:rsidP="00394F96">
      <w:pPr>
        <w:autoSpaceDE w:val="0"/>
        <w:autoSpaceDN w:val="0"/>
        <w:adjustRightInd w:val="0"/>
        <w:jc w:val="both"/>
        <w:rPr>
          <w:rFonts w:ascii="Times New Roman" w:eastAsia="TimesNew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tiene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ofrecer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nuevos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alimenticios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poseer</w:t>
      </w:r>
      <w:r w:rsidR="00D136BB">
        <w:rPr>
          <w:rFonts w:ascii="Times New Roman" w:hAnsi="Times New Roman" w:cs="Times New Roman"/>
          <w:sz w:val="24"/>
          <w:szCs w:val="24"/>
        </w:rPr>
        <w:t xml:space="preserve"> </w:t>
      </w:r>
      <w:r w:rsidRPr="00031A5F">
        <w:rPr>
          <w:rFonts w:ascii="Times New Roman" w:hAnsi="Times New Roman" w:cs="Times New Roman"/>
          <w:sz w:val="24"/>
          <w:szCs w:val="24"/>
          <w:lang w:val="es-ES"/>
        </w:rPr>
        <w:t>cinco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diez</w:t>
      </w:r>
      <w:r w:rsidR="00D136BB">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mega</w:t>
      </w:r>
      <w:r w:rsidR="00D136BB">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centros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biodiversidad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planeta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(Brasil,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Chile,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México,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Paraguay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Perú)</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(IANAS,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área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nuevo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localiza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proporcionado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mayor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hoy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base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humanidad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(Papa,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maíz,</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frijol,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tomate,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yuca,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cucurbitáceas,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palta,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cacao,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ají,</w:t>
      </w:r>
      <w:r w:rsidR="00D136BB">
        <w:rPr>
          <w:rFonts w:ascii="Times New Roman" w:hAnsi="Times New Roman" w:cs="Times New Roman"/>
          <w:sz w:val="24"/>
          <w:szCs w:val="24"/>
          <w:lang w:val="es-ES"/>
        </w:rPr>
        <w:t xml:space="preserve"> </w:t>
      </w:r>
      <w:r w:rsidR="00014218">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00014218">
        <w:rPr>
          <w:rFonts w:ascii="Times New Roman" w:hAnsi="Times New Roman" w:cs="Times New Roman"/>
          <w:sz w:val="24"/>
          <w:szCs w:val="24"/>
          <w:lang w:val="es-ES"/>
        </w:rPr>
        <w:t>otros</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Otras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raíces,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tuberosas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cereales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(Amaranto,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kiwicha,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quinua,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otras)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están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expansión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uso.</w:t>
      </w:r>
      <w:r w:rsidR="00D136BB">
        <w:rPr>
          <w:rFonts w:ascii="Times New Roman" w:hAnsi="Times New Roman" w:cs="Times New Roman"/>
          <w:sz w:val="24"/>
          <w:szCs w:val="24"/>
          <w:lang w:val="es-ES"/>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ámbito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actividad</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pecuaria,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AL</w:t>
      </w:r>
      <w:r w:rsidR="00422B5D">
        <w:rPr>
          <w:rFonts w:ascii="Times New Roman" w:hAnsi="Times New Roman" w:cs="Times New Roman"/>
          <w:bCs/>
          <w:sz w:val="24"/>
          <w:szCs w:val="24"/>
        </w:rPr>
        <w:t>y</w:t>
      </w:r>
      <w:r w:rsidRPr="00031A5F">
        <w:rPr>
          <w:rFonts w:ascii="Times New Roman" w:hAnsi="Times New Roman" w:cs="Times New Roman"/>
          <w:bCs/>
          <w:sz w:val="24"/>
          <w:szCs w:val="24"/>
        </w:rPr>
        <w:t>C</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poseen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grandes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poblaciones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(450</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cab.</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principales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especies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ganaderas,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distribuidas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distintas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subregiones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son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base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económica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diversos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sectores,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tanto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comercio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local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regional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como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explotación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larga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escala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industrial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exportación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derivados.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característica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lastRenderedPageBreak/>
        <w:t>autóctona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(como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caso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camélidos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sudamericanos),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introducidos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menos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hace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200</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años,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través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colonizadores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europeos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(como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caso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bovinos,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ovinos,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caprinos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bufalinos),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poblaciones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poseen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conjuntos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génicos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especiales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seleccionados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confiere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combinación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ajustada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adaptación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distintas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zonas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agro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ecológicas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región.</w:t>
      </w:r>
      <w:r w:rsidR="00D136BB">
        <w:rPr>
          <w:rFonts w:ascii="Times New 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Por</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todo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esto,</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América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Latina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y</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el</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Caribe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se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considera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un</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baluarte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de</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la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seguridad</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alimentaria</w:t>
      </w:r>
      <w:r w:rsidR="00D136BB">
        <w:rPr>
          <w:rFonts w:ascii="Times New Roman" w:eastAsia="TimesNewRoman" w:hAnsi="Times New Roman" w:cs="Times New Roman"/>
          <w:sz w:val="24"/>
          <w:szCs w:val="24"/>
          <w:lang w:val="es-ES"/>
        </w:rPr>
        <w:t xml:space="preserve"> </w:t>
      </w:r>
      <w:r w:rsidRPr="00031A5F">
        <w:rPr>
          <w:rFonts w:ascii="Times New Roman" w:eastAsia="TimesNewRoman" w:hAnsi="Times New Roman" w:cs="Times New Roman"/>
          <w:sz w:val="24"/>
          <w:szCs w:val="24"/>
          <w:lang w:val="es-ES"/>
        </w:rPr>
        <w:t>mundial.</w:t>
      </w:r>
    </w:p>
    <w:p w14:paraId="7A1F728E" w14:textId="135CD2B8" w:rsidR="00436D72" w:rsidRPr="00031A5F" w:rsidRDefault="00436D72" w:rsidP="00436D72">
      <w:p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422B5D">
        <w:rPr>
          <w:rFonts w:ascii="Times New Roman" w:hAnsi="Times New Roman" w:cs="Times New Roman"/>
          <w:sz w:val="24"/>
          <w:szCs w:val="24"/>
          <w:lang w:val="es-ES"/>
        </w:rPr>
        <w:t>y</w:t>
      </w:r>
      <w:r w:rsidRPr="00031A5F">
        <w:rPr>
          <w:rFonts w:ascii="Times New Roman" w:hAnsi="Times New Roman" w:cs="Times New Roman"/>
          <w:sz w:val="24"/>
          <w:szCs w:val="24"/>
          <w:lang w:val="es-ES"/>
        </w:rPr>
        <w:t>C</w:t>
      </w:r>
      <w:r w:rsidR="00D136BB">
        <w:rPr>
          <w:rFonts w:ascii="Times New Roman" w:hAnsi="Times New Roman" w:cs="Times New Roman"/>
          <w:sz w:val="24"/>
          <w:szCs w:val="24"/>
          <w:lang w:val="es-ES"/>
        </w:rPr>
        <w:t xml:space="preserve"> </w:t>
      </w:r>
      <w:r w:rsidR="00014218">
        <w:rPr>
          <w:rFonts w:ascii="Times New Roman" w:hAnsi="Times New Roman" w:cs="Times New Roman"/>
          <w:sz w:val="24"/>
          <w:szCs w:val="24"/>
          <w:lang w:val="es-ES"/>
        </w:rPr>
        <w:t>produce</w:t>
      </w:r>
      <w:r w:rsidR="00D136BB">
        <w:rPr>
          <w:rFonts w:ascii="Times New Roman" w:hAnsi="Times New Roman" w:cs="Times New Roman"/>
          <w:sz w:val="24"/>
          <w:szCs w:val="24"/>
          <w:lang w:val="es-ES"/>
        </w:rPr>
        <w:t xml:space="preserve"> </w:t>
      </w:r>
      <w:r w:rsidR="00014218">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14%</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014218">
        <w:rPr>
          <w:rFonts w:ascii="Times New Roman" w:hAnsi="Times New Roman" w:cs="Times New Roman"/>
          <w:sz w:val="24"/>
          <w:szCs w:val="24"/>
          <w:lang w:val="es-ES"/>
        </w:rPr>
        <w:t>l</w:t>
      </w:r>
      <w:r w:rsidR="00D136BB">
        <w:rPr>
          <w:rFonts w:ascii="Times New Roman" w:hAnsi="Times New Roman" w:cs="Times New Roman"/>
          <w:sz w:val="24"/>
          <w:szCs w:val="24"/>
          <w:lang w:val="es-ES"/>
        </w:rPr>
        <w:t xml:space="preserve"> </w:t>
      </w:r>
      <w:r w:rsidR="00014218">
        <w:rPr>
          <w:rFonts w:ascii="Times New Roman" w:hAnsi="Times New Roman" w:cs="Times New Roman"/>
          <w:sz w:val="24"/>
          <w:szCs w:val="24"/>
          <w:lang w:val="es-ES"/>
        </w:rPr>
        <w:t>total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00014218">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00014218">
        <w:rPr>
          <w:rFonts w:ascii="Times New Roman" w:hAnsi="Times New Roman" w:cs="Times New Roman"/>
          <w:sz w:val="24"/>
          <w:szCs w:val="24"/>
          <w:lang w:val="es-ES"/>
        </w:rPr>
        <w:t>contribuye</w:t>
      </w:r>
      <w:r w:rsidR="00D136BB">
        <w:rPr>
          <w:rFonts w:ascii="Times New Roman" w:hAnsi="Times New Roman" w:cs="Times New Roman"/>
          <w:sz w:val="24"/>
          <w:szCs w:val="24"/>
          <w:lang w:val="es-ES"/>
        </w:rPr>
        <w:t xml:space="preserve"> </w:t>
      </w:r>
      <w:r w:rsidR="00014218">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exportaciones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básicos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pesqueros.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próxima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década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(60%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40%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expansión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área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triplo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media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sector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ganadero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aumento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16%,</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ocho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veces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mayor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media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consumo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carnes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aumentará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8Mt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carne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orientada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exportaciones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(OCDE-FAO,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2019).</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Contribuye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237AA367" w14:textId="448DB0C7" w:rsidR="00436D72" w:rsidRPr="00031A5F" w:rsidRDefault="00436D72" w:rsidP="00436D72">
      <w:pPr>
        <w:jc w:val="both"/>
        <w:rPr>
          <w:rFonts w:ascii="Times New Roman" w:eastAsia="Arial Unicode MS" w:hAnsi="Times New Roman" w:cs="Times New Roman"/>
          <w:spacing w:val="-2"/>
          <w:sz w:val="24"/>
          <w:szCs w:val="24"/>
          <w:lang w:val="es-ES"/>
        </w:rPr>
      </w:pPr>
      <w:r w:rsidRPr="00031A5F">
        <w:rPr>
          <w:rFonts w:ascii="Times New Roman" w:eastAsia="Arial Unicode MS" w:hAnsi="Times New Roman" w:cs="Times New Roman"/>
          <w:sz w:val="24"/>
          <w:szCs w:val="24"/>
        </w:rPr>
        <w:t>En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síntesis,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si</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bien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00014218">
        <w:rPr>
          <w:rFonts w:ascii="Times New Roman" w:eastAsia="Arial Unicode MS" w:hAnsi="Times New Roman" w:cs="Times New Roman"/>
          <w:sz w:val="24"/>
          <w:szCs w:val="24"/>
        </w:rPr>
        <w:t>producción</w:t>
      </w:r>
      <w:r w:rsidR="00D136BB">
        <w:rPr>
          <w:rFonts w:ascii="Times New Roman" w:eastAsia="Arial Unicode MS" w:hAnsi="Times New Roman" w:cs="Times New Roman"/>
          <w:sz w:val="24"/>
          <w:szCs w:val="24"/>
        </w:rPr>
        <w:t xml:space="preserve"> </w:t>
      </w:r>
      <w:r w:rsidR="00014218">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00014218">
        <w:rPr>
          <w:rFonts w:ascii="Times New Roman" w:eastAsia="Arial Unicode MS" w:hAnsi="Times New Roman" w:cs="Times New Roman"/>
          <w:sz w:val="24"/>
          <w:szCs w:val="24"/>
        </w:rPr>
        <w:t>alimentos</w:t>
      </w:r>
      <w:r w:rsidR="00D136BB">
        <w:rPr>
          <w:rFonts w:ascii="Times New Roman" w:eastAsia="Arial Unicode MS" w:hAnsi="Times New Roman" w:cs="Times New Roman"/>
          <w:sz w:val="24"/>
          <w:szCs w:val="24"/>
        </w:rPr>
        <w:t xml:space="preserve"> </w:t>
      </w:r>
      <w:r w:rsidR="00014218">
        <w:rPr>
          <w:rFonts w:ascii="Times New Roman" w:eastAsia="Arial Unicode MS" w:hAnsi="Times New Roman" w:cs="Times New Roman"/>
          <w:sz w:val="24"/>
          <w:szCs w:val="24"/>
        </w:rPr>
        <w:t>en</w:t>
      </w:r>
      <w:r w:rsidR="00D136BB">
        <w:rPr>
          <w:rFonts w:ascii="Times New Roman" w:eastAsia="Arial Unicode MS" w:hAnsi="Times New Roman" w:cs="Times New Roman"/>
          <w:sz w:val="24"/>
          <w:szCs w:val="24"/>
        </w:rPr>
        <w:t xml:space="preserve"> </w:t>
      </w:r>
      <w:r w:rsidR="00014218">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00014218">
        <w:rPr>
          <w:rFonts w:ascii="Times New Roman" w:eastAsia="Arial Unicode MS" w:hAnsi="Times New Roman" w:cs="Times New Roman"/>
          <w:sz w:val="24"/>
          <w:szCs w:val="24"/>
        </w:rPr>
        <w:t>región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presenta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resultados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generales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positivos,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también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afronta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una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serie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desafíos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cruciales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que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deben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ser</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superados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en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próximos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años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para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alcanzar</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un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desarrollo</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alimentario</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sostenido</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compatible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con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mayores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niveles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crecimiento</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y</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bienestar</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social,</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vinculados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conservación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y</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utilización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diversidad</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biológica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y</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sin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detrimento</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recursos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naturales.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Para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que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este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desarrollo</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ocurra,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condición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i/>
          <w:iCs/>
          <w:sz w:val="24"/>
          <w:szCs w:val="24"/>
        </w:rPr>
        <w:t>sine</w:t>
      </w:r>
      <w:r w:rsidR="00D136BB">
        <w:rPr>
          <w:rFonts w:ascii="Times New Roman" w:eastAsia="Arial Unicode MS" w:hAnsi="Times New Roman" w:cs="Times New Roman"/>
          <w:i/>
          <w:iCs/>
          <w:sz w:val="24"/>
          <w:szCs w:val="24"/>
        </w:rPr>
        <w:t xml:space="preserve"> </w:t>
      </w:r>
      <w:r w:rsidRPr="00031A5F">
        <w:rPr>
          <w:rFonts w:ascii="Times New Roman" w:eastAsia="Arial Unicode MS" w:hAnsi="Times New Roman" w:cs="Times New Roman"/>
          <w:i/>
          <w:iCs/>
          <w:sz w:val="24"/>
          <w:szCs w:val="24"/>
        </w:rPr>
        <w:t>qua</w:t>
      </w:r>
      <w:r w:rsidR="00D136BB">
        <w:rPr>
          <w:rFonts w:ascii="Times New Roman" w:eastAsia="Arial Unicode MS" w:hAnsi="Times New Roman" w:cs="Times New Roman"/>
          <w:i/>
          <w:iCs/>
          <w:sz w:val="24"/>
          <w:szCs w:val="24"/>
        </w:rPr>
        <w:t xml:space="preserve"> </w:t>
      </w:r>
      <w:r w:rsidRPr="00031A5F">
        <w:rPr>
          <w:rFonts w:ascii="Times New Roman" w:eastAsia="Arial Unicode MS" w:hAnsi="Times New Roman" w:cs="Times New Roman"/>
          <w:i/>
          <w:iCs/>
          <w:sz w:val="24"/>
          <w:szCs w:val="24"/>
        </w:rPr>
        <w:t>non</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es</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que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la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actividad</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agropecuaria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regional</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crezca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significativamente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y</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de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forma</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z w:val="24"/>
          <w:szCs w:val="24"/>
        </w:rPr>
        <w:t>sostenible.</w:t>
      </w:r>
      <w:r w:rsidR="00D136BB">
        <w:rPr>
          <w:rFonts w:ascii="Times New Roman" w:eastAsia="Arial Unicode MS" w:hAnsi="Times New Roman" w:cs="Times New Roman"/>
          <w:sz w:val="24"/>
          <w:szCs w:val="24"/>
        </w:rPr>
        <w:t xml:space="preserve"> </w:t>
      </w:r>
      <w:r w:rsidRPr="00031A5F">
        <w:rPr>
          <w:rFonts w:ascii="Times New Roman" w:eastAsia="Arial Unicode MS" w:hAnsi="Times New Roman" w:cs="Times New Roman"/>
          <w:spacing w:val="-2"/>
          <w:sz w:val="24"/>
          <w:szCs w:val="24"/>
        </w:rPr>
        <w:t>Numerosos</w:t>
      </w:r>
      <w:r w:rsidR="00D136BB">
        <w:rPr>
          <w:rFonts w:ascii="Times New Roman" w:eastAsia="Arial Unicode MS" w:hAnsi="Times New Roman" w:cs="Times New Roman"/>
          <w:spacing w:val="-2"/>
          <w:sz w:val="24"/>
          <w:szCs w:val="24"/>
        </w:rPr>
        <w:t xml:space="preserve"> </w:t>
      </w:r>
      <w:r w:rsidRPr="00031A5F">
        <w:rPr>
          <w:rFonts w:ascii="Times New Roman" w:eastAsia="Arial Unicode MS" w:hAnsi="Times New Roman" w:cs="Times New Roman"/>
          <w:spacing w:val="-2"/>
          <w:sz w:val="24"/>
          <w:szCs w:val="24"/>
          <w:lang w:val="es-ES"/>
        </w:rPr>
        <w:t>especialistas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desarrollo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económico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han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identificado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cambio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tecnológico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como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variable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que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más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aporta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crecimiento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económico.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w:t>
      </w:r>
      <w:r w:rsidR="00422B5D">
        <w:rPr>
          <w:rFonts w:ascii="Times New Roman" w:eastAsia="Arial Unicode MS" w:hAnsi="Times New Roman" w:cs="Times New Roman"/>
          <w:spacing w:val="-2"/>
          <w:sz w:val="24"/>
          <w:szCs w:val="24"/>
          <w:lang w:val="es-ES"/>
        </w:rPr>
        <w:t>y</w:t>
      </w:r>
      <w:r w:rsidRPr="00031A5F">
        <w:rPr>
          <w:rFonts w:ascii="Times New Roman" w:eastAsia="Arial Unicode MS" w:hAnsi="Times New Roman" w:cs="Times New Roman"/>
          <w:spacing w:val="-2"/>
          <w:sz w:val="24"/>
          <w:szCs w:val="24"/>
          <w:lang w:val="es-ES"/>
        </w:rPr>
        <w:t>C,</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por</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ejemplo,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calcula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que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alrededor</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40</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por</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ciento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mejoras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logradas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producción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agropecuaria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son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atribuibles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cambio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tecnológico,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muy</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similar</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que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observa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mundo,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donde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considera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que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últimos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50</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años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más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40%</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tasa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incremento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producción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alimentos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ha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debido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uso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fertilizantes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nitrogenados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w:t>
      </w:r>
      <w:r w:rsidRPr="00031A5F">
        <w:rPr>
          <w:rFonts w:ascii="Times New Roman" w:hAnsi="Times New Roman" w:cs="Times New Roman"/>
          <w:sz w:val="24"/>
          <w:szCs w:val="24"/>
        </w:rPr>
        <w:t>OECD,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2011)</w:t>
      </w:r>
      <w:r w:rsidRPr="00031A5F">
        <w:rPr>
          <w:rFonts w:ascii="Times New Roman" w:eastAsia="Arial Unicode MS" w:hAnsi="Times New Roman" w:cs="Times New Roman"/>
          <w:spacing w:val="-2"/>
          <w:sz w:val="24"/>
          <w:szCs w:val="24"/>
          <w:lang w:val="es-ES"/>
        </w:rPr>
        <w:t>.</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atendimiento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este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problema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ayudará</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cumplimiento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ODS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2,</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3,</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8</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y</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13</w:t>
      </w:r>
      <w:r w:rsidR="00D136BB">
        <w:rPr>
          <w:rFonts w:ascii="Times New Roman" w:eastAsia="Arial Unicode MS" w:hAnsi="Times New Roman" w:cs="Times New Roman"/>
          <w:spacing w:val="-2"/>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r w:rsidRPr="00031A5F">
        <w:rPr>
          <w:rFonts w:ascii="Times New Roman" w:eastAsia="Arial Unicode MS" w:hAnsi="Times New Roman" w:cs="Times New Roman"/>
          <w:spacing w:val="-2"/>
          <w:sz w:val="24"/>
          <w:szCs w:val="24"/>
          <w:lang w:val="es-ES"/>
        </w:rPr>
        <w:t>.</w:t>
      </w:r>
    </w:p>
    <w:p w14:paraId="32DB7CF6" w14:textId="1251F231"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cuanto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nutriente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nitrógeno,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impactante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destacar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suceso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tecnología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Fijación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biológica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aire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(FBN)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microorganismos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simbiosis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asociados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especialmente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leguminosas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soya.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técnica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FBN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responde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62%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demanda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422B5D">
        <w:rPr>
          <w:rFonts w:ascii="Times New Roman" w:hAnsi="Times New Roman" w:cs="Times New Roman"/>
          <w:sz w:val="24"/>
          <w:szCs w:val="24"/>
          <w:lang w:val="es-ES"/>
        </w:rPr>
        <w:t>y</w:t>
      </w:r>
      <w:r w:rsidRPr="00031A5F">
        <w:rPr>
          <w:rFonts w:ascii="Times New Roman" w:hAnsi="Times New Roman" w:cs="Times New Roman"/>
          <w:sz w:val="24"/>
          <w:szCs w:val="24"/>
          <w:lang w:val="es-ES"/>
        </w:rPr>
        <w:t>C.</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Sólo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soya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ocupa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60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64Mt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proteína,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además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aceite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consumo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humano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bioenergía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(Guareschi,</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2019).</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Contribuye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(Energía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accesible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limpia)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(Combate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alteraciones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2955BB57" w14:textId="77777777"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p>
    <w:p w14:paraId="5900C781" w14:textId="40E99C9D"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mencionado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anteriormente,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lang w:val="es-ES"/>
        </w:rPr>
        <w:t>AL</w:t>
      </w:r>
      <w:r w:rsidR="00422B5D">
        <w:rPr>
          <w:rFonts w:ascii="Times New Roman" w:hAnsi="Times New Roman" w:cs="Times New Roman"/>
          <w:sz w:val="24"/>
          <w:szCs w:val="24"/>
          <w:lang w:val="es-ES"/>
        </w:rPr>
        <w:t>y</w:t>
      </w:r>
      <w:r w:rsidRPr="00031A5F">
        <w:rPr>
          <w:rFonts w:ascii="Times New Roman" w:hAnsi="Times New Roman" w:cs="Times New Roman"/>
          <w:sz w:val="24"/>
          <w:szCs w:val="24"/>
          <w:lang w:val="es-ES"/>
        </w:rPr>
        <w:t>C</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9%</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población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responden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14%</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exportaciones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básicos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pesqueros.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Así,</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presenta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índices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cápita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cereales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(1.9</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kg/hab/d</w:t>
      </w:r>
      <w:r w:rsidR="00014218">
        <w:rPr>
          <w:rFonts w:ascii="Times New Roman" w:hAnsi="Times New Roman" w:cs="Times New Roman"/>
          <w:sz w:val="24"/>
          <w:szCs w:val="24"/>
          <w:lang w:val="es-ES"/>
        </w:rPr>
        <w:t>í</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embargo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6,5%</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población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(42Mhab.)</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presentan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subnutrición,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principalmente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pobreza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extrema,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recursos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obtener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(OCDE-FAO,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2019).</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Aparte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Argentina,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Brasil,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México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Uruguay,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mayoría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lastRenderedPageBreak/>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dependen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principalmente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actividad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agropecuaria.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desafío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ayudaría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alcanzar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(Energía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accesible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limpia)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(Combate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alteraciones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0DF283F9" w14:textId="2B79213A" w:rsidR="00436D72" w:rsidRPr="00031A5F" w:rsidRDefault="00436D72" w:rsidP="00436D72">
      <w:pPr>
        <w:jc w:val="both"/>
        <w:rPr>
          <w:rFonts w:ascii="Times New Roman" w:eastAsia="Arial Unicode MS" w:hAnsi="Times New Roman" w:cs="Times New Roman"/>
          <w:spacing w:val="-2"/>
          <w:sz w:val="24"/>
          <w:szCs w:val="24"/>
          <w:lang w:val="es-ES"/>
        </w:rPr>
      </w:pPr>
      <w:r w:rsidRPr="00031A5F">
        <w:rPr>
          <w:rFonts w:ascii="Times New Roman" w:eastAsia="Arial Unicode MS" w:hAnsi="Times New Roman" w:cs="Times New Roman"/>
          <w:spacing w:val="-2"/>
          <w:sz w:val="24"/>
          <w:szCs w:val="24"/>
          <w:lang w:val="es-ES"/>
        </w:rPr>
        <w:t>Se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debe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destacar</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que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agricultura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regional,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tanto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desarrollada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basada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uso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intensivo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agroquímicos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(Fertilizantes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y</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pesticidas,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etc)</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y</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menos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desarrollada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extractiva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llamada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también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“subsistencia”,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que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está</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basada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principalmente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explotación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pobreza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suelo,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vienen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causando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un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costo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ambiental,</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destacándose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degradación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tierras,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biodiversidad</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y</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recursos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naturales.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Alto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riesgo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de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no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atender</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los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ODS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12</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(Consumo</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y</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producción</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responsables),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13</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(Combate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alteraciones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climáticas),</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15</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(Vida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sobre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tierra)</w:t>
      </w:r>
      <w:r w:rsidR="00D136BB">
        <w:rPr>
          <w:rFonts w:ascii="Times New Roman" w:eastAsia="Arial Unicode MS" w:hAnsi="Times New Roman" w:cs="Times New Roman"/>
          <w:spacing w:val="-2"/>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r w:rsidRPr="00031A5F">
        <w:rPr>
          <w:rFonts w:ascii="Times New Roman" w:eastAsia="Arial Unicode MS" w:hAnsi="Times New Roman" w:cs="Times New Roman"/>
          <w:spacing w:val="-2"/>
          <w:sz w:val="24"/>
          <w:szCs w:val="24"/>
          <w:lang w:val="es-ES"/>
        </w:rPr>
        <w:t>.</w:t>
      </w:r>
      <w:r w:rsidR="00D136BB">
        <w:rPr>
          <w:rFonts w:ascii="Times New Roman" w:eastAsia="Arial Unicode MS" w:hAnsi="Times New Roman" w:cs="Times New Roman"/>
          <w:spacing w:val="-2"/>
          <w:sz w:val="24"/>
          <w:szCs w:val="24"/>
          <w:lang w:val="es-ES"/>
        </w:rPr>
        <w:t xml:space="preserve"> </w:t>
      </w:r>
    </w:p>
    <w:p w14:paraId="2BBD8E59" w14:textId="08C41AAB"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otro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destacar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potencial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consume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alrededor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172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pescado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(captura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derivados.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consumo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cápita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20.6kg/hab/año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alcanzar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21.5</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kg/ha/año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2030.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422B5D">
        <w:rPr>
          <w:rFonts w:ascii="Times New Roman" w:hAnsi="Times New Roman" w:cs="Times New Roman"/>
          <w:sz w:val="24"/>
          <w:szCs w:val="24"/>
          <w:lang w:val="es-ES"/>
        </w:rPr>
        <w:t>y</w:t>
      </w:r>
      <w:r w:rsidRPr="00031A5F">
        <w:rPr>
          <w:rFonts w:ascii="Times New Roman" w:hAnsi="Times New Roman" w:cs="Times New Roman"/>
          <w:sz w:val="24"/>
          <w:szCs w:val="24"/>
          <w:lang w:val="es-ES"/>
        </w:rPr>
        <w:t>C</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presenta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consumo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cápita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10kg/hab/año.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2030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(pesca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24.2%,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pasando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12.9Mt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16</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mayor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dará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49%,</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mayor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destaque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Brasil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Chile,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siendo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carpa,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tilapia,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salmón,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camarones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ostras.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Así</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continuará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siendo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segunda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mayor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después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Asia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(OCDE-FAO,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2019;</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2018b).</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Contribuye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220AAA3A" w14:textId="73A906A9" w:rsidR="00436D72" w:rsidRPr="00031A5F" w:rsidRDefault="00394F96" w:rsidP="00436D72">
      <w:pPr>
        <w:jc w:val="both"/>
        <w:rPr>
          <w:rFonts w:ascii="Times New Roman" w:hAnsi="Times New Roman" w:cs="Times New Roman"/>
          <w:b/>
          <w:sz w:val="24"/>
          <w:szCs w:val="24"/>
          <w:lang w:val="es-ES"/>
        </w:rPr>
      </w:pPr>
      <w:r w:rsidRPr="00031A5F">
        <w:rPr>
          <w:rFonts w:ascii="Times New Roman" w:hAnsi="Times New Roman" w:cs="Times New Roman"/>
          <w:b/>
          <w:sz w:val="24"/>
          <w:szCs w:val="24"/>
          <w:lang w:val="es-ES"/>
        </w:rPr>
        <w:t>I.1</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Dificultades</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que</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necesitan</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ser</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superadas</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para</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contribuir</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significativamente</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para</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la</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seguridad</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alimentaria</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de</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la</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región</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y</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del</w:t>
      </w:r>
      <w:r w:rsidR="00D136BB">
        <w:rPr>
          <w:rFonts w:ascii="Times New Roman" w:hAnsi="Times New Roman" w:cs="Times New Roman"/>
          <w:b/>
          <w:sz w:val="24"/>
          <w:szCs w:val="24"/>
          <w:lang w:val="es-ES"/>
        </w:rPr>
        <w:t xml:space="preserve"> </w:t>
      </w:r>
      <w:r w:rsidR="00436D72" w:rsidRPr="00031A5F">
        <w:rPr>
          <w:rFonts w:ascii="Times New Roman" w:hAnsi="Times New Roman" w:cs="Times New Roman"/>
          <w:b/>
          <w:sz w:val="24"/>
          <w:szCs w:val="24"/>
          <w:lang w:val="es-ES"/>
        </w:rPr>
        <w:t>mundo.</w:t>
      </w:r>
    </w:p>
    <w:p w14:paraId="0E3127E6" w14:textId="125E279C" w:rsidR="00436D72" w:rsidRPr="00031A5F" w:rsidRDefault="00436D72" w:rsidP="00436D72">
      <w:p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considerar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haber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posicionado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actividad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agropecuaria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proveedor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neto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sector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estratégico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traído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también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contrapartida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consecuencias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negativas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progresiva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degradación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tierras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arables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erosión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intensivo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prácticas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manejo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inadecuadas,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inadecuado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fertilización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irrigación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(riesgo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pérdidas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tierras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w:t>
      </w:r>
      <w:r w:rsidR="00014218">
        <w:rPr>
          <w:rFonts w:ascii="Times New Roman" w:hAnsi="Times New Roman" w:cs="Times New Roman"/>
          <w:sz w:val="24"/>
          <w:szCs w:val="24"/>
          <w:lang w:val="es-ES"/>
        </w:rPr>
        <w:t>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salinidad</w:t>
      </w:r>
      <w:r w:rsidR="00654AF8">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descuido</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drenaje</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incesante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superficie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boscosa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natural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ampliar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superficie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pasturas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industriales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exportación.</w:t>
      </w:r>
      <w:r w:rsidR="00D136BB">
        <w:rPr>
          <w:rFonts w:ascii="Times New Roman" w:hAnsi="Times New Roman" w:cs="Times New Roman"/>
          <w:sz w:val="24"/>
          <w:szCs w:val="24"/>
          <w:lang w:val="es-ES"/>
        </w:rPr>
        <w:t xml:space="preserve"> </w:t>
      </w:r>
    </w:p>
    <w:p w14:paraId="0ED45835" w14:textId="1B204B50" w:rsidR="00436D72" w:rsidRPr="00031A5F" w:rsidRDefault="00436D72" w:rsidP="00436D72">
      <w:p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intensificación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también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viene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contribuyendo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deterioro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medio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ambiente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reflejado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pérdida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biodiversidad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sustitución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nativas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valor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comercial,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frecuente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contaminación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agroquímicos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utilizados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control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tratamiento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pos</w:t>
      </w:r>
      <w:r w:rsidR="009F161E">
        <w:rPr>
          <w:rFonts w:ascii="Times New Roman" w:hAnsi="Times New Roman" w:cs="Times New Roman"/>
          <w:sz w:val="24"/>
          <w:szCs w:val="24"/>
          <w:lang w:val="es-ES"/>
        </w:rPr>
        <w:t>-</w:t>
      </w:r>
      <w:r w:rsidRPr="00031A5F">
        <w:rPr>
          <w:rFonts w:ascii="Times New Roman" w:hAnsi="Times New Roman" w:cs="Times New Roman"/>
          <w:sz w:val="24"/>
          <w:szCs w:val="24"/>
          <w:lang w:val="es-ES"/>
        </w:rPr>
        <w:t>cosecha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destacar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también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pérdidas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durante</w:t>
      </w:r>
      <w:r w:rsidR="00D136BB">
        <w:rPr>
          <w:rFonts w:ascii="Times New Roman" w:hAnsi="Times New Roman" w:cs="Times New Roman"/>
          <w:sz w:val="24"/>
          <w:szCs w:val="24"/>
          <w:lang w:val="es-ES"/>
        </w:rPr>
        <w:t xml:space="preserve"> </w:t>
      </w:r>
      <w:r w:rsidR="009F161E">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pos-cosecha.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Éste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último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problemas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transporte,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inadecuada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conservación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almacenaje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micotoxinas,</w:t>
      </w:r>
      <w:r w:rsidR="00D136BB">
        <w:rPr>
          <w:rFonts w:ascii="Times New Roman" w:hAnsi="Times New Roman" w:cs="Times New Roman"/>
          <w:sz w:val="24"/>
          <w:szCs w:val="24"/>
          <w:lang w:val="es-ES"/>
        </w:rPr>
        <w:t xml:space="preserve"> </w:t>
      </w:r>
      <w:r w:rsidR="009F161E">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009F161E">
        <w:rPr>
          <w:rFonts w:ascii="Times New Roman" w:hAnsi="Times New Roman" w:cs="Times New Roman"/>
          <w:sz w:val="24"/>
          <w:szCs w:val="24"/>
          <w:lang w:val="es-ES"/>
        </w:rPr>
        <w:t>ejemplo</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desafío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ayudaría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alcanzar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(Energía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accesible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limpia)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(Combate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alteraciones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03489ED5" w14:textId="5A85840F"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tecnológico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todavía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insuficiente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exitosamente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demanda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mercados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internos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apertura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comercial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internacional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explotar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oportunidades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misma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brinda,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asumiendo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paradigma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lastRenderedPageBreak/>
        <w:t>cimentado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exportación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agropecuarios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efectos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colaterales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daño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destacan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manejo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sustentables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Siembra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directa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(labranza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Integración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Pecuaria,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rota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periodos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cereales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periodos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pasturas,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actualmente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encuentran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bien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difundidos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Argentina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Paraguay,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expansión/adaptación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otras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subregiones.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destacar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integración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agricultura-pecuaria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ofrece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mejores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perspectivas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recuperar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pasturas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degradadas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(+300Mha),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mitigación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emisión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gases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efecto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invernadero,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disminuyendo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tasa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emisión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metano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(carne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leche)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aumento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secuestro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suelo.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desafío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ayudará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alcanzar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(Empleo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digno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(Combate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alteraciones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1401FFFD" w14:textId="77777777"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p>
    <w:p w14:paraId="2BC63FA4" w14:textId="4A2DAFAC"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subregiones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América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Caribe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existe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inadecuado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control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destacan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moscas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fruta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hortalizas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pérdidas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40%.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cuanto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afectan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pecuaria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gusano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barrenador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nuevo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w:t>
      </w:r>
      <w:r w:rsidRPr="00031A5F">
        <w:rPr>
          <w:rFonts w:ascii="Times New Roman" w:hAnsi="Times New Roman" w:cs="Times New Roman"/>
          <w:i/>
          <w:sz w:val="24"/>
          <w:szCs w:val="24"/>
          <w:lang w:val="es-ES"/>
        </w:rPr>
        <w:t>Cochliomyia</w:t>
      </w:r>
      <w:r w:rsidR="00D136BB">
        <w:rPr>
          <w:rFonts w:ascii="Times New Roman" w:hAnsi="Times New Roman" w:cs="Times New Roman"/>
          <w:i/>
          <w:sz w:val="24"/>
          <w:szCs w:val="24"/>
          <w:lang w:val="es-ES"/>
        </w:rPr>
        <w:t xml:space="preserve"> </w:t>
      </w:r>
      <w:r w:rsidRPr="00031A5F">
        <w:rPr>
          <w:rFonts w:ascii="Times New Roman" w:hAnsi="Times New Roman" w:cs="Times New Roman"/>
          <w:i/>
          <w:sz w:val="24"/>
          <w:szCs w:val="24"/>
          <w:lang w:val="es-ES"/>
        </w:rPr>
        <w:t>hominivorax</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etc),</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reducen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calidad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carne,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leche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Riesgo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desafío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(Empleo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digno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r w:rsidR="00D136BB">
        <w:rPr>
          <w:rFonts w:ascii="Times New Roman" w:hAnsi="Times New Roman" w:cs="Times New Roman"/>
          <w:sz w:val="24"/>
          <w:szCs w:val="24"/>
          <w:lang w:val="es-ES"/>
        </w:rPr>
        <w:t xml:space="preserve"> </w:t>
      </w:r>
    </w:p>
    <w:p w14:paraId="6F843FEE" w14:textId="77777777"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p>
    <w:p w14:paraId="3F9586FF" w14:textId="47DED53B"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surgiendo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nueva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Pr="00031A5F">
        <w:rPr>
          <w:rFonts w:ascii="Times New Roman" w:hAnsi="Times New Roman" w:cs="Times New Roman"/>
          <w:i/>
          <w:sz w:val="24"/>
          <w:szCs w:val="24"/>
        </w:rPr>
        <w:t>Lobesia</w:t>
      </w:r>
      <w:r w:rsidR="00D136BB">
        <w:rPr>
          <w:rFonts w:ascii="Times New Roman" w:hAnsi="Times New Roman" w:cs="Times New Roman"/>
          <w:i/>
          <w:sz w:val="24"/>
          <w:szCs w:val="24"/>
        </w:rPr>
        <w:t xml:space="preserve"> </w:t>
      </w:r>
      <w:r w:rsidRPr="00031A5F">
        <w:rPr>
          <w:rFonts w:ascii="Times New Roman" w:hAnsi="Times New Roman" w:cs="Times New Roman"/>
          <w:i/>
          <w:sz w:val="24"/>
          <w:szCs w:val="24"/>
        </w:rPr>
        <w:t>botrana</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ataca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frutos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detectada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recientemente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Chile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Argentina,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expandirse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Uruguay,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Paraguay,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Bolivia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Perú,</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afectando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comercio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fruta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industria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vitivinícola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Sudamérica.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desafío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(Empleo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digno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r w:rsidR="00D136BB">
        <w:rPr>
          <w:rFonts w:ascii="Times New Roman" w:hAnsi="Times New Roman" w:cs="Times New Roman"/>
          <w:sz w:val="24"/>
          <w:szCs w:val="24"/>
          <w:lang w:val="es-ES"/>
        </w:rPr>
        <w:t xml:space="preserve"> </w:t>
      </w:r>
    </w:p>
    <w:p w14:paraId="6668B016" w14:textId="77777777" w:rsidR="00436D72" w:rsidRPr="00031A5F" w:rsidRDefault="00436D72" w:rsidP="00436D72">
      <w:pPr>
        <w:pStyle w:val="ListParagraph"/>
        <w:spacing w:after="200" w:line="276" w:lineRule="auto"/>
        <w:ind w:left="0"/>
        <w:jc w:val="both"/>
        <w:rPr>
          <w:rFonts w:ascii="Times New Roman" w:hAnsi="Times New Roman" w:cs="Times New Roman"/>
          <w:sz w:val="24"/>
          <w:szCs w:val="24"/>
        </w:rPr>
      </w:pPr>
    </w:p>
    <w:p w14:paraId="593838D2" w14:textId="23A752C5"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pecuaria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sufre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riesgo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transfronterizas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(Fiebre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aftosa,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gripe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aviaria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encefalopatía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espongiforme),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favorecido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otros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inmensa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frontera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superior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50,000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km,</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vez</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mayoría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control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mínimo.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alcanzar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394F96"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(Empleo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digno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r w:rsidR="00D136BB">
        <w:rPr>
          <w:rFonts w:ascii="Times New Roman" w:hAnsi="Times New Roman" w:cs="Times New Roman"/>
          <w:sz w:val="24"/>
          <w:szCs w:val="24"/>
          <w:lang w:val="es-ES"/>
        </w:rPr>
        <w:t xml:space="preserve"> </w:t>
      </w:r>
    </w:p>
    <w:p w14:paraId="5CE8C1A7" w14:textId="77777777"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p>
    <w:p w14:paraId="685A1D0D" w14:textId="7EBB1C8E"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agropecuaria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avanza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áreas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marginales,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baja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capacidad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productiva,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suelos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pobres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falta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resistentes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condiciones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estreses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bióticos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abióticos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limitaciones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humedad,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salinidad,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acidez,</w:t>
      </w:r>
      <w:r w:rsidR="00D136BB">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etc.</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acelerados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necesita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permanente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genético.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genético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general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también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preservación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biodiversidad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plantas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animales.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alcanzar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(Empleo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digno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(Combate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alteraciones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64195F73" w14:textId="77777777"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p>
    <w:p w14:paraId="3C6FB5EA" w14:textId="3C965080"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depender</w:t>
      </w:r>
      <w:r w:rsidR="009F161E">
        <w:rPr>
          <w:rFonts w:ascii="Times New Roman" w:hAnsi="Times New Roman" w:cs="Times New Roman"/>
          <w:sz w:val="24"/>
          <w:szCs w:val="24"/>
          <w:lang w:val="es-ES"/>
        </w:rPr>
        <w:t>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estrategias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nutrición,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control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sanitario,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genético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conservación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biodiversidad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natural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(camarones,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ostras,</w:t>
      </w:r>
      <w:r w:rsidR="00D136BB">
        <w:rPr>
          <w:rFonts w:ascii="Times New Roman" w:hAnsi="Times New Roman" w:cs="Times New Roman"/>
          <w:sz w:val="24"/>
          <w:szCs w:val="24"/>
          <w:lang w:val="es-ES"/>
        </w:rPr>
        <w:t xml:space="preserve"> </w:t>
      </w:r>
      <w:r w:rsidR="00394F96" w:rsidRPr="00031A5F">
        <w:rPr>
          <w:rFonts w:ascii="Times New Roman" w:hAnsi="Times New Roman" w:cs="Times New Roman"/>
          <w:sz w:val="24"/>
          <w:szCs w:val="24"/>
          <w:lang w:val="es-ES"/>
        </w:rPr>
        <w:t>etc.</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(Empleo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digno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24A2A481" w14:textId="77777777" w:rsidR="00436D72" w:rsidRPr="00031A5F" w:rsidRDefault="00436D72" w:rsidP="00436D72">
      <w:pPr>
        <w:pStyle w:val="ListParagraph"/>
        <w:spacing w:after="200" w:line="276" w:lineRule="auto"/>
        <w:ind w:left="0"/>
        <w:jc w:val="both"/>
        <w:rPr>
          <w:rFonts w:ascii="Times New Roman" w:hAnsi="Times New Roman" w:cs="Times New Roman"/>
          <w:sz w:val="24"/>
          <w:szCs w:val="24"/>
          <w:lang w:val="es-ES"/>
        </w:rPr>
      </w:pPr>
    </w:p>
    <w:p w14:paraId="0E8DC22E" w14:textId="325D8AE5" w:rsidR="00436D72" w:rsidRPr="00031A5F" w:rsidRDefault="00436D72" w:rsidP="00394F96">
      <w:pPr>
        <w:pStyle w:val="ListParagraph"/>
        <w:spacing w:after="200" w:line="276" w:lineRule="auto"/>
        <w:ind w:left="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relación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calidad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intensificación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pecuaria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industrialización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asociado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agroquímicos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(fertilizantes,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pesticidas,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hormonas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conservantes),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cuyos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residuos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pueden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superar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límites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internacionales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permisibles,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fuerte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riesgo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rechazos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pérdidas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6F5F25F7" w14:textId="08732AD6" w:rsidR="00436D72" w:rsidRPr="00031A5F" w:rsidRDefault="00436D72" w:rsidP="00436D72">
      <w:pPr>
        <w:jc w:val="both"/>
        <w:rPr>
          <w:rFonts w:ascii="Times New Roman" w:hAnsi="Times New Roman" w:cs="Times New Roman"/>
          <w:sz w:val="24"/>
          <w:szCs w:val="24"/>
          <w:lang w:val="es-ES"/>
        </w:rPr>
      </w:pP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vacío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tecnológicos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existente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tecnología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nuclear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puede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coadyuvar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presenta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temas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prácticas</w:t>
      </w:r>
      <w:r w:rsidR="00D136BB">
        <w:rPr>
          <w:rFonts w:ascii="Times New Roman" w:hAnsi="Times New Roman" w:cs="Times New Roman"/>
          <w:sz w:val="24"/>
          <w:szCs w:val="24"/>
          <w:lang w:val="es-ES"/>
        </w:rPr>
        <w:t xml:space="preserve"> </w:t>
      </w:r>
      <w:r w:rsidR="009F161E">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009F161E">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manejo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w:t>
      </w:r>
      <w:r w:rsidR="009F161E">
        <w:rPr>
          <w:rFonts w:ascii="Times New Roman" w:hAnsi="Times New Roman" w:cs="Times New Roman"/>
          <w:sz w:val="24"/>
          <w:szCs w:val="24"/>
          <w:lang w:val="es-ES"/>
        </w:rPr>
        <w: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recurso</w:t>
      </w:r>
      <w:r w:rsidR="009F161E">
        <w:rPr>
          <w:rFonts w:ascii="Times New Roman" w:hAnsi="Times New Roman" w:cs="Times New Roman"/>
          <w:sz w:val="24"/>
          <w:szCs w:val="24"/>
          <w:lang w:val="es-ES"/>
        </w:rPr>
        <w:t>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suelo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agua;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genético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pecuarias,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tradicionales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tradicionales;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prevención,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supresión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erradicación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pecuarias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transfronterizas;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manejo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limitantes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sanitarias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genéticas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pecuarias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organismos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acuáticos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cautivos;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oportuno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animales,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monitoreo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presencia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substancias</w:t>
      </w:r>
      <w:r w:rsidR="00D136BB">
        <w:rPr>
          <w:rFonts w:ascii="Times New Roman" w:hAnsi="Times New Roman" w:cs="Times New Roman"/>
          <w:sz w:val="24"/>
          <w:szCs w:val="24"/>
        </w:rPr>
        <w:t xml:space="preserve"> </w:t>
      </w:r>
      <w:r w:rsidR="009F161E" w:rsidRPr="00031A5F">
        <w:rPr>
          <w:rFonts w:ascii="Times New Roman" w:hAnsi="Times New Roman" w:cs="Times New Roman"/>
          <w:sz w:val="24"/>
          <w:szCs w:val="24"/>
        </w:rPr>
        <w:t>tó</w:t>
      </w:r>
      <w:r w:rsidR="009F161E">
        <w:rPr>
          <w:rFonts w:ascii="Times New Roman" w:hAnsi="Times New Roman" w:cs="Times New Roman"/>
          <w:sz w:val="24"/>
          <w:szCs w:val="24"/>
        </w:rPr>
        <w:t>x</w:t>
      </w:r>
      <w:r w:rsidR="009F161E" w:rsidRPr="00031A5F">
        <w:rPr>
          <w:rFonts w:ascii="Times New Roman" w:hAnsi="Times New Roman" w:cs="Times New Roman"/>
          <w:sz w:val="24"/>
          <w:szCs w:val="24"/>
        </w:rPr>
        <w:t>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prevención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residuos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riesgo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humana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fortalecimiento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capacidad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soporte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analíticos,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verá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adelante.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Todas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orientadas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alcanzar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30406AF8" w14:textId="0797DFC8" w:rsidR="00436D72" w:rsidRPr="00031A5F" w:rsidRDefault="00436D72" w:rsidP="00436D72">
      <w:pPr>
        <w:jc w:val="both"/>
        <w:rPr>
          <w:rFonts w:ascii="Times New Roman" w:hAnsi="Times New Roman" w:cs="Times New Roman"/>
          <w:b/>
          <w:sz w:val="24"/>
          <w:szCs w:val="24"/>
          <w:lang w:val="es-ES"/>
        </w:rPr>
      </w:pPr>
      <w:r w:rsidRPr="00031A5F">
        <w:rPr>
          <w:rFonts w:ascii="Times New Roman" w:hAnsi="Times New Roman" w:cs="Times New Roman"/>
          <w:b/>
          <w:sz w:val="24"/>
          <w:szCs w:val="24"/>
          <w:lang w:val="es-ES"/>
        </w:rPr>
        <w:t>I</w:t>
      </w:r>
      <w:r w:rsidR="004B752B" w:rsidRPr="00031A5F">
        <w:rPr>
          <w:rFonts w:ascii="Times New Roman" w:hAnsi="Times New Roman" w:cs="Times New Roman"/>
          <w:b/>
          <w:sz w:val="24"/>
          <w:szCs w:val="24"/>
          <w:lang w:val="es-ES"/>
        </w:rPr>
        <w:t>.</w:t>
      </w:r>
      <w:r w:rsidRPr="00031A5F">
        <w:rPr>
          <w:rFonts w:ascii="Times New Roman" w:hAnsi="Times New Roman" w:cs="Times New Roman"/>
          <w:b/>
          <w:sz w:val="24"/>
          <w:szCs w:val="24"/>
          <w:lang w:val="es-ES"/>
        </w:rPr>
        <w:t>2.</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Contribución</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para</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los</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Objetivos</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de</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Desarrollo</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Sostenible</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de</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las</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Naciones</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Unidas.</w:t>
      </w:r>
      <w:r w:rsidR="00D136BB">
        <w:rPr>
          <w:rFonts w:ascii="Times New Roman" w:hAnsi="Times New Roman" w:cs="Times New Roman"/>
          <w:b/>
          <w:sz w:val="24"/>
          <w:szCs w:val="24"/>
          <w:lang w:val="es-ES"/>
        </w:rPr>
        <w:t xml:space="preserve"> </w:t>
      </w:r>
    </w:p>
    <w:p w14:paraId="325477D9" w14:textId="0127B8D0" w:rsidR="00436D72" w:rsidRPr="00031A5F" w:rsidRDefault="00436D72" w:rsidP="00436D72">
      <w:p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situación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temática</w:t>
      </w:r>
      <w:r w:rsidR="00D136BB">
        <w:rPr>
          <w:rFonts w:ascii="Times New Roman" w:hAnsi="Times New Roman" w:cs="Times New Roman"/>
          <w:sz w:val="24"/>
          <w:szCs w:val="24"/>
        </w:rPr>
        <w:t xml:space="preserve"> </w:t>
      </w:r>
      <w:r w:rsidR="00C41191">
        <w:rPr>
          <w:rFonts w:ascii="Times New Roman" w:hAnsi="Times New Roman" w:cs="Times New Roman"/>
          <w:sz w:val="24"/>
          <w:szCs w:val="24"/>
        </w:rPr>
        <w:t>Alimentación y Agricultura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permitió</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identificar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principales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lang w:val="es-ES"/>
        </w:rPr>
        <w:t>dificultades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necesitan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superadas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significativamente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seguridad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Todos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desafíos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contribuirán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atender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principalmente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ODS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(Hambre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(Buena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salud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bienestar),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(Energía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accesible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limpia),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(Empleo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digno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13</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(Combate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alteraciones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eastAsia="Arial Unicode MS" w:hAnsi="Times New Roman" w:cs="Times New Roman"/>
          <w:spacing w:val="-2"/>
          <w:sz w:val="24"/>
          <w:szCs w:val="24"/>
          <w:lang w:val="es-ES"/>
        </w:rPr>
        <w:t>15</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(Vida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sobre</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la</w:t>
      </w:r>
      <w:r w:rsidR="00D136BB">
        <w:rPr>
          <w:rFonts w:ascii="Times New Roman" w:eastAsia="Arial Unicode MS" w:hAnsi="Times New Roman" w:cs="Times New Roman"/>
          <w:spacing w:val="-2"/>
          <w:sz w:val="24"/>
          <w:szCs w:val="24"/>
          <w:lang w:val="es-ES"/>
        </w:rPr>
        <w:t xml:space="preserve"> </w:t>
      </w:r>
      <w:r w:rsidRPr="00031A5F">
        <w:rPr>
          <w:rFonts w:ascii="Times New Roman" w:eastAsia="Arial Unicode MS" w:hAnsi="Times New Roman" w:cs="Times New Roman"/>
          <w:spacing w:val="-2"/>
          <w:sz w:val="24"/>
          <w:szCs w:val="24"/>
          <w:lang w:val="es-ES"/>
        </w:rPr>
        <w:t>tierra)</w:t>
      </w:r>
      <w:r w:rsidR="00D136BB">
        <w:rPr>
          <w:rFonts w:ascii="Times New Roman" w:eastAsia="Arial Unicode MS" w:hAnsi="Times New Roman" w:cs="Times New Roman"/>
          <w:spacing w:val="-2"/>
          <w:sz w:val="24"/>
          <w:szCs w:val="24"/>
          <w:lang w:val="es-ES"/>
        </w:rPr>
        <w:t xml:space="preserve"> </w:t>
      </w:r>
      <w:r w:rsidRPr="00031A5F">
        <w:rPr>
          <w:rFonts w:ascii="Times New Roman" w:hAnsi="Times New Roman" w:cs="Times New Roman"/>
          <w:sz w:val="24"/>
          <w:szCs w:val="24"/>
          <w:lang w:val="es-ES"/>
        </w:rPr>
        <w:t>(Naciones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6D868BCF" w14:textId="77777777" w:rsidR="00436D72" w:rsidRPr="00031A5F" w:rsidRDefault="00436D72" w:rsidP="00436D72">
      <w:pPr>
        <w:jc w:val="both"/>
        <w:rPr>
          <w:rFonts w:ascii="Times New Roman" w:hAnsi="Times New Roman" w:cs="Times New Roman"/>
          <w:sz w:val="24"/>
          <w:szCs w:val="24"/>
          <w:lang w:val="es-ES"/>
        </w:rPr>
      </w:pPr>
    </w:p>
    <w:p w14:paraId="5DAE6514" w14:textId="014274EB" w:rsidR="00436D72" w:rsidRPr="00031A5F" w:rsidRDefault="00436D72" w:rsidP="00436D72">
      <w:pPr>
        <w:jc w:val="both"/>
        <w:rPr>
          <w:rFonts w:ascii="Times New Roman" w:hAnsi="Times New Roman" w:cs="Times New Roman"/>
          <w:b/>
          <w:sz w:val="24"/>
          <w:szCs w:val="24"/>
          <w:lang w:val="es-ES"/>
        </w:rPr>
      </w:pPr>
      <w:r w:rsidRPr="00031A5F">
        <w:rPr>
          <w:rFonts w:ascii="Times New Roman" w:hAnsi="Times New Roman" w:cs="Times New Roman"/>
          <w:b/>
          <w:sz w:val="24"/>
          <w:szCs w:val="24"/>
          <w:lang w:val="es-ES"/>
        </w:rPr>
        <w:t>II.</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Análisis</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DAFO.</w:t>
      </w:r>
    </w:p>
    <w:p w14:paraId="0668AB3A" w14:textId="3075F444" w:rsidR="00436D72" w:rsidRPr="00031A5F" w:rsidRDefault="00436D72" w:rsidP="00436D72">
      <w:pPr>
        <w:jc w:val="both"/>
        <w:rPr>
          <w:rFonts w:ascii="Times New Roman" w:hAnsi="Times New Roman" w:cs="Times New Roman"/>
          <w:b/>
          <w:sz w:val="24"/>
          <w:szCs w:val="24"/>
          <w:lang w:val="es-ES"/>
        </w:rPr>
      </w:pPr>
      <w:r w:rsidRPr="00031A5F">
        <w:rPr>
          <w:rFonts w:ascii="Times New Roman" w:hAnsi="Times New Roman" w:cs="Times New Roman"/>
          <w:b/>
          <w:sz w:val="24"/>
          <w:szCs w:val="24"/>
          <w:lang w:val="es-ES"/>
        </w:rPr>
        <w:t>1.</w:t>
      </w:r>
      <w:r w:rsidR="00D136BB">
        <w:rPr>
          <w:rFonts w:ascii="Times New Roman" w:hAnsi="Times New Roman" w:cs="Times New Roman"/>
          <w:b/>
          <w:sz w:val="24"/>
          <w:szCs w:val="24"/>
          <w:lang w:val="es-ES"/>
        </w:rPr>
        <w:t xml:space="preserve"> </w:t>
      </w:r>
      <w:r w:rsidRPr="00031A5F">
        <w:rPr>
          <w:rFonts w:ascii="Times New Roman" w:hAnsi="Times New Roman" w:cs="Times New Roman"/>
          <w:b/>
          <w:sz w:val="24"/>
          <w:szCs w:val="24"/>
          <w:lang w:val="es-ES"/>
        </w:rPr>
        <w:t>Fortalezas.</w:t>
      </w:r>
      <w:r w:rsidRPr="00031A5F">
        <w:rPr>
          <w:rFonts w:ascii="Times New Roman" w:hAnsi="Times New Roman" w:cs="Times New Roman"/>
          <w:b/>
          <w:sz w:val="24"/>
          <w:szCs w:val="24"/>
          <w:lang w:val="es-ES"/>
        </w:rPr>
        <w:tab/>
      </w:r>
    </w:p>
    <w:p w14:paraId="787D8651" w14:textId="607D212E"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Existencia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emprendedores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locales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capaces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adoptar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tecnologías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innovadoras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sector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agropecuario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acuicultura.</w:t>
      </w:r>
    </w:p>
    <w:p w14:paraId="0296BEC0" w14:textId="77777777" w:rsidR="006843D0" w:rsidRPr="00031A5F" w:rsidRDefault="006843D0" w:rsidP="006843D0">
      <w:pPr>
        <w:pStyle w:val="ListParagraph"/>
        <w:ind w:left="360"/>
        <w:jc w:val="both"/>
        <w:rPr>
          <w:rFonts w:ascii="Times New Roman" w:hAnsi="Times New Roman" w:cs="Times New Roman"/>
          <w:sz w:val="24"/>
          <w:szCs w:val="24"/>
          <w:lang w:val="es-ES"/>
        </w:rPr>
      </w:pPr>
    </w:p>
    <w:p w14:paraId="6C207FD3" w14:textId="51CD7038"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edafoclimática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permite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proveedor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b/>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agropecuarios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alimenticia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industrial.</w:t>
      </w:r>
      <w:r w:rsidR="00D136BB">
        <w:rPr>
          <w:rFonts w:ascii="Times New Roman" w:hAnsi="Times New Roman" w:cs="Times New Roman"/>
          <w:sz w:val="24"/>
          <w:szCs w:val="24"/>
          <w:lang w:val="es-ES"/>
        </w:rPr>
        <w:t xml:space="preserve"> </w:t>
      </w:r>
    </w:p>
    <w:p w14:paraId="35D4A4B6" w14:textId="77777777" w:rsidR="006843D0" w:rsidRPr="00031A5F" w:rsidRDefault="006843D0" w:rsidP="006843D0">
      <w:pPr>
        <w:pStyle w:val="ListParagraph"/>
        <w:rPr>
          <w:rFonts w:ascii="Times New Roman" w:hAnsi="Times New Roman" w:cs="Times New Roman"/>
          <w:sz w:val="24"/>
          <w:szCs w:val="24"/>
          <w:lang w:val="es-ES"/>
        </w:rPr>
      </w:pPr>
    </w:p>
    <w:p w14:paraId="39BFA99E" w14:textId="2668A84B"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lastRenderedPageBreak/>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responsable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porcentaje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significativo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comercio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pecuarios,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soya,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azúcar,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café,</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frutas,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carne,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pescados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lácteos.</w:t>
      </w:r>
      <w:r w:rsidR="00D136BB">
        <w:rPr>
          <w:rFonts w:ascii="Times New Roman" w:hAnsi="Times New Roman" w:cs="Times New Roman"/>
          <w:sz w:val="24"/>
          <w:szCs w:val="24"/>
          <w:lang w:val="es-ES"/>
        </w:rPr>
        <w:t xml:space="preserve"> </w:t>
      </w:r>
    </w:p>
    <w:p w14:paraId="08DAE187" w14:textId="77777777" w:rsidR="006843D0" w:rsidRPr="00031A5F" w:rsidRDefault="006843D0" w:rsidP="006843D0">
      <w:pPr>
        <w:pStyle w:val="ListParagraph"/>
        <w:rPr>
          <w:rFonts w:ascii="Times New Roman" w:hAnsi="Times New Roman" w:cs="Times New Roman"/>
          <w:sz w:val="24"/>
          <w:szCs w:val="24"/>
          <w:lang w:val="es-ES"/>
        </w:rPr>
      </w:pPr>
    </w:p>
    <w:p w14:paraId="500AA453" w14:textId="2BD2D1DA"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posee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disponibilidad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potencial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tierras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inexplotadas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sub</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utilizadas,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extensión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actividad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agropecuaria,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equivalente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4</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veces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actual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área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Así</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mismo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posee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64%</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agua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dulce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potencial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irrigada,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vislumbrado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aumento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significativo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agropecuaria</w:t>
      </w:r>
      <w:r w:rsidR="004B752B" w:rsidRPr="00031A5F">
        <w:rPr>
          <w:rFonts w:ascii="Times New Roman" w:hAnsi="Times New Roman" w:cs="Times New Roman"/>
          <w:sz w:val="24"/>
          <w:szCs w:val="24"/>
          <w:lang w:val="es-ES"/>
        </w:rPr>
        <w:t>.</w:t>
      </w:r>
    </w:p>
    <w:p w14:paraId="434EEB67" w14:textId="77777777" w:rsidR="006843D0" w:rsidRPr="00031A5F" w:rsidRDefault="006843D0" w:rsidP="006843D0">
      <w:pPr>
        <w:pStyle w:val="ListParagraph"/>
        <w:rPr>
          <w:rFonts w:ascii="Times New Roman" w:hAnsi="Times New Roman" w:cs="Times New Roman"/>
          <w:sz w:val="24"/>
          <w:szCs w:val="24"/>
          <w:lang w:val="es-ES"/>
        </w:rPr>
      </w:pPr>
    </w:p>
    <w:p w14:paraId="45A9B3CC" w14:textId="58F17071"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posee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niveles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extremadamente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biodiversidad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posibilidad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ofrecer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comunidad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nuevas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agropecuarios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potencial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valor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nutritivo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medicinal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cereales,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raíces,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tubérculos,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frutas,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camélidos,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mariscos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otros).</w:t>
      </w:r>
      <w:r w:rsidR="00D136BB">
        <w:rPr>
          <w:rFonts w:ascii="Times New Roman" w:hAnsi="Times New Roman" w:cs="Times New Roman"/>
          <w:sz w:val="24"/>
          <w:szCs w:val="24"/>
          <w:lang w:val="es-ES"/>
        </w:rPr>
        <w:t xml:space="preserve"> </w:t>
      </w:r>
    </w:p>
    <w:p w14:paraId="1A6369BC" w14:textId="77777777" w:rsidR="006843D0" w:rsidRPr="00031A5F" w:rsidRDefault="006843D0" w:rsidP="006843D0">
      <w:pPr>
        <w:pStyle w:val="ListParagraph"/>
        <w:rPr>
          <w:rFonts w:ascii="Times New Roman" w:hAnsi="Times New Roman" w:cs="Times New Roman"/>
          <w:sz w:val="24"/>
          <w:szCs w:val="24"/>
          <w:lang w:val="es-ES"/>
        </w:rPr>
      </w:pPr>
    </w:p>
    <w:p w14:paraId="72DC15DA" w14:textId="4FA08C46"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aplicación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técnicas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Pr="00031A5F">
        <w:rPr>
          <w:rFonts w:ascii="Times New Roman" w:hAnsi="Times New Roman" w:cs="Times New Roman"/>
          <w:b/>
          <w:sz w:val="24"/>
          <w:szCs w:val="24"/>
          <w:u w:val="single"/>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fijación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biológica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nitrógeno,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genético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animales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plantas,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siembra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directa,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sistema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integración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agricultura-pecuaria,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control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biológico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sostenible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existencia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instituciones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científicas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tecnológicas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personal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capacitado.</w:t>
      </w:r>
    </w:p>
    <w:p w14:paraId="003F541F" w14:textId="77777777" w:rsidR="006843D0" w:rsidRPr="00031A5F" w:rsidRDefault="006843D0" w:rsidP="006843D0">
      <w:pPr>
        <w:pStyle w:val="ListParagraph"/>
        <w:rPr>
          <w:rFonts w:ascii="Times New Roman" w:hAnsi="Times New Roman" w:cs="Times New Roman"/>
          <w:sz w:val="24"/>
          <w:szCs w:val="24"/>
          <w:lang w:val="es-ES"/>
        </w:rPr>
      </w:pPr>
    </w:p>
    <w:p w14:paraId="188AC98F" w14:textId="1AABADFE"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expansión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sostenible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inmensas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áreas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aumentar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secuestro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suelo,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mitigación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efecto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invernadero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ayuda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w:t>
      </w:r>
      <w:r w:rsidR="00654AF8">
        <w:rPr>
          <w:rFonts w:ascii="Times New Roman" w:hAnsi="Times New Roman" w:cs="Times New Roman"/>
          <w:sz w:val="24"/>
          <w:szCs w:val="24"/>
          <w:lang w:val="es-ES"/>
        </w:rPr>
        <w: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efecto</w:t>
      </w:r>
      <w:r w:rsidR="00654AF8">
        <w:rPr>
          <w:rFonts w:ascii="Times New Roman" w:hAnsi="Times New Roman" w:cs="Times New Roman"/>
          <w:sz w:val="24"/>
          <w:szCs w:val="24"/>
          <w:lang w:val="es-ES"/>
        </w:rPr>
        <w:t>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climático.</w:t>
      </w:r>
    </w:p>
    <w:p w14:paraId="1F633171" w14:textId="77777777" w:rsidR="006843D0" w:rsidRPr="00031A5F" w:rsidRDefault="006843D0" w:rsidP="006843D0">
      <w:pPr>
        <w:pStyle w:val="ListParagraph"/>
        <w:rPr>
          <w:rFonts w:ascii="Times New Roman" w:hAnsi="Times New Roman" w:cs="Times New Roman"/>
          <w:sz w:val="24"/>
          <w:szCs w:val="24"/>
          <w:lang w:val="es-ES"/>
        </w:rPr>
      </w:pPr>
    </w:p>
    <w:p w14:paraId="3B6C90A0" w14:textId="3CC5AA80"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incremento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nacionales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acuerdos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subregionales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prevención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control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transfronterizas,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contribuye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supresión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erradicación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subregional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agrícolas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pecuarias,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destac</w:t>
      </w:r>
      <w:r w:rsidR="009F161E">
        <w:rPr>
          <w:rFonts w:ascii="Times New Roman" w:hAnsi="Times New Roman" w:cs="Times New Roman"/>
          <w:sz w:val="24"/>
          <w:szCs w:val="24"/>
          <w:lang w:val="es-ES"/>
        </w:rPr>
        <w:t>á</w:t>
      </w:r>
      <w:r w:rsidRPr="00031A5F">
        <w:rPr>
          <w:rFonts w:ascii="Times New Roman" w:hAnsi="Times New Roman" w:cs="Times New Roman"/>
          <w:sz w:val="24"/>
          <w:szCs w:val="24"/>
          <w:lang w:val="es-ES"/>
        </w:rPr>
        <w:t>nd</w:t>
      </w:r>
      <w:r w:rsidR="009F161E">
        <w:rPr>
          <w:rFonts w:ascii="Times New Roman" w:hAnsi="Times New Roman" w:cs="Times New Roman"/>
          <w:sz w:val="24"/>
          <w:szCs w:val="24"/>
          <w:lang w:val="es-ES"/>
        </w:rPr>
        <w:t>o</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gusano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barrenador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ganado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(GBG)</w:t>
      </w:r>
    </w:p>
    <w:p w14:paraId="4EF52E9A" w14:textId="77777777" w:rsidR="006843D0" w:rsidRPr="00031A5F" w:rsidRDefault="006843D0" w:rsidP="006843D0">
      <w:pPr>
        <w:pStyle w:val="ListParagraph"/>
        <w:rPr>
          <w:rFonts w:ascii="Times New Roman" w:hAnsi="Times New Roman" w:cs="Times New Roman"/>
          <w:sz w:val="24"/>
          <w:szCs w:val="24"/>
          <w:lang w:val="es-ES"/>
        </w:rPr>
      </w:pPr>
    </w:p>
    <w:p w14:paraId="2F09BA0A" w14:textId="23CDFC40"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Políticas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públicas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promover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seguridad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vienen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implementando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p>
    <w:p w14:paraId="2332E149" w14:textId="77777777" w:rsidR="006843D0" w:rsidRPr="00031A5F" w:rsidRDefault="006843D0" w:rsidP="006843D0">
      <w:pPr>
        <w:pStyle w:val="ListParagraph"/>
        <w:rPr>
          <w:rFonts w:ascii="Times New Roman" w:hAnsi="Times New Roman" w:cs="Times New Roman"/>
          <w:sz w:val="24"/>
          <w:szCs w:val="24"/>
          <w:lang w:val="es-ES"/>
        </w:rPr>
      </w:pPr>
    </w:p>
    <w:p w14:paraId="71F96437" w14:textId="158D6EB4" w:rsidR="006843D0"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Existencia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sistemas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gestión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riesgos: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agroclimáticos,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emergentes,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contaminantes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medioambientales.</w:t>
      </w:r>
    </w:p>
    <w:p w14:paraId="078682C0" w14:textId="77777777" w:rsidR="006843D0" w:rsidRPr="00031A5F" w:rsidRDefault="006843D0" w:rsidP="006843D0">
      <w:pPr>
        <w:pStyle w:val="ListParagraph"/>
        <w:rPr>
          <w:rFonts w:ascii="Times New Roman" w:hAnsi="Times New Roman" w:cs="Times New Roman"/>
          <w:sz w:val="24"/>
          <w:szCs w:val="24"/>
        </w:rPr>
      </w:pPr>
    </w:p>
    <w:p w14:paraId="4E52C176" w14:textId="634D5B83" w:rsidR="00436D72" w:rsidRPr="00031A5F" w:rsidRDefault="00436D72" w:rsidP="00BE3BCB">
      <w:pPr>
        <w:pStyle w:val="ListParagraph"/>
        <w:numPr>
          <w:ilvl w:val="0"/>
          <w:numId w:val="44"/>
        </w:numPr>
        <w:jc w:val="both"/>
        <w:rPr>
          <w:rFonts w:ascii="Times New Roman" w:hAnsi="Times New Roman" w:cs="Times New Roman"/>
          <w:sz w:val="24"/>
          <w:szCs w:val="24"/>
          <w:lang w:val="es-ES"/>
        </w:rPr>
      </w:pP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posee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amplias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hídricos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ríos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lagos)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46%</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acuicultura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2030.</w:t>
      </w:r>
      <w:r w:rsidR="00D136BB">
        <w:rPr>
          <w:rFonts w:ascii="Times New Roman" w:hAnsi="Times New Roman" w:cs="Times New Roman"/>
          <w:sz w:val="24"/>
          <w:szCs w:val="24"/>
        </w:rPr>
        <w:t xml:space="preserve"> </w:t>
      </w:r>
    </w:p>
    <w:p w14:paraId="57D4B12B" w14:textId="77777777" w:rsidR="004B752B" w:rsidRPr="00031A5F" w:rsidRDefault="004B752B" w:rsidP="004B752B">
      <w:pPr>
        <w:pStyle w:val="BodyText"/>
        <w:spacing w:line="276" w:lineRule="auto"/>
        <w:ind w:left="709"/>
        <w:outlineLvl w:val="0"/>
        <w:rPr>
          <w:szCs w:val="24"/>
          <w:lang w:val="es-ES_tradnl"/>
        </w:rPr>
      </w:pPr>
    </w:p>
    <w:p w14:paraId="159DAEA4" w14:textId="42EEDA6C" w:rsidR="00436D72" w:rsidRPr="003D4FB2" w:rsidRDefault="00436D72" w:rsidP="00436D72">
      <w:pPr>
        <w:pStyle w:val="BodyText"/>
        <w:spacing w:line="276" w:lineRule="auto"/>
        <w:outlineLvl w:val="0"/>
        <w:rPr>
          <w:b/>
          <w:bCs/>
          <w:szCs w:val="24"/>
          <w:lang w:val="es-ES_tradnl"/>
        </w:rPr>
      </w:pPr>
      <w:r w:rsidRPr="003D4FB2">
        <w:rPr>
          <w:b/>
          <w:bCs/>
          <w:szCs w:val="24"/>
          <w:lang w:val="es-ES_tradnl"/>
        </w:rPr>
        <w:t>2.</w:t>
      </w:r>
      <w:r w:rsidR="00D136BB">
        <w:rPr>
          <w:b/>
          <w:bCs/>
          <w:szCs w:val="24"/>
          <w:lang w:val="es-ES_tradnl"/>
        </w:rPr>
        <w:t xml:space="preserve"> </w:t>
      </w:r>
      <w:r w:rsidRPr="003D4FB2">
        <w:rPr>
          <w:b/>
          <w:bCs/>
          <w:szCs w:val="24"/>
          <w:lang w:val="es-ES_tradnl"/>
        </w:rPr>
        <w:t>Debilidades</w:t>
      </w:r>
    </w:p>
    <w:p w14:paraId="5D419242" w14:textId="6F8CFB4E"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t>Las</w:t>
      </w:r>
      <w:r w:rsidR="00D136BB">
        <w:rPr>
          <w:szCs w:val="24"/>
          <w:lang w:val="es-ES_tradnl"/>
        </w:rPr>
        <w:t xml:space="preserve"> </w:t>
      </w:r>
      <w:r w:rsidRPr="00031A5F">
        <w:rPr>
          <w:szCs w:val="24"/>
          <w:lang w:val="es-ES_tradnl"/>
        </w:rPr>
        <w:t>instituciones</w:t>
      </w:r>
      <w:r w:rsidR="00D136BB">
        <w:rPr>
          <w:szCs w:val="24"/>
          <w:lang w:val="es-ES_tradnl"/>
        </w:rPr>
        <w:t xml:space="preserve"> </w:t>
      </w:r>
      <w:r w:rsidRPr="00031A5F">
        <w:rPr>
          <w:szCs w:val="24"/>
          <w:lang w:val="es-ES_tradnl"/>
        </w:rPr>
        <w:t>científicas</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tecnológicas</w:t>
      </w:r>
      <w:r w:rsidR="00D136BB">
        <w:rPr>
          <w:szCs w:val="24"/>
          <w:lang w:val="es-ES_tradnl"/>
        </w:rPr>
        <w:t xml:space="preserve"> </w:t>
      </w:r>
      <w:r w:rsidRPr="00031A5F">
        <w:rPr>
          <w:szCs w:val="24"/>
          <w:lang w:val="es-ES_tradnl"/>
        </w:rPr>
        <w:t>trabajan</w:t>
      </w:r>
      <w:r w:rsidR="00D136BB">
        <w:rPr>
          <w:szCs w:val="24"/>
          <w:lang w:val="es-ES_tradnl"/>
        </w:rPr>
        <w:t xml:space="preserve"> </w:t>
      </w:r>
      <w:r w:rsidRPr="00031A5F">
        <w:rPr>
          <w:szCs w:val="24"/>
          <w:lang w:val="es-ES_tradnl"/>
        </w:rPr>
        <w:t>aisladamente</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realizan</w:t>
      </w:r>
      <w:r w:rsidR="00D136BB">
        <w:rPr>
          <w:szCs w:val="24"/>
          <w:lang w:val="es-ES_tradnl"/>
        </w:rPr>
        <w:t xml:space="preserve"> </w:t>
      </w:r>
      <w:r w:rsidRPr="00031A5F">
        <w:rPr>
          <w:szCs w:val="24"/>
          <w:lang w:val="es-ES_tradnl"/>
        </w:rPr>
        <w:t>actividades</w:t>
      </w:r>
      <w:r w:rsidR="00D136BB">
        <w:rPr>
          <w:szCs w:val="24"/>
          <w:lang w:val="es-ES_tradnl"/>
        </w:rPr>
        <w:t xml:space="preserve"> </w:t>
      </w:r>
      <w:r w:rsidRPr="00031A5F">
        <w:rPr>
          <w:szCs w:val="24"/>
          <w:lang w:val="es-ES_tradnl"/>
        </w:rPr>
        <w:t>re</w:t>
      </w:r>
      <w:r w:rsidR="004B752B" w:rsidRPr="00031A5F">
        <w:rPr>
          <w:szCs w:val="24"/>
          <w:lang w:val="es-ES_tradnl"/>
        </w:rPr>
        <w:t>p</w:t>
      </w:r>
      <w:r w:rsidRPr="00031A5F">
        <w:rPr>
          <w:szCs w:val="24"/>
          <w:lang w:val="es-ES_tradnl"/>
        </w:rPr>
        <w:t>etidas,</w:t>
      </w:r>
      <w:r w:rsidR="00D136BB">
        <w:rPr>
          <w:szCs w:val="24"/>
          <w:lang w:val="es-ES_tradnl"/>
        </w:rPr>
        <w:t xml:space="preserve"> </w:t>
      </w:r>
      <w:r w:rsidRPr="00031A5F">
        <w:rPr>
          <w:szCs w:val="24"/>
          <w:lang w:val="es-ES_tradnl"/>
        </w:rPr>
        <w:t>siendo</w:t>
      </w:r>
      <w:r w:rsidR="00D136BB">
        <w:rPr>
          <w:szCs w:val="24"/>
          <w:lang w:val="es-ES_tradnl"/>
        </w:rPr>
        <w:t xml:space="preserve"> </w:t>
      </w:r>
      <w:r w:rsidRPr="00031A5F">
        <w:rPr>
          <w:szCs w:val="24"/>
          <w:lang w:val="es-ES_tradnl"/>
        </w:rPr>
        <w:t>notoria</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falta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estudios</w:t>
      </w:r>
      <w:r w:rsidR="00D136BB">
        <w:rPr>
          <w:szCs w:val="24"/>
          <w:lang w:val="es-ES_tradnl"/>
        </w:rPr>
        <w:t xml:space="preserve"> </w:t>
      </w:r>
      <w:r w:rsidRPr="00031A5F">
        <w:rPr>
          <w:szCs w:val="24"/>
          <w:lang w:val="es-ES_tradnl"/>
        </w:rPr>
        <w:t>o</w:t>
      </w:r>
      <w:r w:rsidR="00D136BB">
        <w:rPr>
          <w:szCs w:val="24"/>
          <w:lang w:val="es-ES_tradnl"/>
        </w:rPr>
        <w:t xml:space="preserve"> </w:t>
      </w:r>
      <w:r w:rsidRPr="00031A5F">
        <w:rPr>
          <w:szCs w:val="24"/>
          <w:lang w:val="es-ES_tradnl"/>
        </w:rPr>
        <w:t>investigaciones</w:t>
      </w:r>
      <w:r w:rsidR="00D136BB">
        <w:rPr>
          <w:szCs w:val="24"/>
          <w:lang w:val="es-ES_tradnl"/>
        </w:rPr>
        <w:t xml:space="preserve"> </w:t>
      </w:r>
      <w:r w:rsidRPr="00031A5F">
        <w:rPr>
          <w:szCs w:val="24"/>
          <w:lang w:val="es-ES_tradnl"/>
        </w:rPr>
        <w:t>permanentes</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Red</w:t>
      </w:r>
      <w:r w:rsidR="00D136BB">
        <w:rPr>
          <w:szCs w:val="24"/>
          <w:lang w:val="es-ES_tradnl"/>
        </w:rPr>
        <w:t xml:space="preserve"> </w:t>
      </w:r>
      <w:r w:rsidRPr="00031A5F">
        <w:rPr>
          <w:szCs w:val="24"/>
          <w:lang w:val="es-ES_tradnl"/>
        </w:rPr>
        <w:t>a</w:t>
      </w:r>
      <w:r w:rsidR="00D136BB">
        <w:rPr>
          <w:szCs w:val="24"/>
          <w:lang w:val="es-ES_tradnl"/>
        </w:rPr>
        <w:t xml:space="preserve"> </w:t>
      </w:r>
      <w:r w:rsidRPr="00031A5F">
        <w:rPr>
          <w:szCs w:val="24"/>
          <w:lang w:val="es-ES_tradnl"/>
        </w:rPr>
        <w:t>nivel</w:t>
      </w:r>
      <w:r w:rsidR="00D136BB">
        <w:rPr>
          <w:szCs w:val="24"/>
          <w:lang w:val="es-ES_tradnl"/>
        </w:rPr>
        <w:t xml:space="preserve"> </w:t>
      </w:r>
      <w:r w:rsidRPr="00031A5F">
        <w:rPr>
          <w:szCs w:val="24"/>
          <w:lang w:val="es-ES_tradnl"/>
        </w:rPr>
        <w:t>regional.</w:t>
      </w:r>
      <w:r w:rsidR="00D136BB">
        <w:rPr>
          <w:szCs w:val="24"/>
          <w:lang w:val="es-ES_tradnl"/>
        </w:rPr>
        <w:t xml:space="preserve"> </w:t>
      </w:r>
    </w:p>
    <w:p w14:paraId="3794CF29" w14:textId="77777777" w:rsidR="006843D0" w:rsidRPr="00031A5F" w:rsidRDefault="006843D0" w:rsidP="006843D0">
      <w:pPr>
        <w:pStyle w:val="BodyText"/>
        <w:spacing w:after="0" w:line="276" w:lineRule="auto"/>
        <w:ind w:left="360"/>
        <w:outlineLvl w:val="0"/>
        <w:rPr>
          <w:b/>
          <w:bCs/>
          <w:szCs w:val="24"/>
          <w:lang w:val="es-ES_tradnl"/>
        </w:rPr>
      </w:pPr>
    </w:p>
    <w:p w14:paraId="62DC21EC" w14:textId="3171693B"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lastRenderedPageBreak/>
        <w:t>Notoria</w:t>
      </w:r>
      <w:r w:rsidR="00D136BB">
        <w:rPr>
          <w:szCs w:val="24"/>
          <w:lang w:val="es-ES_tradnl"/>
        </w:rPr>
        <w:t xml:space="preserve"> </w:t>
      </w:r>
      <w:r w:rsidRPr="00031A5F">
        <w:rPr>
          <w:szCs w:val="24"/>
          <w:lang w:val="es-ES_tradnl"/>
        </w:rPr>
        <w:t>falta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continuidad</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investigación</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difusión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tecnologías</w:t>
      </w:r>
      <w:r w:rsidR="00D136BB">
        <w:rPr>
          <w:szCs w:val="24"/>
          <w:lang w:val="es-ES_tradnl"/>
        </w:rPr>
        <w:t xml:space="preserve"> </w:t>
      </w:r>
      <w:r w:rsidRPr="00031A5F">
        <w:rPr>
          <w:szCs w:val="24"/>
          <w:lang w:val="es-ES_tradnl"/>
        </w:rPr>
        <w:t>debido</w:t>
      </w:r>
      <w:r w:rsidR="00D136BB">
        <w:rPr>
          <w:szCs w:val="24"/>
          <w:lang w:val="es-ES_tradnl"/>
        </w:rPr>
        <w:t xml:space="preserve"> </w:t>
      </w:r>
      <w:r w:rsidRPr="00031A5F">
        <w:rPr>
          <w:szCs w:val="24"/>
          <w:lang w:val="es-ES_tradnl"/>
        </w:rPr>
        <w:t>a</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rotación</w:t>
      </w:r>
      <w:r w:rsidR="00D136BB">
        <w:rPr>
          <w:szCs w:val="24"/>
          <w:lang w:val="es-ES_tradnl"/>
        </w:rPr>
        <w:t xml:space="preserve"> </w:t>
      </w:r>
      <w:r w:rsidRPr="00031A5F">
        <w:rPr>
          <w:szCs w:val="24"/>
          <w:lang w:val="es-ES_tradnl"/>
        </w:rPr>
        <w:t>frecuente</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dirección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programas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investigación</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servicios</w:t>
      </w:r>
      <w:r w:rsidR="00D136BB">
        <w:rPr>
          <w:szCs w:val="24"/>
          <w:lang w:val="es-ES_tradnl"/>
        </w:rPr>
        <w:t xml:space="preserve"> </w:t>
      </w:r>
      <w:r w:rsidRPr="00031A5F">
        <w:rPr>
          <w:szCs w:val="24"/>
          <w:lang w:val="es-ES_tradnl"/>
        </w:rPr>
        <w:t>nacionales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sanidad.</w:t>
      </w:r>
    </w:p>
    <w:p w14:paraId="320E4642" w14:textId="77777777" w:rsidR="006843D0" w:rsidRPr="00031A5F" w:rsidRDefault="006843D0" w:rsidP="006843D0">
      <w:pPr>
        <w:pStyle w:val="ListParagraph"/>
        <w:rPr>
          <w:rFonts w:ascii="Times New Roman" w:hAnsi="Times New Roman" w:cs="Times New Roman"/>
          <w:sz w:val="24"/>
          <w:szCs w:val="24"/>
        </w:rPr>
      </w:pPr>
    </w:p>
    <w:p w14:paraId="68AA1E8D" w14:textId="41BC2C98"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t>Insuficiente</w:t>
      </w:r>
      <w:r w:rsidR="00D136BB">
        <w:rPr>
          <w:szCs w:val="24"/>
          <w:lang w:val="es-ES_tradnl"/>
        </w:rPr>
        <w:t xml:space="preserve"> </w:t>
      </w:r>
      <w:r w:rsidRPr="00031A5F">
        <w:rPr>
          <w:szCs w:val="24"/>
          <w:lang w:val="es-ES_tradnl"/>
        </w:rPr>
        <w:t>participación</w:t>
      </w:r>
      <w:r w:rsidR="00D136BB">
        <w:rPr>
          <w:szCs w:val="24"/>
          <w:lang w:val="es-ES_tradnl"/>
        </w:rPr>
        <w:t xml:space="preserve"> </w:t>
      </w:r>
      <w:r w:rsidRPr="00031A5F">
        <w:rPr>
          <w:szCs w:val="24"/>
          <w:lang w:val="es-ES_tradnl"/>
        </w:rPr>
        <w:t>del</w:t>
      </w:r>
      <w:r w:rsidR="00D136BB">
        <w:rPr>
          <w:szCs w:val="24"/>
          <w:lang w:val="es-ES_tradnl"/>
        </w:rPr>
        <w:t xml:space="preserve"> </w:t>
      </w:r>
      <w:r w:rsidRPr="00031A5F">
        <w:rPr>
          <w:szCs w:val="24"/>
          <w:lang w:val="es-ES_tradnl"/>
        </w:rPr>
        <w:t>sector</w:t>
      </w:r>
      <w:r w:rsidR="00D136BB">
        <w:rPr>
          <w:szCs w:val="24"/>
          <w:lang w:val="es-ES_tradnl"/>
        </w:rPr>
        <w:t xml:space="preserve"> </w:t>
      </w:r>
      <w:r w:rsidRPr="00031A5F">
        <w:rPr>
          <w:szCs w:val="24"/>
          <w:lang w:val="es-ES_tradnl"/>
        </w:rPr>
        <w:t>privado</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las</w:t>
      </w:r>
      <w:r w:rsidR="00D136BB">
        <w:rPr>
          <w:szCs w:val="24"/>
          <w:lang w:val="es-ES_tradnl"/>
        </w:rPr>
        <w:t xml:space="preserve"> </w:t>
      </w:r>
      <w:r w:rsidRPr="00031A5F">
        <w:rPr>
          <w:szCs w:val="24"/>
          <w:lang w:val="es-ES_tradnl"/>
        </w:rPr>
        <w:t>iniciativas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desarrollo</w:t>
      </w:r>
      <w:r w:rsidR="00D136BB">
        <w:rPr>
          <w:szCs w:val="24"/>
          <w:lang w:val="es-ES_tradnl"/>
        </w:rPr>
        <w:t xml:space="preserve"> </w:t>
      </w:r>
      <w:r w:rsidRPr="00031A5F">
        <w:rPr>
          <w:szCs w:val="24"/>
          <w:lang w:val="es-ES_tradnl"/>
        </w:rPr>
        <w:t>científico</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tecnológico</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área.</w:t>
      </w:r>
    </w:p>
    <w:p w14:paraId="6162F97D" w14:textId="77777777" w:rsidR="006843D0" w:rsidRPr="00031A5F" w:rsidRDefault="006843D0" w:rsidP="006843D0">
      <w:pPr>
        <w:pStyle w:val="ListParagraph"/>
        <w:rPr>
          <w:rFonts w:ascii="Times New Roman" w:hAnsi="Times New Roman" w:cs="Times New Roman"/>
          <w:sz w:val="24"/>
          <w:szCs w:val="24"/>
        </w:rPr>
      </w:pPr>
    </w:p>
    <w:p w14:paraId="2D0A0A53" w14:textId="0E1DBCAF"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t>Inadecuada</w:t>
      </w:r>
      <w:r w:rsidR="00D136BB">
        <w:rPr>
          <w:szCs w:val="24"/>
          <w:lang w:val="es-ES_tradnl"/>
        </w:rPr>
        <w:t xml:space="preserve"> </w:t>
      </w:r>
      <w:r w:rsidRPr="00031A5F">
        <w:rPr>
          <w:szCs w:val="24"/>
          <w:lang w:val="es-ES_tradnl"/>
        </w:rPr>
        <w:t>coordinación</w:t>
      </w:r>
      <w:r w:rsidR="00D136BB">
        <w:rPr>
          <w:szCs w:val="24"/>
          <w:lang w:val="es-ES_tradnl"/>
        </w:rPr>
        <w:t xml:space="preserve"> </w:t>
      </w:r>
      <w:r w:rsidRPr="00031A5F">
        <w:rPr>
          <w:szCs w:val="24"/>
          <w:lang w:val="es-ES_tradnl"/>
        </w:rPr>
        <w:t>entre</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Organismos</w:t>
      </w:r>
      <w:r w:rsidR="00D136BB">
        <w:rPr>
          <w:szCs w:val="24"/>
          <w:lang w:val="es-ES_tradnl"/>
        </w:rPr>
        <w:t xml:space="preserve"> </w:t>
      </w:r>
      <w:r w:rsidRPr="00031A5F">
        <w:rPr>
          <w:szCs w:val="24"/>
          <w:lang w:val="es-ES_tradnl"/>
        </w:rPr>
        <w:t>Internacionales</w:t>
      </w:r>
      <w:r w:rsidR="00D136BB">
        <w:rPr>
          <w:szCs w:val="24"/>
          <w:lang w:val="es-ES_tradnl"/>
        </w:rPr>
        <w:t xml:space="preserve"> </w:t>
      </w:r>
      <w:r w:rsidRPr="00031A5F">
        <w:rPr>
          <w:szCs w:val="24"/>
          <w:lang w:val="es-ES_tradnl"/>
        </w:rPr>
        <w:t>relacionados</w:t>
      </w:r>
      <w:r w:rsidR="00D136BB">
        <w:rPr>
          <w:szCs w:val="24"/>
          <w:lang w:val="es-ES_tradnl"/>
        </w:rPr>
        <w:t xml:space="preserve"> </w:t>
      </w:r>
      <w:r w:rsidRPr="00031A5F">
        <w:rPr>
          <w:szCs w:val="24"/>
          <w:lang w:val="es-ES_tradnl"/>
        </w:rPr>
        <w:t>con</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seguridad</w:t>
      </w:r>
      <w:r w:rsidR="00D136BB">
        <w:rPr>
          <w:szCs w:val="24"/>
          <w:lang w:val="es-ES_tradnl"/>
        </w:rPr>
        <w:t xml:space="preserve"> </w:t>
      </w:r>
      <w:r w:rsidRPr="00031A5F">
        <w:rPr>
          <w:szCs w:val="24"/>
          <w:lang w:val="es-ES_tradnl"/>
        </w:rPr>
        <w:t>alimentaria</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región.</w:t>
      </w:r>
    </w:p>
    <w:p w14:paraId="753AEACA" w14:textId="77777777" w:rsidR="006843D0" w:rsidRPr="00031A5F" w:rsidRDefault="006843D0" w:rsidP="006843D0">
      <w:pPr>
        <w:pStyle w:val="ListParagraph"/>
        <w:rPr>
          <w:rFonts w:ascii="Times New Roman" w:hAnsi="Times New Roman" w:cs="Times New Roman"/>
          <w:sz w:val="24"/>
          <w:szCs w:val="24"/>
        </w:rPr>
      </w:pPr>
    </w:p>
    <w:p w14:paraId="704E4303" w14:textId="1BD57446"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t>Insuficiente</w:t>
      </w:r>
      <w:r w:rsidR="00D136BB">
        <w:rPr>
          <w:szCs w:val="24"/>
          <w:lang w:val="es-ES_tradnl"/>
        </w:rPr>
        <w:t xml:space="preserve"> </w:t>
      </w:r>
      <w:r w:rsidRPr="00031A5F">
        <w:rPr>
          <w:szCs w:val="24"/>
          <w:lang w:val="es-ES_tradnl"/>
        </w:rPr>
        <w:t>aplicación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biotecnología</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región</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atendedor</w:t>
      </w:r>
      <w:r w:rsidR="00D136BB">
        <w:rPr>
          <w:szCs w:val="24"/>
          <w:lang w:val="es-ES_tradnl"/>
        </w:rPr>
        <w:t xml:space="preserve"> </w:t>
      </w:r>
      <w:r w:rsidRPr="00031A5F">
        <w:rPr>
          <w:szCs w:val="24"/>
          <w:lang w:val="es-ES_tradnl"/>
        </w:rPr>
        <w:t>las</w:t>
      </w:r>
      <w:r w:rsidR="00D136BB">
        <w:rPr>
          <w:szCs w:val="24"/>
          <w:lang w:val="es-ES_tradnl"/>
        </w:rPr>
        <w:t xml:space="preserve"> </w:t>
      </w:r>
      <w:r w:rsidRPr="00031A5F">
        <w:rPr>
          <w:szCs w:val="24"/>
          <w:lang w:val="es-ES_tradnl"/>
        </w:rPr>
        <w:t>necesidades</w:t>
      </w:r>
      <w:r w:rsidR="00D136BB">
        <w:rPr>
          <w:szCs w:val="24"/>
          <w:lang w:val="es-ES_tradnl"/>
        </w:rPr>
        <w:t xml:space="preserve"> </w:t>
      </w:r>
      <w:r w:rsidRPr="00031A5F">
        <w:rPr>
          <w:szCs w:val="24"/>
          <w:lang w:val="es-ES_tradnl"/>
        </w:rPr>
        <w:t>del</w:t>
      </w:r>
      <w:r w:rsidR="00D136BB">
        <w:rPr>
          <w:szCs w:val="24"/>
          <w:lang w:val="es-ES_tradnl"/>
        </w:rPr>
        <w:t xml:space="preserve"> </w:t>
      </w:r>
      <w:r w:rsidRPr="00031A5F">
        <w:rPr>
          <w:szCs w:val="24"/>
          <w:lang w:val="es-ES_tradnl"/>
        </w:rPr>
        <w:t>sector</w:t>
      </w:r>
      <w:r w:rsidR="00D136BB">
        <w:rPr>
          <w:szCs w:val="24"/>
          <w:lang w:val="es-ES_tradnl"/>
        </w:rPr>
        <w:t xml:space="preserve"> </w:t>
      </w:r>
      <w:r w:rsidRPr="00031A5F">
        <w:rPr>
          <w:szCs w:val="24"/>
          <w:lang w:val="es-ES_tradnl"/>
        </w:rPr>
        <w:t>agropecuario.</w:t>
      </w:r>
    </w:p>
    <w:p w14:paraId="056DBF35" w14:textId="77777777" w:rsidR="006843D0" w:rsidRPr="00031A5F" w:rsidRDefault="006843D0" w:rsidP="006843D0">
      <w:pPr>
        <w:pStyle w:val="ListParagraph"/>
        <w:rPr>
          <w:rFonts w:ascii="Times New Roman" w:hAnsi="Times New Roman" w:cs="Times New Roman"/>
          <w:sz w:val="24"/>
          <w:szCs w:val="24"/>
        </w:rPr>
      </w:pPr>
    </w:p>
    <w:p w14:paraId="5E4D0422" w14:textId="3AB151CE"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t>No</w:t>
      </w:r>
      <w:r w:rsidR="00D136BB">
        <w:rPr>
          <w:szCs w:val="24"/>
          <w:lang w:val="es-ES_tradnl"/>
        </w:rPr>
        <w:t xml:space="preserve"> </w:t>
      </w:r>
      <w:r w:rsidRPr="00031A5F">
        <w:rPr>
          <w:szCs w:val="24"/>
          <w:lang w:val="es-ES_tradnl"/>
        </w:rPr>
        <w:t>se</w:t>
      </w:r>
      <w:r w:rsidR="00D136BB">
        <w:rPr>
          <w:szCs w:val="24"/>
          <w:lang w:val="es-ES_tradnl"/>
        </w:rPr>
        <w:t xml:space="preserve"> </w:t>
      </w:r>
      <w:r w:rsidRPr="00031A5F">
        <w:rPr>
          <w:szCs w:val="24"/>
          <w:lang w:val="es-ES_tradnl"/>
        </w:rPr>
        <w:t>ha</w:t>
      </w:r>
      <w:r w:rsidR="00D136BB">
        <w:rPr>
          <w:szCs w:val="24"/>
          <w:lang w:val="es-ES_tradnl"/>
        </w:rPr>
        <w:t xml:space="preserve"> </w:t>
      </w:r>
      <w:r w:rsidRPr="00031A5F">
        <w:rPr>
          <w:szCs w:val="24"/>
          <w:lang w:val="es-ES_tradnl"/>
        </w:rPr>
        <w:t>alcanzado</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producción</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atender</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demanda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alimentos</w:t>
      </w:r>
      <w:r w:rsidR="00D136BB">
        <w:rPr>
          <w:szCs w:val="24"/>
          <w:lang w:val="es-ES_tradnl"/>
        </w:rPr>
        <w:t xml:space="preserve"> </w:t>
      </w:r>
      <w:r w:rsidRPr="00031A5F">
        <w:rPr>
          <w:szCs w:val="24"/>
          <w:lang w:val="es-ES_tradnl"/>
        </w:rPr>
        <w:t>básicos</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algunos</w:t>
      </w:r>
      <w:r w:rsidR="00D136BB">
        <w:rPr>
          <w:szCs w:val="24"/>
          <w:lang w:val="es-ES_tradnl"/>
        </w:rPr>
        <w:t xml:space="preserve"> </w:t>
      </w:r>
      <w:r w:rsidRPr="00031A5F">
        <w:rPr>
          <w:szCs w:val="24"/>
          <w:lang w:val="es-ES_tradnl"/>
        </w:rPr>
        <w:t>países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región,</w:t>
      </w:r>
      <w:r w:rsidR="00D136BB">
        <w:rPr>
          <w:szCs w:val="24"/>
          <w:lang w:val="es-ES_tradnl"/>
        </w:rPr>
        <w:t xml:space="preserve"> </w:t>
      </w:r>
      <w:r w:rsidRPr="00031A5F">
        <w:rPr>
          <w:szCs w:val="24"/>
          <w:lang w:val="es-ES_tradnl"/>
        </w:rPr>
        <w:t>especialmente</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Subregión</w:t>
      </w:r>
      <w:r w:rsidR="00D136BB">
        <w:rPr>
          <w:szCs w:val="24"/>
          <w:lang w:val="es-ES_tradnl"/>
        </w:rPr>
        <w:t xml:space="preserve"> </w:t>
      </w:r>
      <w:r w:rsidRPr="00031A5F">
        <w:rPr>
          <w:szCs w:val="24"/>
          <w:lang w:val="es-ES_tradnl"/>
        </w:rPr>
        <w:t>Andina,</w:t>
      </w:r>
      <w:r w:rsidR="00D136BB">
        <w:rPr>
          <w:szCs w:val="24"/>
          <w:lang w:val="es-ES_tradnl"/>
        </w:rPr>
        <w:t xml:space="preserve"> </w:t>
      </w:r>
      <w:r w:rsidRPr="00031A5F">
        <w:rPr>
          <w:szCs w:val="24"/>
          <w:lang w:val="es-ES_tradnl"/>
        </w:rPr>
        <w:t>parte</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Mesoamérica</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Caribe,</w:t>
      </w:r>
      <w:r w:rsidR="00D136BB">
        <w:rPr>
          <w:szCs w:val="24"/>
          <w:lang w:val="es-ES_tradnl"/>
        </w:rPr>
        <w:t xml:space="preserve"> </w:t>
      </w:r>
      <w:r w:rsidRPr="00031A5F">
        <w:rPr>
          <w:szCs w:val="24"/>
          <w:lang w:val="es-ES_tradnl"/>
        </w:rPr>
        <w:t>con</w:t>
      </w:r>
      <w:r w:rsidR="00D136BB">
        <w:rPr>
          <w:szCs w:val="24"/>
          <w:lang w:val="es-ES_tradnl"/>
        </w:rPr>
        <w:t xml:space="preserve"> </w:t>
      </w:r>
      <w:r w:rsidRPr="00031A5F">
        <w:rPr>
          <w:szCs w:val="24"/>
          <w:lang w:val="es-ES_tradnl"/>
        </w:rPr>
        <w:t>riesgo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no</w:t>
      </w:r>
      <w:r w:rsidR="00D136BB">
        <w:rPr>
          <w:szCs w:val="24"/>
          <w:lang w:val="es-ES_tradnl"/>
        </w:rPr>
        <w:t xml:space="preserve"> </w:t>
      </w:r>
      <w:r w:rsidRPr="00031A5F">
        <w:rPr>
          <w:szCs w:val="24"/>
          <w:lang w:val="es-ES_tradnl"/>
        </w:rPr>
        <w:t>cumplir</w:t>
      </w:r>
      <w:r w:rsidR="00D136BB">
        <w:rPr>
          <w:szCs w:val="24"/>
          <w:lang w:val="es-ES_tradnl"/>
        </w:rPr>
        <w:t xml:space="preserve"> </w:t>
      </w:r>
      <w:r w:rsidRPr="00031A5F">
        <w:rPr>
          <w:szCs w:val="24"/>
          <w:lang w:val="es-ES_tradnl"/>
        </w:rPr>
        <w:t>con</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Objetivo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desarrollo</w:t>
      </w:r>
      <w:r w:rsidR="00D136BB">
        <w:rPr>
          <w:szCs w:val="24"/>
          <w:lang w:val="es-ES_tradnl"/>
        </w:rPr>
        <w:t xml:space="preserve"> </w:t>
      </w:r>
      <w:r w:rsidRPr="00031A5F">
        <w:rPr>
          <w:szCs w:val="24"/>
          <w:lang w:val="es-ES_tradnl"/>
        </w:rPr>
        <w:t>sustentable</w:t>
      </w:r>
      <w:r w:rsidR="00D136BB">
        <w:rPr>
          <w:szCs w:val="24"/>
          <w:lang w:val="es-ES_tradnl"/>
        </w:rPr>
        <w:t xml:space="preserve"> </w:t>
      </w:r>
      <w:r w:rsidRPr="00031A5F">
        <w:rPr>
          <w:szCs w:val="24"/>
          <w:lang w:val="es-ES_tradnl"/>
        </w:rPr>
        <w:t>2</w:t>
      </w:r>
      <w:r w:rsidR="00D136BB">
        <w:rPr>
          <w:szCs w:val="24"/>
          <w:lang w:val="es-ES_tradnl"/>
        </w:rPr>
        <w:t xml:space="preserve"> </w:t>
      </w:r>
      <w:r w:rsidRPr="00031A5F">
        <w:rPr>
          <w:szCs w:val="24"/>
          <w:lang w:val="es-ES_tradnl"/>
        </w:rPr>
        <w:t>(ODS2),</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terminar</w:t>
      </w:r>
      <w:r w:rsidR="00D136BB">
        <w:rPr>
          <w:szCs w:val="24"/>
          <w:lang w:val="es-ES_tradnl"/>
        </w:rPr>
        <w:t xml:space="preserve"> </w:t>
      </w:r>
      <w:r w:rsidRPr="00031A5F">
        <w:rPr>
          <w:szCs w:val="24"/>
          <w:lang w:val="es-ES_tradnl"/>
        </w:rPr>
        <w:t>con</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hambre</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cualquier</w:t>
      </w:r>
      <w:r w:rsidR="00D136BB">
        <w:rPr>
          <w:szCs w:val="24"/>
          <w:lang w:val="es-ES_tradnl"/>
        </w:rPr>
        <w:t xml:space="preserve"> </w:t>
      </w:r>
      <w:r w:rsidRPr="00031A5F">
        <w:rPr>
          <w:szCs w:val="24"/>
          <w:lang w:val="es-ES_tradnl"/>
        </w:rPr>
        <w:t>forma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malnutrición</w:t>
      </w:r>
      <w:r w:rsidR="00D136BB">
        <w:rPr>
          <w:szCs w:val="24"/>
          <w:lang w:val="es-ES_tradnl"/>
        </w:rPr>
        <w:t xml:space="preserve"> </w:t>
      </w:r>
      <w:r w:rsidRPr="00031A5F">
        <w:rPr>
          <w:szCs w:val="24"/>
          <w:lang w:val="es-ES_tradnl"/>
        </w:rPr>
        <w:t>hasta</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2030.</w:t>
      </w:r>
    </w:p>
    <w:p w14:paraId="4BA468D0" w14:textId="77777777" w:rsidR="006843D0" w:rsidRPr="00031A5F" w:rsidRDefault="006843D0" w:rsidP="006843D0">
      <w:pPr>
        <w:pStyle w:val="ListParagraph"/>
        <w:rPr>
          <w:rFonts w:ascii="Times New Roman" w:hAnsi="Times New Roman" w:cs="Times New Roman"/>
          <w:sz w:val="24"/>
          <w:szCs w:val="24"/>
        </w:rPr>
      </w:pPr>
    </w:p>
    <w:p w14:paraId="7D55D2F1" w14:textId="5BDF0652"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t>La</w:t>
      </w:r>
      <w:r w:rsidR="00D136BB">
        <w:rPr>
          <w:szCs w:val="24"/>
          <w:lang w:val="es-ES_tradnl"/>
        </w:rPr>
        <w:t xml:space="preserve"> </w:t>
      </w:r>
      <w:r w:rsidRPr="00031A5F">
        <w:rPr>
          <w:szCs w:val="24"/>
          <w:lang w:val="es-ES_tradnl"/>
        </w:rPr>
        <w:t>inadecuada</w:t>
      </w:r>
      <w:r w:rsidR="00D136BB">
        <w:rPr>
          <w:szCs w:val="24"/>
          <w:lang w:val="es-ES_tradnl"/>
        </w:rPr>
        <w:t xml:space="preserve"> </w:t>
      </w:r>
      <w:r w:rsidRPr="00031A5F">
        <w:rPr>
          <w:szCs w:val="24"/>
          <w:lang w:val="es-ES_tradnl"/>
        </w:rPr>
        <w:t>implementación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estándares</w:t>
      </w:r>
      <w:r w:rsidR="00D136BB">
        <w:rPr>
          <w:szCs w:val="24"/>
          <w:lang w:val="es-ES_tradnl"/>
        </w:rPr>
        <w:t xml:space="preserve"> </w:t>
      </w:r>
      <w:r w:rsidRPr="00031A5F">
        <w:rPr>
          <w:szCs w:val="24"/>
          <w:lang w:val="es-ES_tradnl"/>
        </w:rPr>
        <w:t>internacionales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calidad</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productos</w:t>
      </w:r>
      <w:r w:rsidR="00D136BB">
        <w:rPr>
          <w:szCs w:val="24"/>
          <w:lang w:val="es-ES_tradnl"/>
        </w:rPr>
        <w:t xml:space="preserve"> </w:t>
      </w:r>
      <w:r w:rsidRPr="00031A5F">
        <w:rPr>
          <w:szCs w:val="24"/>
          <w:lang w:val="es-ES_tradnl"/>
        </w:rPr>
        <w:t>alimenticios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consumo</w:t>
      </w:r>
      <w:r w:rsidR="00D136BB">
        <w:rPr>
          <w:szCs w:val="24"/>
          <w:lang w:val="es-ES_tradnl"/>
        </w:rPr>
        <w:t xml:space="preserve"> </w:t>
      </w:r>
      <w:r w:rsidRPr="00031A5F">
        <w:rPr>
          <w:szCs w:val="24"/>
          <w:lang w:val="es-ES_tradnl"/>
        </w:rPr>
        <w:t>doméstico</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exportación,</w:t>
      </w:r>
      <w:r w:rsidR="00D136BB">
        <w:rPr>
          <w:szCs w:val="24"/>
          <w:lang w:val="es-ES_tradnl"/>
        </w:rPr>
        <w:t xml:space="preserve"> </w:t>
      </w:r>
      <w:r w:rsidRPr="00031A5F">
        <w:rPr>
          <w:szCs w:val="24"/>
          <w:lang w:val="es-ES_tradnl"/>
        </w:rPr>
        <w:t>con</w:t>
      </w:r>
      <w:r w:rsidR="00D136BB">
        <w:rPr>
          <w:szCs w:val="24"/>
          <w:lang w:val="es-ES_tradnl"/>
        </w:rPr>
        <w:t xml:space="preserve"> </w:t>
      </w:r>
      <w:r w:rsidRPr="00031A5F">
        <w:rPr>
          <w:szCs w:val="24"/>
          <w:lang w:val="es-ES_tradnl"/>
        </w:rPr>
        <w:t>riesgo</w:t>
      </w:r>
      <w:r w:rsidR="00D136BB">
        <w:rPr>
          <w:szCs w:val="24"/>
          <w:lang w:val="es-ES_tradnl"/>
        </w:rPr>
        <w:t xml:space="preserve"> </w:t>
      </w:r>
      <w:r w:rsidRPr="00031A5F">
        <w:rPr>
          <w:szCs w:val="24"/>
          <w:lang w:val="es-ES_tradnl"/>
        </w:rPr>
        <w:t>potencial</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salud</w:t>
      </w:r>
      <w:r w:rsidR="00D136BB">
        <w:rPr>
          <w:szCs w:val="24"/>
          <w:lang w:val="es-ES_tradnl"/>
        </w:rPr>
        <w:t xml:space="preserve"> </w:t>
      </w:r>
      <w:r w:rsidRPr="00031A5F">
        <w:rPr>
          <w:szCs w:val="24"/>
          <w:lang w:val="es-ES_tradnl"/>
        </w:rPr>
        <w:t>humana,</w:t>
      </w:r>
      <w:r w:rsidR="00D136BB">
        <w:rPr>
          <w:szCs w:val="24"/>
          <w:lang w:val="es-ES_tradnl"/>
        </w:rPr>
        <w:t xml:space="preserve"> </w:t>
      </w:r>
      <w:r w:rsidRPr="00031A5F">
        <w:rPr>
          <w:szCs w:val="24"/>
          <w:lang w:val="es-ES_tradnl"/>
        </w:rPr>
        <w:t>como</w:t>
      </w:r>
      <w:r w:rsidR="00D136BB">
        <w:rPr>
          <w:szCs w:val="24"/>
          <w:lang w:val="es-ES_tradnl"/>
        </w:rPr>
        <w:t xml:space="preserve"> </w:t>
      </w:r>
      <w:r w:rsidRPr="00031A5F">
        <w:rPr>
          <w:szCs w:val="24"/>
          <w:lang w:val="es-ES_tradnl"/>
        </w:rPr>
        <w:t>también</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atender</w:t>
      </w:r>
      <w:r w:rsidR="00D136BB">
        <w:rPr>
          <w:szCs w:val="24"/>
          <w:lang w:val="es-ES_tradnl"/>
        </w:rPr>
        <w:t xml:space="preserve"> </w:t>
      </w:r>
      <w:r w:rsidRPr="00031A5F">
        <w:rPr>
          <w:szCs w:val="24"/>
          <w:lang w:val="es-ES_tradnl"/>
        </w:rPr>
        <w:t>adecuadamente</w:t>
      </w:r>
      <w:r w:rsidR="00D136BB">
        <w:rPr>
          <w:szCs w:val="24"/>
          <w:lang w:val="es-ES_tradnl"/>
        </w:rPr>
        <w:t xml:space="preserve"> </w:t>
      </w:r>
      <w:r w:rsidRPr="00031A5F">
        <w:rPr>
          <w:szCs w:val="24"/>
          <w:lang w:val="es-ES_tradnl"/>
        </w:rPr>
        <w:t>las</w:t>
      </w:r>
      <w:r w:rsidR="00D136BB">
        <w:rPr>
          <w:szCs w:val="24"/>
          <w:lang w:val="es-ES_tradnl"/>
        </w:rPr>
        <w:t xml:space="preserve"> </w:t>
      </w:r>
      <w:r w:rsidRPr="00031A5F">
        <w:rPr>
          <w:szCs w:val="24"/>
          <w:lang w:val="es-ES_tradnl"/>
        </w:rPr>
        <w:t>exigencias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mercados.</w:t>
      </w:r>
    </w:p>
    <w:p w14:paraId="608A7085" w14:textId="77777777" w:rsidR="006843D0" w:rsidRPr="00031A5F" w:rsidRDefault="006843D0" w:rsidP="006843D0">
      <w:pPr>
        <w:pStyle w:val="ListParagraph"/>
        <w:rPr>
          <w:rFonts w:ascii="Times New Roman" w:hAnsi="Times New Roman" w:cs="Times New Roman"/>
          <w:sz w:val="24"/>
          <w:szCs w:val="24"/>
        </w:rPr>
      </w:pPr>
    </w:p>
    <w:p w14:paraId="3A0B79A8" w14:textId="62798AFA"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t>Pérdidas</w:t>
      </w:r>
      <w:r w:rsidR="00D136BB">
        <w:rPr>
          <w:szCs w:val="24"/>
          <w:lang w:val="es-ES_tradnl"/>
        </w:rPr>
        <w:t xml:space="preserve"> </w:t>
      </w:r>
      <w:r w:rsidRPr="00031A5F">
        <w:rPr>
          <w:szCs w:val="24"/>
          <w:lang w:val="es-ES_tradnl"/>
        </w:rPr>
        <w:t>significativas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alimentos</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post</w:t>
      </w:r>
      <w:r w:rsidR="00D136BB">
        <w:rPr>
          <w:szCs w:val="24"/>
          <w:lang w:val="es-ES_tradnl"/>
        </w:rPr>
        <w:t xml:space="preserve"> </w:t>
      </w:r>
      <w:r w:rsidRPr="00031A5F">
        <w:rPr>
          <w:szCs w:val="24"/>
          <w:lang w:val="es-ES_tradnl"/>
        </w:rPr>
        <w:t>cosecha</w:t>
      </w:r>
      <w:r w:rsidR="00D136BB">
        <w:rPr>
          <w:szCs w:val="24"/>
          <w:lang w:val="es-ES_tradnl"/>
        </w:rPr>
        <w:t xml:space="preserve"> </w:t>
      </w:r>
      <w:r w:rsidRPr="00031A5F">
        <w:rPr>
          <w:szCs w:val="24"/>
          <w:lang w:val="es-ES_tradnl"/>
        </w:rPr>
        <w:t>por</w:t>
      </w:r>
      <w:r w:rsidR="00D136BB">
        <w:rPr>
          <w:szCs w:val="24"/>
          <w:lang w:val="es-ES_tradnl"/>
        </w:rPr>
        <w:t xml:space="preserve"> </w:t>
      </w:r>
      <w:r w:rsidRPr="00031A5F">
        <w:rPr>
          <w:szCs w:val="24"/>
          <w:lang w:val="es-ES_tradnl"/>
        </w:rPr>
        <w:t>falta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infraestructura</w:t>
      </w:r>
      <w:r w:rsidR="00D136BB">
        <w:rPr>
          <w:szCs w:val="24"/>
          <w:lang w:val="es-ES_tradnl"/>
        </w:rPr>
        <w:t xml:space="preserve"> </w:t>
      </w:r>
      <w:r w:rsidRPr="00031A5F">
        <w:rPr>
          <w:szCs w:val="24"/>
          <w:lang w:val="es-ES_tradnl"/>
        </w:rPr>
        <w:t>adecuada.</w:t>
      </w:r>
    </w:p>
    <w:p w14:paraId="6546E59D" w14:textId="77777777" w:rsidR="006843D0" w:rsidRPr="00031A5F" w:rsidRDefault="006843D0" w:rsidP="006843D0">
      <w:pPr>
        <w:pStyle w:val="ListParagraph"/>
        <w:rPr>
          <w:rFonts w:ascii="Times New Roman" w:hAnsi="Times New Roman" w:cs="Times New Roman"/>
          <w:sz w:val="24"/>
          <w:szCs w:val="24"/>
        </w:rPr>
      </w:pPr>
    </w:p>
    <w:p w14:paraId="6BE3B217" w14:textId="32940BEF" w:rsidR="006843D0" w:rsidRPr="00031A5F" w:rsidRDefault="00436D72" w:rsidP="00BE3BCB">
      <w:pPr>
        <w:pStyle w:val="BodyText"/>
        <w:numPr>
          <w:ilvl w:val="0"/>
          <w:numId w:val="45"/>
        </w:numPr>
        <w:spacing w:after="0" w:line="276" w:lineRule="auto"/>
        <w:outlineLvl w:val="0"/>
        <w:rPr>
          <w:b/>
          <w:bCs/>
          <w:szCs w:val="24"/>
          <w:lang w:val="es-ES_tradnl"/>
        </w:rPr>
      </w:pPr>
      <w:r w:rsidRPr="00031A5F">
        <w:rPr>
          <w:szCs w:val="24"/>
          <w:lang w:val="es-ES_tradnl"/>
        </w:rPr>
        <w:t>Aparición</w:t>
      </w:r>
      <w:r w:rsidR="00D136BB">
        <w:rPr>
          <w:szCs w:val="24"/>
          <w:lang w:val="es-ES_tradnl"/>
        </w:rPr>
        <w:t xml:space="preserve"> </w:t>
      </w:r>
      <w:r w:rsidRPr="00031A5F">
        <w:rPr>
          <w:szCs w:val="24"/>
          <w:lang w:val="es-ES_tradnl"/>
        </w:rPr>
        <w:t>potencial</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nuevas</w:t>
      </w:r>
      <w:r w:rsidR="00D136BB">
        <w:rPr>
          <w:szCs w:val="24"/>
          <w:lang w:val="es-ES_tradnl"/>
        </w:rPr>
        <w:t xml:space="preserve"> </w:t>
      </w:r>
      <w:r w:rsidRPr="00031A5F">
        <w:rPr>
          <w:szCs w:val="24"/>
          <w:lang w:val="es-ES_tradnl"/>
        </w:rPr>
        <w:t>plagas</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malezas</w:t>
      </w:r>
      <w:r w:rsidR="00D136BB">
        <w:rPr>
          <w:szCs w:val="24"/>
          <w:lang w:val="es-ES_tradnl"/>
        </w:rPr>
        <w:t xml:space="preserve"> </w:t>
      </w:r>
      <w:r w:rsidRPr="00031A5F">
        <w:rPr>
          <w:szCs w:val="24"/>
          <w:lang w:val="es-ES_tradnl"/>
        </w:rPr>
        <w:t>por</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efectos</w:t>
      </w:r>
      <w:r w:rsidR="00D136BB">
        <w:rPr>
          <w:szCs w:val="24"/>
          <w:lang w:val="es-ES_tradnl"/>
        </w:rPr>
        <w:t xml:space="preserve"> </w:t>
      </w:r>
      <w:r w:rsidRPr="00031A5F">
        <w:rPr>
          <w:szCs w:val="24"/>
          <w:lang w:val="es-ES_tradnl"/>
        </w:rPr>
        <w:t>del</w:t>
      </w:r>
      <w:r w:rsidR="00D136BB">
        <w:rPr>
          <w:szCs w:val="24"/>
          <w:lang w:val="es-ES_tradnl"/>
        </w:rPr>
        <w:t xml:space="preserve"> </w:t>
      </w:r>
      <w:r w:rsidRPr="00031A5F">
        <w:rPr>
          <w:szCs w:val="24"/>
          <w:lang w:val="es-ES_tradnl"/>
        </w:rPr>
        <w:t>cambio</w:t>
      </w:r>
      <w:r w:rsidR="00D136BB">
        <w:rPr>
          <w:szCs w:val="24"/>
          <w:lang w:val="es-ES_tradnl"/>
        </w:rPr>
        <w:t xml:space="preserve"> </w:t>
      </w:r>
      <w:r w:rsidRPr="00031A5F">
        <w:rPr>
          <w:szCs w:val="24"/>
          <w:lang w:val="es-ES_tradnl"/>
        </w:rPr>
        <w:t>climático</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resistencia</w:t>
      </w:r>
      <w:r w:rsidR="00D136BB">
        <w:rPr>
          <w:szCs w:val="24"/>
          <w:lang w:val="es-ES_tradnl"/>
        </w:rPr>
        <w:t xml:space="preserve"> </w:t>
      </w:r>
      <w:r w:rsidRPr="00031A5F">
        <w:rPr>
          <w:szCs w:val="24"/>
          <w:lang w:val="es-ES_tradnl"/>
        </w:rPr>
        <w:t>debido</w:t>
      </w:r>
      <w:r w:rsidR="00D136BB">
        <w:rPr>
          <w:szCs w:val="24"/>
          <w:lang w:val="es-ES_tradnl"/>
        </w:rPr>
        <w:t xml:space="preserve"> </w:t>
      </w:r>
      <w:r w:rsidRPr="00031A5F">
        <w:rPr>
          <w:szCs w:val="24"/>
          <w:lang w:val="es-ES_tradnl"/>
        </w:rPr>
        <w:t>al</w:t>
      </w:r>
      <w:r w:rsidR="00D136BB">
        <w:rPr>
          <w:szCs w:val="24"/>
          <w:lang w:val="es-ES_tradnl"/>
        </w:rPr>
        <w:t xml:space="preserve"> </w:t>
      </w:r>
      <w:r w:rsidRPr="00031A5F">
        <w:rPr>
          <w:szCs w:val="24"/>
          <w:lang w:val="es-ES_tradnl"/>
        </w:rPr>
        <w:t>uso</w:t>
      </w:r>
      <w:r w:rsidR="00D136BB">
        <w:rPr>
          <w:szCs w:val="24"/>
          <w:lang w:val="es-ES_tradnl"/>
        </w:rPr>
        <w:t xml:space="preserve"> </w:t>
      </w:r>
      <w:r w:rsidRPr="00031A5F">
        <w:rPr>
          <w:szCs w:val="24"/>
          <w:lang w:val="es-ES_tradnl"/>
        </w:rPr>
        <w:t>irracional</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agroquímicos</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medicamentos,</w:t>
      </w:r>
      <w:r w:rsidR="00D136BB">
        <w:rPr>
          <w:szCs w:val="24"/>
          <w:lang w:val="es-ES_tradnl"/>
        </w:rPr>
        <w:t xml:space="preserve"> </w:t>
      </w:r>
      <w:r w:rsidRPr="00031A5F">
        <w:rPr>
          <w:szCs w:val="24"/>
          <w:lang w:val="es-ES_tradnl"/>
        </w:rPr>
        <w:t>que</w:t>
      </w:r>
      <w:r w:rsidR="00D136BB">
        <w:rPr>
          <w:szCs w:val="24"/>
          <w:lang w:val="es-ES_tradnl"/>
        </w:rPr>
        <w:t xml:space="preserve"> </w:t>
      </w:r>
      <w:r w:rsidRPr="00031A5F">
        <w:rPr>
          <w:szCs w:val="24"/>
          <w:lang w:val="es-ES_tradnl"/>
        </w:rPr>
        <w:t>se</w:t>
      </w:r>
      <w:r w:rsidR="00D136BB">
        <w:rPr>
          <w:szCs w:val="24"/>
          <w:lang w:val="es-ES_tradnl"/>
        </w:rPr>
        <w:t xml:space="preserve"> </w:t>
      </w:r>
      <w:r w:rsidRPr="00031A5F">
        <w:rPr>
          <w:szCs w:val="24"/>
          <w:lang w:val="es-ES_tradnl"/>
        </w:rPr>
        <w:t>suma</w:t>
      </w:r>
      <w:r w:rsidR="00D136BB">
        <w:rPr>
          <w:szCs w:val="24"/>
          <w:lang w:val="es-ES_tradnl"/>
        </w:rPr>
        <w:t xml:space="preserve"> </w:t>
      </w:r>
      <w:r w:rsidRPr="00031A5F">
        <w:rPr>
          <w:szCs w:val="24"/>
          <w:lang w:val="es-ES_tradnl"/>
        </w:rPr>
        <w:t>a</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contaminación</w:t>
      </w:r>
      <w:r w:rsidR="00D136BB">
        <w:rPr>
          <w:szCs w:val="24"/>
          <w:lang w:val="es-ES_tradnl"/>
        </w:rPr>
        <w:t xml:space="preserve"> </w:t>
      </w:r>
      <w:r w:rsidRPr="00031A5F">
        <w:rPr>
          <w:szCs w:val="24"/>
          <w:lang w:val="es-ES_tradnl"/>
        </w:rPr>
        <w:t>ambiental</w:t>
      </w:r>
      <w:r w:rsidR="00D136BB">
        <w:rPr>
          <w:szCs w:val="24"/>
          <w:lang w:val="es-ES_tradnl"/>
        </w:rPr>
        <w:t xml:space="preserve"> </w:t>
      </w:r>
      <w:r w:rsidRPr="00031A5F">
        <w:rPr>
          <w:szCs w:val="24"/>
          <w:lang w:val="es-ES_tradnl"/>
        </w:rPr>
        <w:t>con</w:t>
      </w:r>
      <w:r w:rsidR="00D136BB">
        <w:rPr>
          <w:szCs w:val="24"/>
          <w:lang w:val="es-ES_tradnl"/>
        </w:rPr>
        <w:t xml:space="preserve"> </w:t>
      </w:r>
      <w:r w:rsidRPr="00031A5F">
        <w:rPr>
          <w:szCs w:val="24"/>
          <w:lang w:val="es-ES_tradnl"/>
        </w:rPr>
        <w:t>esos</w:t>
      </w:r>
      <w:r w:rsidR="00D136BB">
        <w:rPr>
          <w:szCs w:val="24"/>
          <w:lang w:val="es-ES_tradnl"/>
        </w:rPr>
        <w:t xml:space="preserve"> </w:t>
      </w:r>
      <w:r w:rsidRPr="00031A5F">
        <w:rPr>
          <w:szCs w:val="24"/>
          <w:lang w:val="es-ES_tradnl"/>
        </w:rPr>
        <w:t>productos.</w:t>
      </w:r>
    </w:p>
    <w:p w14:paraId="19341870" w14:textId="77777777" w:rsidR="006843D0" w:rsidRPr="00031A5F" w:rsidRDefault="006843D0" w:rsidP="006843D0">
      <w:pPr>
        <w:pStyle w:val="ListParagraph"/>
        <w:rPr>
          <w:rFonts w:ascii="Times New Roman" w:hAnsi="Times New Roman" w:cs="Times New Roman"/>
          <w:sz w:val="24"/>
          <w:szCs w:val="24"/>
        </w:rPr>
      </w:pPr>
    </w:p>
    <w:p w14:paraId="7E9A52BB" w14:textId="541D2580" w:rsidR="006843D0" w:rsidRPr="00031A5F" w:rsidRDefault="00D136BB" w:rsidP="00BE3BCB">
      <w:pPr>
        <w:pStyle w:val="BodyText"/>
        <w:numPr>
          <w:ilvl w:val="0"/>
          <w:numId w:val="45"/>
        </w:numPr>
        <w:spacing w:after="0" w:line="276" w:lineRule="auto"/>
        <w:outlineLvl w:val="0"/>
        <w:rPr>
          <w:b/>
          <w:bCs/>
          <w:szCs w:val="24"/>
          <w:lang w:val="es-ES_tradnl"/>
        </w:rPr>
      </w:pPr>
      <w:r>
        <w:rPr>
          <w:szCs w:val="24"/>
          <w:lang w:val="es-ES_tradnl"/>
        </w:rPr>
        <w:t xml:space="preserve"> </w:t>
      </w:r>
      <w:r w:rsidR="00436D72" w:rsidRPr="00031A5F">
        <w:rPr>
          <w:szCs w:val="24"/>
          <w:lang w:val="es-ES_tradnl"/>
        </w:rPr>
        <w:t>Limitado</w:t>
      </w:r>
      <w:r>
        <w:rPr>
          <w:szCs w:val="24"/>
          <w:lang w:val="es-ES_tradnl"/>
        </w:rPr>
        <w:t xml:space="preserve"> </w:t>
      </w:r>
      <w:r w:rsidR="00436D72" w:rsidRPr="00031A5F">
        <w:rPr>
          <w:szCs w:val="24"/>
          <w:lang w:val="es-ES_tradnl"/>
        </w:rPr>
        <w:t>acceso</w:t>
      </w:r>
      <w:r>
        <w:rPr>
          <w:szCs w:val="24"/>
          <w:lang w:val="es-ES_tradnl"/>
        </w:rPr>
        <w:t xml:space="preserve"> </w:t>
      </w:r>
      <w:r w:rsidR="00436D72" w:rsidRPr="00031A5F">
        <w:rPr>
          <w:szCs w:val="24"/>
          <w:lang w:val="es-ES_tradnl"/>
        </w:rPr>
        <w:t>a</w:t>
      </w:r>
      <w:r>
        <w:rPr>
          <w:szCs w:val="24"/>
          <w:lang w:val="es-ES_tradnl"/>
        </w:rPr>
        <w:t xml:space="preserve"> </w:t>
      </w:r>
      <w:r w:rsidR="00436D72" w:rsidRPr="00031A5F">
        <w:rPr>
          <w:szCs w:val="24"/>
          <w:lang w:val="es-ES_tradnl"/>
        </w:rPr>
        <w:t>la</w:t>
      </w:r>
      <w:r>
        <w:rPr>
          <w:szCs w:val="24"/>
          <w:lang w:val="es-ES_tradnl"/>
        </w:rPr>
        <w:t xml:space="preserve"> </w:t>
      </w:r>
      <w:r w:rsidR="00436D72" w:rsidRPr="00031A5F">
        <w:rPr>
          <w:szCs w:val="24"/>
          <w:lang w:val="es-ES_tradnl"/>
        </w:rPr>
        <w:t>extensión</w:t>
      </w:r>
      <w:r>
        <w:rPr>
          <w:szCs w:val="24"/>
          <w:lang w:val="es-ES_tradnl"/>
        </w:rPr>
        <w:t xml:space="preserve"> </w:t>
      </w:r>
      <w:r w:rsidR="00436D72" w:rsidRPr="00031A5F">
        <w:rPr>
          <w:szCs w:val="24"/>
          <w:lang w:val="es-ES_tradnl"/>
        </w:rPr>
        <w:t>y</w:t>
      </w:r>
      <w:r>
        <w:rPr>
          <w:szCs w:val="24"/>
          <w:lang w:val="es-ES_tradnl"/>
        </w:rPr>
        <w:t xml:space="preserve"> </w:t>
      </w:r>
      <w:r w:rsidR="00436D72" w:rsidRPr="00031A5F">
        <w:rPr>
          <w:szCs w:val="24"/>
          <w:lang w:val="es-ES_tradnl"/>
        </w:rPr>
        <w:t>transferencia</w:t>
      </w:r>
      <w:r>
        <w:rPr>
          <w:szCs w:val="24"/>
          <w:lang w:val="es-ES_tradnl"/>
        </w:rPr>
        <w:t xml:space="preserve"> </w:t>
      </w:r>
      <w:r w:rsidR="00436D72" w:rsidRPr="00031A5F">
        <w:rPr>
          <w:szCs w:val="24"/>
          <w:lang w:val="es-ES_tradnl"/>
        </w:rPr>
        <w:t>de</w:t>
      </w:r>
      <w:r>
        <w:rPr>
          <w:szCs w:val="24"/>
          <w:lang w:val="es-ES_tradnl"/>
        </w:rPr>
        <w:t xml:space="preserve"> </w:t>
      </w:r>
      <w:r w:rsidR="00436D72" w:rsidRPr="00031A5F">
        <w:rPr>
          <w:szCs w:val="24"/>
          <w:lang w:val="es-ES_tradnl"/>
        </w:rPr>
        <w:t>tecnología</w:t>
      </w:r>
      <w:r>
        <w:rPr>
          <w:szCs w:val="24"/>
          <w:lang w:val="es-ES_tradnl"/>
        </w:rPr>
        <w:t xml:space="preserve"> </w:t>
      </w:r>
      <w:r w:rsidR="00436D72" w:rsidRPr="00031A5F">
        <w:rPr>
          <w:szCs w:val="24"/>
          <w:lang w:val="es-ES_tradnl"/>
        </w:rPr>
        <w:t>a</w:t>
      </w:r>
      <w:r>
        <w:rPr>
          <w:szCs w:val="24"/>
          <w:lang w:val="es-ES_tradnl"/>
        </w:rPr>
        <w:t xml:space="preserve"> </w:t>
      </w:r>
      <w:r w:rsidR="00436D72" w:rsidRPr="00031A5F">
        <w:rPr>
          <w:szCs w:val="24"/>
          <w:lang w:val="es-ES_tradnl"/>
        </w:rPr>
        <w:t>los</w:t>
      </w:r>
      <w:r>
        <w:rPr>
          <w:szCs w:val="24"/>
          <w:lang w:val="es-ES_tradnl"/>
        </w:rPr>
        <w:t xml:space="preserve"> </w:t>
      </w:r>
      <w:r w:rsidR="00436D72" w:rsidRPr="00031A5F">
        <w:rPr>
          <w:szCs w:val="24"/>
          <w:lang w:val="es-ES_tradnl"/>
        </w:rPr>
        <w:t>productores</w:t>
      </w:r>
      <w:r>
        <w:rPr>
          <w:szCs w:val="24"/>
          <w:lang w:val="es-ES_tradnl"/>
        </w:rPr>
        <w:t xml:space="preserve"> </w:t>
      </w:r>
      <w:r w:rsidR="00436D72" w:rsidRPr="00031A5F">
        <w:rPr>
          <w:szCs w:val="24"/>
          <w:lang w:val="es-ES_tradnl"/>
        </w:rPr>
        <w:t>rurales.</w:t>
      </w:r>
    </w:p>
    <w:p w14:paraId="0164CC2B" w14:textId="77777777" w:rsidR="006843D0" w:rsidRPr="00031A5F" w:rsidRDefault="006843D0" w:rsidP="006843D0">
      <w:pPr>
        <w:pStyle w:val="ListParagraph"/>
        <w:rPr>
          <w:rFonts w:ascii="Times New Roman" w:hAnsi="Times New Roman" w:cs="Times New Roman"/>
          <w:sz w:val="24"/>
          <w:szCs w:val="24"/>
        </w:rPr>
      </w:pPr>
    </w:p>
    <w:p w14:paraId="12F94765" w14:textId="68878820" w:rsidR="00436D72" w:rsidRPr="00031A5F" w:rsidRDefault="00D136BB" w:rsidP="00BE3BCB">
      <w:pPr>
        <w:pStyle w:val="BodyText"/>
        <w:numPr>
          <w:ilvl w:val="0"/>
          <w:numId w:val="45"/>
        </w:numPr>
        <w:spacing w:after="0" w:line="276" w:lineRule="auto"/>
        <w:outlineLvl w:val="0"/>
        <w:rPr>
          <w:b/>
          <w:bCs/>
          <w:szCs w:val="24"/>
          <w:lang w:val="es-ES_tradnl"/>
        </w:rPr>
      </w:pPr>
      <w:r>
        <w:rPr>
          <w:szCs w:val="24"/>
          <w:lang w:val="es-ES_tradnl"/>
        </w:rPr>
        <w:t xml:space="preserve"> </w:t>
      </w:r>
      <w:r w:rsidR="00436D72" w:rsidRPr="00031A5F">
        <w:rPr>
          <w:szCs w:val="24"/>
          <w:lang w:val="es-ES_tradnl"/>
        </w:rPr>
        <w:t>Baja</w:t>
      </w:r>
      <w:r>
        <w:rPr>
          <w:szCs w:val="24"/>
          <w:lang w:val="es-ES_tradnl"/>
        </w:rPr>
        <w:t xml:space="preserve"> </w:t>
      </w:r>
      <w:r w:rsidR="00436D72" w:rsidRPr="00031A5F">
        <w:rPr>
          <w:szCs w:val="24"/>
          <w:lang w:val="es-ES_tradnl"/>
        </w:rPr>
        <w:t>disponibilidad</w:t>
      </w:r>
      <w:r>
        <w:rPr>
          <w:szCs w:val="24"/>
          <w:lang w:val="es-ES_tradnl"/>
        </w:rPr>
        <w:t xml:space="preserve"> </w:t>
      </w:r>
      <w:r w:rsidR="00436D72" w:rsidRPr="00031A5F">
        <w:rPr>
          <w:szCs w:val="24"/>
          <w:lang w:val="es-ES_tradnl"/>
        </w:rPr>
        <w:t>de</w:t>
      </w:r>
      <w:r>
        <w:rPr>
          <w:szCs w:val="24"/>
          <w:lang w:val="es-ES_tradnl"/>
        </w:rPr>
        <w:t xml:space="preserve"> </w:t>
      </w:r>
      <w:r w:rsidR="00436D72" w:rsidRPr="00031A5F">
        <w:rPr>
          <w:szCs w:val="24"/>
          <w:lang w:val="es-ES_tradnl"/>
        </w:rPr>
        <w:t>variedades/razas</w:t>
      </w:r>
      <w:r>
        <w:rPr>
          <w:szCs w:val="24"/>
          <w:lang w:val="es-ES_tradnl"/>
        </w:rPr>
        <w:t xml:space="preserve"> </w:t>
      </w:r>
      <w:r w:rsidR="00436D72" w:rsidRPr="00031A5F">
        <w:rPr>
          <w:szCs w:val="24"/>
          <w:lang w:val="es-ES_tradnl"/>
        </w:rPr>
        <w:t>de</w:t>
      </w:r>
      <w:r>
        <w:rPr>
          <w:szCs w:val="24"/>
          <w:lang w:val="es-ES_tradnl"/>
        </w:rPr>
        <w:t xml:space="preserve"> </w:t>
      </w:r>
      <w:r w:rsidR="00436D72" w:rsidRPr="00031A5F">
        <w:rPr>
          <w:szCs w:val="24"/>
          <w:lang w:val="es-ES_tradnl"/>
        </w:rPr>
        <w:t>plantas</w:t>
      </w:r>
      <w:r>
        <w:rPr>
          <w:szCs w:val="24"/>
          <w:lang w:val="es-ES_tradnl"/>
        </w:rPr>
        <w:t xml:space="preserve"> </w:t>
      </w:r>
      <w:r w:rsidR="00436D72" w:rsidRPr="00031A5F">
        <w:rPr>
          <w:szCs w:val="24"/>
          <w:lang w:val="es-ES_tradnl"/>
        </w:rPr>
        <w:t>y</w:t>
      </w:r>
      <w:r>
        <w:rPr>
          <w:szCs w:val="24"/>
          <w:lang w:val="es-ES_tradnl"/>
        </w:rPr>
        <w:t xml:space="preserve"> </w:t>
      </w:r>
      <w:r w:rsidR="00436D72" w:rsidRPr="00031A5F">
        <w:rPr>
          <w:szCs w:val="24"/>
          <w:lang w:val="es-ES_tradnl"/>
        </w:rPr>
        <w:t>animales</w:t>
      </w:r>
      <w:r>
        <w:rPr>
          <w:szCs w:val="24"/>
          <w:lang w:val="es-ES_tradnl"/>
        </w:rPr>
        <w:t xml:space="preserve"> </w:t>
      </w:r>
      <w:r w:rsidR="00436D72" w:rsidRPr="00031A5F">
        <w:rPr>
          <w:szCs w:val="24"/>
          <w:lang w:val="es-ES_tradnl"/>
        </w:rPr>
        <w:t>tolerantes</w:t>
      </w:r>
      <w:r>
        <w:rPr>
          <w:szCs w:val="24"/>
          <w:lang w:val="es-ES_tradnl"/>
        </w:rPr>
        <w:t xml:space="preserve"> </w:t>
      </w:r>
      <w:r w:rsidR="00436D72" w:rsidRPr="00031A5F">
        <w:rPr>
          <w:szCs w:val="24"/>
          <w:lang w:val="es-ES_tradnl"/>
        </w:rPr>
        <w:t>a</w:t>
      </w:r>
      <w:r>
        <w:rPr>
          <w:szCs w:val="24"/>
          <w:lang w:val="es-ES_tradnl"/>
        </w:rPr>
        <w:t xml:space="preserve"> </w:t>
      </w:r>
      <w:r w:rsidR="00436D72" w:rsidRPr="00031A5F">
        <w:rPr>
          <w:szCs w:val="24"/>
          <w:lang w:val="es-ES_tradnl"/>
        </w:rPr>
        <w:t>estreses</w:t>
      </w:r>
      <w:r>
        <w:rPr>
          <w:szCs w:val="24"/>
          <w:lang w:val="es-ES_tradnl"/>
        </w:rPr>
        <w:t xml:space="preserve"> </w:t>
      </w:r>
      <w:r w:rsidR="00436D72" w:rsidRPr="00031A5F">
        <w:rPr>
          <w:szCs w:val="24"/>
          <w:lang w:val="es-ES_tradnl"/>
        </w:rPr>
        <w:t>bióticos</w:t>
      </w:r>
      <w:r>
        <w:rPr>
          <w:szCs w:val="24"/>
          <w:lang w:val="es-ES_tradnl"/>
        </w:rPr>
        <w:t xml:space="preserve"> </w:t>
      </w:r>
      <w:r w:rsidR="00436D72" w:rsidRPr="00031A5F">
        <w:rPr>
          <w:szCs w:val="24"/>
          <w:lang w:val="es-ES_tradnl"/>
        </w:rPr>
        <w:t>y</w:t>
      </w:r>
      <w:r>
        <w:rPr>
          <w:szCs w:val="24"/>
          <w:lang w:val="es-ES_tradnl"/>
        </w:rPr>
        <w:t xml:space="preserve"> </w:t>
      </w:r>
      <w:r w:rsidR="00436D72" w:rsidRPr="00031A5F">
        <w:rPr>
          <w:szCs w:val="24"/>
          <w:lang w:val="es-ES_tradnl"/>
        </w:rPr>
        <w:t>abióticos</w:t>
      </w:r>
      <w:r>
        <w:rPr>
          <w:szCs w:val="24"/>
          <w:lang w:val="es-ES_tradnl"/>
        </w:rPr>
        <w:t xml:space="preserve"> </w:t>
      </w:r>
      <w:r w:rsidR="00436D72" w:rsidRPr="00031A5F">
        <w:rPr>
          <w:szCs w:val="24"/>
          <w:lang w:val="es-ES_tradnl"/>
        </w:rPr>
        <w:t>influenciados</w:t>
      </w:r>
      <w:r>
        <w:rPr>
          <w:szCs w:val="24"/>
          <w:lang w:val="es-ES_tradnl"/>
        </w:rPr>
        <w:t xml:space="preserve"> </w:t>
      </w:r>
      <w:r w:rsidR="00436D72" w:rsidRPr="00031A5F">
        <w:rPr>
          <w:szCs w:val="24"/>
          <w:lang w:val="es-ES_tradnl"/>
        </w:rPr>
        <w:t>por</w:t>
      </w:r>
      <w:r>
        <w:rPr>
          <w:szCs w:val="24"/>
          <w:lang w:val="es-ES_tradnl"/>
        </w:rPr>
        <w:t xml:space="preserve"> </w:t>
      </w:r>
      <w:r w:rsidR="00436D72" w:rsidRPr="00031A5F">
        <w:rPr>
          <w:szCs w:val="24"/>
          <w:lang w:val="es-ES_tradnl"/>
        </w:rPr>
        <w:t>el</w:t>
      </w:r>
      <w:r>
        <w:rPr>
          <w:szCs w:val="24"/>
          <w:lang w:val="es-ES_tradnl"/>
        </w:rPr>
        <w:t xml:space="preserve"> </w:t>
      </w:r>
      <w:r w:rsidR="00436D72" w:rsidRPr="00031A5F">
        <w:rPr>
          <w:szCs w:val="24"/>
          <w:lang w:val="es-ES_tradnl"/>
        </w:rPr>
        <w:t>cambio</w:t>
      </w:r>
      <w:r>
        <w:rPr>
          <w:szCs w:val="24"/>
          <w:lang w:val="es-ES_tradnl"/>
        </w:rPr>
        <w:t xml:space="preserve"> </w:t>
      </w:r>
      <w:r w:rsidR="00436D72" w:rsidRPr="00031A5F">
        <w:rPr>
          <w:szCs w:val="24"/>
          <w:lang w:val="es-ES_tradnl"/>
        </w:rPr>
        <w:t>climático.</w:t>
      </w:r>
    </w:p>
    <w:p w14:paraId="0034A2E5" w14:textId="77777777" w:rsidR="005C2070" w:rsidRDefault="005C2070" w:rsidP="005C2070">
      <w:pPr>
        <w:pStyle w:val="BodyText"/>
        <w:spacing w:line="276" w:lineRule="auto"/>
        <w:outlineLvl w:val="0"/>
        <w:rPr>
          <w:b/>
          <w:bCs/>
          <w:szCs w:val="24"/>
          <w:lang w:val="es-ES_tradnl"/>
        </w:rPr>
      </w:pPr>
    </w:p>
    <w:p w14:paraId="7E59E8D1" w14:textId="5B6CC333" w:rsidR="00436D72" w:rsidRPr="005C2070" w:rsidRDefault="005C2070" w:rsidP="005C2070">
      <w:pPr>
        <w:pStyle w:val="BodyText"/>
        <w:spacing w:line="276" w:lineRule="auto"/>
        <w:outlineLvl w:val="0"/>
        <w:rPr>
          <w:b/>
          <w:bCs/>
          <w:szCs w:val="24"/>
          <w:lang w:val="es-ES_tradnl"/>
        </w:rPr>
      </w:pPr>
      <w:r w:rsidRPr="005C2070">
        <w:rPr>
          <w:b/>
          <w:bCs/>
          <w:szCs w:val="24"/>
          <w:lang w:val="es-ES_tradnl"/>
        </w:rPr>
        <w:t>3.</w:t>
      </w:r>
      <w:r w:rsidR="00D136BB">
        <w:rPr>
          <w:b/>
          <w:bCs/>
          <w:szCs w:val="24"/>
          <w:lang w:val="es-ES_tradnl"/>
        </w:rPr>
        <w:t xml:space="preserve"> </w:t>
      </w:r>
      <w:r w:rsidR="00436D72" w:rsidRPr="005C2070">
        <w:rPr>
          <w:b/>
          <w:bCs/>
          <w:szCs w:val="24"/>
          <w:lang w:val="es-ES_tradnl"/>
        </w:rPr>
        <w:t>Amenazas</w:t>
      </w:r>
      <w:r w:rsidR="00D136BB">
        <w:rPr>
          <w:b/>
          <w:bCs/>
          <w:szCs w:val="24"/>
          <w:lang w:val="es-ES_tradnl"/>
        </w:rPr>
        <w:t xml:space="preserve"> </w:t>
      </w:r>
    </w:p>
    <w:p w14:paraId="5A459645" w14:textId="568EB0F2" w:rsidR="006843D0" w:rsidRPr="00031A5F" w:rsidRDefault="00436D72" w:rsidP="00BE3BCB">
      <w:pPr>
        <w:pStyle w:val="BodyText"/>
        <w:numPr>
          <w:ilvl w:val="0"/>
          <w:numId w:val="46"/>
        </w:numPr>
        <w:spacing w:after="0" w:line="276" w:lineRule="auto"/>
        <w:ind w:left="284"/>
        <w:outlineLvl w:val="0"/>
        <w:rPr>
          <w:b/>
          <w:bCs/>
          <w:szCs w:val="24"/>
          <w:lang w:val="es-ES_tradnl"/>
        </w:rPr>
      </w:pPr>
      <w:r w:rsidRPr="00031A5F">
        <w:rPr>
          <w:szCs w:val="24"/>
          <w:lang w:val="es-ES_tradnl"/>
        </w:rPr>
        <w:t>Introducción</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expansión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plagas</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enfermedades</w:t>
      </w:r>
      <w:r w:rsidR="00D136BB">
        <w:rPr>
          <w:szCs w:val="24"/>
          <w:lang w:val="es-ES_tradnl"/>
        </w:rPr>
        <w:t xml:space="preserve"> </w:t>
      </w:r>
      <w:r w:rsidRPr="00031A5F">
        <w:rPr>
          <w:szCs w:val="24"/>
          <w:lang w:val="es-ES_tradnl"/>
        </w:rPr>
        <w:t>no</w:t>
      </w:r>
      <w:r w:rsidR="00D136BB">
        <w:rPr>
          <w:szCs w:val="24"/>
          <w:lang w:val="es-ES_tradnl"/>
        </w:rPr>
        <w:t xml:space="preserve"> </w:t>
      </w:r>
      <w:r w:rsidRPr="00031A5F">
        <w:rPr>
          <w:szCs w:val="24"/>
          <w:lang w:val="es-ES_tradnl"/>
        </w:rPr>
        <w:t>nativas</w:t>
      </w:r>
      <w:r w:rsidR="00D136BB">
        <w:rPr>
          <w:szCs w:val="24"/>
          <w:lang w:val="es-ES_tradnl"/>
        </w:rPr>
        <w:t xml:space="preserve"> </w:t>
      </w:r>
      <w:r w:rsidRPr="00031A5F">
        <w:rPr>
          <w:szCs w:val="24"/>
          <w:lang w:val="es-ES_tradnl"/>
        </w:rPr>
        <w:t>o</w:t>
      </w:r>
      <w:r w:rsidR="00D136BB">
        <w:rPr>
          <w:szCs w:val="24"/>
          <w:lang w:val="es-ES_tradnl"/>
        </w:rPr>
        <w:t xml:space="preserve"> </w:t>
      </w:r>
      <w:r w:rsidRPr="00031A5F">
        <w:rPr>
          <w:szCs w:val="24"/>
          <w:lang w:val="es-ES_tradnl"/>
        </w:rPr>
        <w:t>endémicas</w:t>
      </w:r>
      <w:r w:rsidR="00D136BB">
        <w:rPr>
          <w:szCs w:val="24"/>
          <w:lang w:val="es-ES_tradnl"/>
        </w:rPr>
        <w:t xml:space="preserve"> </w:t>
      </w:r>
      <w:r w:rsidRPr="00031A5F">
        <w:rPr>
          <w:szCs w:val="24"/>
          <w:lang w:val="es-ES_tradnl"/>
        </w:rPr>
        <w:t>emergentes</w:t>
      </w:r>
      <w:r w:rsidR="00D136BB">
        <w:rPr>
          <w:szCs w:val="24"/>
          <w:lang w:val="es-ES_tradnl"/>
        </w:rPr>
        <w:t xml:space="preserve"> </w:t>
      </w:r>
      <w:r w:rsidRPr="00031A5F">
        <w:rPr>
          <w:szCs w:val="24"/>
          <w:lang w:val="es-ES_tradnl"/>
        </w:rPr>
        <w:t>y</w:t>
      </w:r>
      <w:r w:rsidR="00D136BB">
        <w:rPr>
          <w:szCs w:val="24"/>
          <w:lang w:val="es-ES_tradnl"/>
        </w:rPr>
        <w:t xml:space="preserve"> </w:t>
      </w:r>
      <w:r w:rsidR="00627A67" w:rsidRPr="00031A5F">
        <w:rPr>
          <w:szCs w:val="24"/>
          <w:lang w:val="es-ES_tradnl"/>
        </w:rPr>
        <w:t>reemergentes</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región,</w:t>
      </w:r>
      <w:r w:rsidR="00D136BB">
        <w:rPr>
          <w:szCs w:val="24"/>
          <w:lang w:val="es-ES_tradnl"/>
        </w:rPr>
        <w:t xml:space="preserve"> </w:t>
      </w:r>
      <w:r w:rsidRPr="00031A5F">
        <w:rPr>
          <w:szCs w:val="24"/>
          <w:lang w:val="es-ES_tradnl"/>
        </w:rPr>
        <w:t>lo</w:t>
      </w:r>
      <w:r w:rsidR="00D136BB">
        <w:rPr>
          <w:szCs w:val="24"/>
          <w:lang w:val="es-ES_tradnl"/>
        </w:rPr>
        <w:t xml:space="preserve"> </w:t>
      </w:r>
      <w:r w:rsidRPr="00031A5F">
        <w:rPr>
          <w:szCs w:val="24"/>
          <w:lang w:val="es-ES_tradnl"/>
        </w:rPr>
        <w:t>que</w:t>
      </w:r>
      <w:r w:rsidR="00D136BB">
        <w:rPr>
          <w:szCs w:val="24"/>
          <w:lang w:val="es-ES_tradnl"/>
        </w:rPr>
        <w:t xml:space="preserve"> </w:t>
      </w:r>
      <w:r w:rsidRPr="00031A5F">
        <w:rPr>
          <w:szCs w:val="24"/>
          <w:lang w:val="es-ES_tradnl"/>
        </w:rPr>
        <w:t>conlleva</w:t>
      </w:r>
      <w:r w:rsidR="00D136BB">
        <w:rPr>
          <w:szCs w:val="24"/>
          <w:lang w:val="es-ES_tradnl"/>
        </w:rPr>
        <w:t xml:space="preserve"> </w:t>
      </w:r>
      <w:r w:rsidRPr="00031A5F">
        <w:rPr>
          <w:szCs w:val="24"/>
          <w:lang w:val="es-ES_tradnl"/>
        </w:rPr>
        <w:t>al</w:t>
      </w:r>
      <w:r w:rsidR="00D136BB">
        <w:rPr>
          <w:szCs w:val="24"/>
          <w:lang w:val="es-ES_tradnl"/>
        </w:rPr>
        <w:t xml:space="preserve"> </w:t>
      </w:r>
      <w:r w:rsidRPr="00031A5F">
        <w:rPr>
          <w:szCs w:val="24"/>
          <w:lang w:val="es-ES_tradnl"/>
        </w:rPr>
        <w:t>uso</w:t>
      </w:r>
      <w:r w:rsidR="00D136BB">
        <w:rPr>
          <w:szCs w:val="24"/>
          <w:lang w:val="es-ES_tradnl"/>
        </w:rPr>
        <w:t xml:space="preserve"> </w:t>
      </w:r>
      <w:r w:rsidRPr="00031A5F">
        <w:rPr>
          <w:szCs w:val="24"/>
          <w:lang w:val="es-ES_tradnl"/>
        </w:rPr>
        <w:t>excesivo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pesticidas</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aliviar</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control.</w:t>
      </w:r>
      <w:r w:rsidR="00D136BB">
        <w:rPr>
          <w:szCs w:val="24"/>
          <w:lang w:val="es-ES_tradnl"/>
        </w:rPr>
        <w:t xml:space="preserve"> </w:t>
      </w:r>
      <w:r w:rsidRPr="00031A5F">
        <w:rPr>
          <w:szCs w:val="24"/>
          <w:lang w:val="es-ES_tradnl"/>
        </w:rPr>
        <w:t>Por</w:t>
      </w:r>
      <w:r w:rsidR="00D136BB">
        <w:rPr>
          <w:szCs w:val="24"/>
          <w:lang w:val="es-ES_tradnl"/>
        </w:rPr>
        <w:t xml:space="preserve"> </w:t>
      </w:r>
      <w:r w:rsidRPr="00031A5F">
        <w:rPr>
          <w:szCs w:val="24"/>
          <w:lang w:val="es-ES_tradnl"/>
        </w:rPr>
        <w:t>ejemplo,</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lastRenderedPageBreak/>
        <w:t>surgimiento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una</w:t>
      </w:r>
      <w:r w:rsidR="00D136BB">
        <w:rPr>
          <w:szCs w:val="24"/>
          <w:lang w:val="es-ES_tradnl"/>
        </w:rPr>
        <w:t xml:space="preserve"> </w:t>
      </w:r>
      <w:r w:rsidRPr="00031A5F">
        <w:rPr>
          <w:szCs w:val="24"/>
          <w:lang w:val="es-ES_tradnl"/>
        </w:rPr>
        <w:t>nueva</w:t>
      </w:r>
      <w:r w:rsidR="00D136BB">
        <w:rPr>
          <w:szCs w:val="24"/>
          <w:lang w:val="es-ES_tradnl"/>
        </w:rPr>
        <w:t xml:space="preserve"> </w:t>
      </w:r>
      <w:r w:rsidRPr="00031A5F">
        <w:rPr>
          <w:szCs w:val="24"/>
          <w:lang w:val="es-ES_tradnl"/>
        </w:rPr>
        <w:t>plaga</w:t>
      </w:r>
      <w:r w:rsidR="00D136BB">
        <w:rPr>
          <w:szCs w:val="24"/>
          <w:lang w:val="es-ES_tradnl"/>
        </w:rPr>
        <w:t xml:space="preserve"> </w:t>
      </w:r>
      <w:r w:rsidRPr="00031A5F">
        <w:rPr>
          <w:szCs w:val="24"/>
          <w:lang w:val="es-ES_tradnl"/>
        </w:rPr>
        <w:t>(</w:t>
      </w:r>
      <w:r w:rsidRPr="004C118A">
        <w:rPr>
          <w:i/>
          <w:iCs/>
          <w:szCs w:val="24"/>
          <w:lang w:val="es-ES_tradnl"/>
        </w:rPr>
        <w:t>Lobesia</w:t>
      </w:r>
      <w:r w:rsidR="00D136BB">
        <w:rPr>
          <w:i/>
          <w:iCs/>
          <w:szCs w:val="24"/>
          <w:lang w:val="es-ES_tradnl"/>
        </w:rPr>
        <w:t xml:space="preserve"> </w:t>
      </w:r>
      <w:r w:rsidRPr="004C118A">
        <w:rPr>
          <w:i/>
          <w:iCs/>
          <w:szCs w:val="24"/>
          <w:lang w:val="es-ES_tradnl"/>
        </w:rPr>
        <w:t>botrana</w:t>
      </w:r>
      <w:r w:rsidRPr="00031A5F">
        <w:rPr>
          <w:szCs w:val="24"/>
          <w:lang w:val="es-ES_tradnl"/>
        </w:rPr>
        <w:t>)</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frutos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vid</w:t>
      </w:r>
      <w:r w:rsidR="00D136BB">
        <w:rPr>
          <w:szCs w:val="24"/>
          <w:lang w:val="es-ES_tradnl"/>
        </w:rPr>
        <w:t xml:space="preserve"> </w:t>
      </w:r>
      <w:r w:rsidRPr="00031A5F">
        <w:rPr>
          <w:szCs w:val="24"/>
          <w:lang w:val="es-ES_tradnl"/>
        </w:rPr>
        <w:t>detectada</w:t>
      </w:r>
      <w:r w:rsidR="00D136BB">
        <w:rPr>
          <w:szCs w:val="24"/>
          <w:lang w:val="es-ES_tradnl"/>
        </w:rPr>
        <w:t xml:space="preserve"> </w:t>
      </w:r>
      <w:r w:rsidRPr="00031A5F">
        <w:rPr>
          <w:szCs w:val="24"/>
          <w:lang w:val="es-ES_tradnl"/>
        </w:rPr>
        <w:t>recientemente</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Chile</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Argentina,</w:t>
      </w:r>
      <w:r w:rsidR="00D136BB">
        <w:rPr>
          <w:szCs w:val="24"/>
          <w:lang w:val="es-ES_tradnl"/>
        </w:rPr>
        <w:t xml:space="preserve"> </w:t>
      </w:r>
      <w:r w:rsidRPr="00031A5F">
        <w:rPr>
          <w:szCs w:val="24"/>
          <w:lang w:val="es-ES_tradnl"/>
        </w:rPr>
        <w:t>con</w:t>
      </w:r>
      <w:r w:rsidR="00D136BB">
        <w:rPr>
          <w:szCs w:val="24"/>
          <w:lang w:val="es-ES_tradnl"/>
        </w:rPr>
        <w:t xml:space="preserve"> </w:t>
      </w:r>
      <w:r w:rsidRPr="00031A5F">
        <w:rPr>
          <w:szCs w:val="24"/>
          <w:lang w:val="es-ES_tradnl"/>
        </w:rPr>
        <w:t>alto</w:t>
      </w:r>
      <w:r w:rsidR="00D136BB">
        <w:rPr>
          <w:szCs w:val="24"/>
          <w:lang w:val="es-ES_tradnl"/>
        </w:rPr>
        <w:t xml:space="preserve"> </w:t>
      </w:r>
      <w:r w:rsidRPr="00031A5F">
        <w:rPr>
          <w:szCs w:val="24"/>
          <w:lang w:val="es-ES_tradnl"/>
        </w:rPr>
        <w:t>riesgo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expandirse</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área</w:t>
      </w:r>
      <w:r w:rsidR="00D136BB">
        <w:rPr>
          <w:szCs w:val="24"/>
          <w:lang w:val="es-ES_tradnl"/>
        </w:rPr>
        <w:t xml:space="preserve"> </w:t>
      </w:r>
      <w:r w:rsidRPr="00031A5F">
        <w:rPr>
          <w:szCs w:val="24"/>
          <w:lang w:val="es-ES_tradnl"/>
        </w:rPr>
        <w:t>productora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vid</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Uruguay,</w:t>
      </w:r>
      <w:r w:rsidR="00D136BB">
        <w:rPr>
          <w:szCs w:val="24"/>
          <w:lang w:val="es-ES_tradnl"/>
        </w:rPr>
        <w:t xml:space="preserve"> </w:t>
      </w:r>
      <w:r w:rsidRPr="00031A5F">
        <w:rPr>
          <w:szCs w:val="24"/>
          <w:lang w:val="es-ES_tradnl"/>
        </w:rPr>
        <w:t>Paraguay,</w:t>
      </w:r>
      <w:r w:rsidR="00D136BB">
        <w:rPr>
          <w:szCs w:val="24"/>
          <w:lang w:val="es-ES_tradnl"/>
        </w:rPr>
        <w:t xml:space="preserve"> </w:t>
      </w:r>
      <w:r w:rsidRPr="00031A5F">
        <w:rPr>
          <w:szCs w:val="24"/>
          <w:lang w:val="es-ES_tradnl"/>
        </w:rPr>
        <w:t>Brasil,</w:t>
      </w:r>
      <w:r w:rsidR="00D136BB">
        <w:rPr>
          <w:szCs w:val="24"/>
          <w:lang w:val="es-ES_tradnl"/>
        </w:rPr>
        <w:t xml:space="preserve"> </w:t>
      </w:r>
      <w:r w:rsidRPr="00031A5F">
        <w:rPr>
          <w:szCs w:val="24"/>
          <w:lang w:val="es-ES_tradnl"/>
        </w:rPr>
        <w:t>Bolivia</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Perú,</w:t>
      </w:r>
      <w:r w:rsidR="00D136BB">
        <w:rPr>
          <w:szCs w:val="24"/>
          <w:lang w:val="es-ES_tradnl"/>
        </w:rPr>
        <w:t xml:space="preserve"> </w:t>
      </w:r>
      <w:r w:rsidRPr="00031A5F">
        <w:rPr>
          <w:szCs w:val="24"/>
          <w:lang w:val="es-ES_tradnl"/>
        </w:rPr>
        <w:t>afectando</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producción</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comercio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fruta</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industria</w:t>
      </w:r>
      <w:r w:rsidR="00D136BB">
        <w:rPr>
          <w:szCs w:val="24"/>
          <w:lang w:val="es-ES_tradnl"/>
        </w:rPr>
        <w:t xml:space="preserve"> </w:t>
      </w:r>
      <w:r w:rsidRPr="00031A5F">
        <w:rPr>
          <w:szCs w:val="24"/>
          <w:lang w:val="es-ES_tradnl"/>
        </w:rPr>
        <w:t>vitivinícola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Sudamérica</w:t>
      </w:r>
      <w:r w:rsidR="006843D0" w:rsidRPr="00031A5F">
        <w:rPr>
          <w:b/>
          <w:bCs/>
          <w:szCs w:val="24"/>
          <w:lang w:val="es-ES_tradnl"/>
        </w:rPr>
        <w:t>.</w:t>
      </w:r>
    </w:p>
    <w:p w14:paraId="3AA2BABF" w14:textId="77777777" w:rsidR="006843D0" w:rsidRPr="00031A5F" w:rsidRDefault="006843D0" w:rsidP="006843D0">
      <w:pPr>
        <w:pStyle w:val="BodyText"/>
        <w:spacing w:after="0" w:line="276" w:lineRule="auto"/>
        <w:ind w:left="284"/>
        <w:outlineLvl w:val="0"/>
        <w:rPr>
          <w:b/>
          <w:bCs/>
          <w:szCs w:val="24"/>
          <w:lang w:val="es-ES_tradnl"/>
        </w:rPr>
      </w:pPr>
    </w:p>
    <w:p w14:paraId="0FE2F786" w14:textId="6F004E57" w:rsidR="006843D0" w:rsidRPr="00031A5F" w:rsidRDefault="00436D72" w:rsidP="00BE3BCB">
      <w:pPr>
        <w:pStyle w:val="BodyText"/>
        <w:numPr>
          <w:ilvl w:val="0"/>
          <w:numId w:val="46"/>
        </w:numPr>
        <w:spacing w:after="0" w:line="276" w:lineRule="auto"/>
        <w:ind w:left="284"/>
        <w:outlineLvl w:val="0"/>
        <w:rPr>
          <w:b/>
          <w:bCs/>
          <w:szCs w:val="24"/>
          <w:lang w:val="es-ES_tradnl"/>
        </w:rPr>
      </w:pPr>
      <w:r w:rsidRPr="00031A5F">
        <w:rPr>
          <w:szCs w:val="24"/>
          <w:lang w:val="es-ES_tradnl"/>
        </w:rPr>
        <w:t>Reducción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las</w:t>
      </w:r>
      <w:r w:rsidR="00D136BB">
        <w:rPr>
          <w:szCs w:val="24"/>
          <w:lang w:val="es-ES_tradnl"/>
        </w:rPr>
        <w:t xml:space="preserve"> </w:t>
      </w:r>
      <w:r w:rsidRPr="00031A5F">
        <w:rPr>
          <w:szCs w:val="24"/>
          <w:lang w:val="es-ES_tradnl"/>
        </w:rPr>
        <w:t>tierras</w:t>
      </w:r>
      <w:r w:rsidR="00D136BB">
        <w:rPr>
          <w:szCs w:val="24"/>
          <w:lang w:val="es-ES_tradnl"/>
        </w:rPr>
        <w:t xml:space="preserve"> </w:t>
      </w:r>
      <w:r w:rsidRPr="00031A5F">
        <w:rPr>
          <w:szCs w:val="24"/>
          <w:lang w:val="es-ES_tradnl"/>
        </w:rPr>
        <w:t>cultivables</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producción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alimentos</w:t>
      </w:r>
      <w:r w:rsidR="00D136BB">
        <w:rPr>
          <w:szCs w:val="24"/>
          <w:lang w:val="es-ES_tradnl"/>
        </w:rPr>
        <w:t xml:space="preserve"> </w:t>
      </w:r>
      <w:r w:rsidRPr="00031A5F">
        <w:rPr>
          <w:szCs w:val="24"/>
          <w:lang w:val="es-ES_tradnl"/>
        </w:rPr>
        <w:t>básicos,</w:t>
      </w:r>
      <w:r w:rsidR="00D136BB">
        <w:rPr>
          <w:szCs w:val="24"/>
          <w:lang w:val="es-ES_tradnl"/>
        </w:rPr>
        <w:t xml:space="preserve"> </w:t>
      </w:r>
      <w:r w:rsidR="00654AF8">
        <w:rPr>
          <w:szCs w:val="24"/>
          <w:lang w:val="es-ES_tradnl"/>
        </w:rPr>
        <w:t>por</w:t>
      </w:r>
      <w:r w:rsidR="00D136BB">
        <w:rPr>
          <w:szCs w:val="24"/>
          <w:lang w:val="es-ES_tradnl"/>
        </w:rPr>
        <w:t xml:space="preserve"> </w:t>
      </w:r>
      <w:r w:rsidR="00654AF8">
        <w:rPr>
          <w:szCs w:val="24"/>
          <w:lang w:val="es-ES_tradnl"/>
        </w:rPr>
        <w:t>el</w:t>
      </w:r>
      <w:r w:rsidR="00D136BB">
        <w:rPr>
          <w:szCs w:val="24"/>
          <w:lang w:val="es-ES_tradnl"/>
        </w:rPr>
        <w:t xml:space="preserve"> </w:t>
      </w:r>
      <w:r w:rsidR="00654AF8">
        <w:rPr>
          <w:szCs w:val="24"/>
          <w:lang w:val="es-ES_tradnl"/>
        </w:rPr>
        <w:t>crecimiento</w:t>
      </w:r>
      <w:r w:rsidR="00D136BB">
        <w:rPr>
          <w:szCs w:val="24"/>
          <w:lang w:val="es-ES_tradnl"/>
        </w:rPr>
        <w:t xml:space="preserve"> </w:t>
      </w:r>
      <w:r w:rsidR="00654AF8">
        <w:rPr>
          <w:szCs w:val="24"/>
          <w:lang w:val="es-ES_tradnl"/>
        </w:rPr>
        <w:t>de</w:t>
      </w:r>
      <w:r w:rsidR="00D136BB">
        <w:rPr>
          <w:szCs w:val="24"/>
          <w:lang w:val="es-ES_tradnl"/>
        </w:rPr>
        <w:t xml:space="preserve"> </w:t>
      </w:r>
      <w:r w:rsidR="00654AF8">
        <w:rPr>
          <w:szCs w:val="24"/>
          <w:lang w:val="es-ES_tradnl"/>
        </w:rPr>
        <w:t>cultivos</w:t>
      </w:r>
      <w:r w:rsidR="00D136BB">
        <w:rPr>
          <w:szCs w:val="24"/>
          <w:lang w:val="es-ES_tradnl"/>
        </w:rPr>
        <w:t xml:space="preserve"> </w:t>
      </w:r>
      <w:r w:rsidR="00654AF8">
        <w:rPr>
          <w:szCs w:val="24"/>
          <w:lang w:val="es-ES_tradnl"/>
        </w:rPr>
        <w:t>para</w:t>
      </w:r>
      <w:r w:rsidR="00D136BB">
        <w:rPr>
          <w:szCs w:val="24"/>
          <w:lang w:val="es-ES_tradnl"/>
        </w:rPr>
        <w:t xml:space="preserve"> </w:t>
      </w:r>
      <w:r w:rsidRPr="00031A5F">
        <w:rPr>
          <w:szCs w:val="24"/>
          <w:lang w:val="es-ES_tradnl"/>
        </w:rPr>
        <w:t>uso</w:t>
      </w:r>
      <w:r w:rsidR="00D136BB">
        <w:rPr>
          <w:szCs w:val="24"/>
          <w:lang w:val="es-ES_tradnl"/>
        </w:rPr>
        <w:t xml:space="preserve"> </w:t>
      </w:r>
      <w:r w:rsidRPr="00031A5F">
        <w:rPr>
          <w:szCs w:val="24"/>
          <w:lang w:val="es-ES_tradnl"/>
        </w:rPr>
        <w:t>industrial.</w:t>
      </w:r>
      <w:r w:rsidR="00D136BB">
        <w:rPr>
          <w:szCs w:val="24"/>
          <w:lang w:val="es-ES_tradnl"/>
        </w:rPr>
        <w:t xml:space="preserve">  </w:t>
      </w:r>
      <w:r w:rsidRPr="00031A5F">
        <w:rPr>
          <w:szCs w:val="24"/>
          <w:lang w:val="es-ES_tradnl"/>
        </w:rPr>
        <w:t>(soya,</w:t>
      </w:r>
      <w:r w:rsidR="00D136BB">
        <w:rPr>
          <w:szCs w:val="24"/>
          <w:lang w:val="es-ES_tradnl"/>
        </w:rPr>
        <w:t xml:space="preserve"> </w:t>
      </w:r>
      <w:r w:rsidRPr="00031A5F">
        <w:rPr>
          <w:szCs w:val="24"/>
          <w:lang w:val="es-ES_tradnl"/>
        </w:rPr>
        <w:t>maíz,</w:t>
      </w:r>
      <w:r w:rsidR="00D136BB">
        <w:rPr>
          <w:szCs w:val="24"/>
          <w:lang w:val="es-ES_tradnl"/>
        </w:rPr>
        <w:t xml:space="preserve"> </w:t>
      </w:r>
      <w:r w:rsidRPr="00031A5F">
        <w:rPr>
          <w:szCs w:val="24"/>
          <w:lang w:val="es-ES_tradnl"/>
        </w:rPr>
        <w:t>azúcar</w:t>
      </w:r>
      <w:r w:rsidR="00D136BB">
        <w:rPr>
          <w:szCs w:val="24"/>
          <w:lang w:val="es-ES_tradnl"/>
        </w:rPr>
        <w:t xml:space="preserve"> </w:t>
      </w:r>
      <w:r w:rsidRPr="00031A5F">
        <w:rPr>
          <w:szCs w:val="24"/>
          <w:lang w:val="es-ES_tradnl"/>
        </w:rPr>
        <w:t>equivalente</w:t>
      </w:r>
      <w:r w:rsidR="00627A67" w:rsidRPr="00031A5F">
        <w:rPr>
          <w:szCs w:val="24"/>
          <w:lang w:val="es-ES_tradnl"/>
        </w:rPr>
        <w:t>,</w:t>
      </w:r>
      <w:r w:rsidR="00D136BB">
        <w:rPr>
          <w:szCs w:val="24"/>
          <w:lang w:val="es-ES_tradnl"/>
        </w:rPr>
        <w:t xml:space="preserve"> </w:t>
      </w:r>
      <w:r w:rsidR="00627A67" w:rsidRPr="00031A5F">
        <w:rPr>
          <w:szCs w:val="24"/>
          <w:lang w:val="es-ES_tradnl"/>
        </w:rPr>
        <w:t>etc.</w:t>
      </w:r>
      <w:r w:rsidRPr="00031A5F">
        <w:rPr>
          <w:szCs w:val="24"/>
          <w:lang w:val="es-ES_tradnl"/>
        </w:rPr>
        <w:t>).</w:t>
      </w:r>
    </w:p>
    <w:p w14:paraId="113E83C2" w14:textId="77777777" w:rsidR="00627A67" w:rsidRPr="00031A5F" w:rsidRDefault="00627A67" w:rsidP="00627A67">
      <w:pPr>
        <w:pStyle w:val="BodyText"/>
        <w:spacing w:after="0" w:line="276" w:lineRule="auto"/>
        <w:outlineLvl w:val="0"/>
        <w:rPr>
          <w:b/>
          <w:bCs/>
          <w:szCs w:val="24"/>
          <w:lang w:val="es-ES_tradnl"/>
        </w:rPr>
      </w:pPr>
    </w:p>
    <w:p w14:paraId="2651662C" w14:textId="3A4F6761" w:rsidR="006843D0" w:rsidRPr="00031A5F" w:rsidRDefault="00436D72" w:rsidP="00BE3BCB">
      <w:pPr>
        <w:pStyle w:val="BodyText"/>
        <w:numPr>
          <w:ilvl w:val="0"/>
          <w:numId w:val="46"/>
        </w:numPr>
        <w:spacing w:after="0" w:line="276" w:lineRule="auto"/>
        <w:ind w:left="284"/>
        <w:outlineLvl w:val="0"/>
        <w:rPr>
          <w:b/>
          <w:bCs/>
          <w:szCs w:val="24"/>
          <w:lang w:val="es-ES_tradnl"/>
        </w:rPr>
      </w:pPr>
      <w:r w:rsidRPr="00031A5F">
        <w:rPr>
          <w:szCs w:val="24"/>
          <w:lang w:val="es-ES_tradnl"/>
        </w:rPr>
        <w:t>Existencia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barreras</w:t>
      </w:r>
      <w:r w:rsidR="00D136BB">
        <w:rPr>
          <w:szCs w:val="24"/>
          <w:lang w:val="es-ES_tradnl"/>
        </w:rPr>
        <w:t xml:space="preserve"> </w:t>
      </w:r>
      <w:r w:rsidRPr="00031A5F">
        <w:rPr>
          <w:szCs w:val="24"/>
          <w:lang w:val="es-ES_tradnl"/>
        </w:rPr>
        <w:t>no</w:t>
      </w:r>
      <w:r w:rsidR="00D136BB">
        <w:rPr>
          <w:szCs w:val="24"/>
          <w:lang w:val="es-ES_tradnl"/>
        </w:rPr>
        <w:t xml:space="preserve"> </w:t>
      </w:r>
      <w:r w:rsidRPr="00031A5F">
        <w:rPr>
          <w:szCs w:val="24"/>
          <w:lang w:val="es-ES_tradnl"/>
        </w:rPr>
        <w:t>arancelarias</w:t>
      </w:r>
      <w:r w:rsidR="00D136BB">
        <w:rPr>
          <w:szCs w:val="24"/>
          <w:lang w:val="es-ES_tradnl"/>
        </w:rPr>
        <w:t xml:space="preserve"> </w:t>
      </w:r>
      <w:r w:rsidRPr="00031A5F">
        <w:rPr>
          <w:szCs w:val="24"/>
          <w:lang w:val="es-ES_tradnl"/>
        </w:rPr>
        <w:t>a</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productos</w:t>
      </w:r>
      <w:r w:rsidR="00D136BB">
        <w:rPr>
          <w:szCs w:val="24"/>
          <w:lang w:val="es-ES_tradnl"/>
        </w:rPr>
        <w:t xml:space="preserve"> </w:t>
      </w:r>
      <w:r w:rsidRPr="00031A5F">
        <w:rPr>
          <w:szCs w:val="24"/>
          <w:lang w:val="es-ES_tradnl"/>
        </w:rPr>
        <w:t>agropecuarios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región.</w:t>
      </w:r>
      <w:r w:rsidR="006843D0" w:rsidRPr="00031A5F">
        <w:rPr>
          <w:b/>
          <w:bCs/>
          <w:szCs w:val="24"/>
          <w:lang w:val="es-ES_tradnl"/>
        </w:rPr>
        <w:br/>
      </w:r>
    </w:p>
    <w:p w14:paraId="1BC95E68" w14:textId="305DCF1F" w:rsidR="00436D72" w:rsidRPr="00031A5F" w:rsidRDefault="00436D72" w:rsidP="00BE3BCB">
      <w:pPr>
        <w:pStyle w:val="BodyText"/>
        <w:numPr>
          <w:ilvl w:val="0"/>
          <w:numId w:val="46"/>
        </w:numPr>
        <w:spacing w:after="0" w:line="276" w:lineRule="auto"/>
        <w:ind w:left="284"/>
        <w:outlineLvl w:val="0"/>
        <w:rPr>
          <w:b/>
          <w:bCs/>
          <w:szCs w:val="24"/>
          <w:lang w:val="es-ES_tradnl"/>
        </w:rPr>
      </w:pPr>
      <w:r w:rsidRPr="00031A5F">
        <w:rPr>
          <w:szCs w:val="24"/>
          <w:lang w:val="es-ES_tradnl"/>
        </w:rPr>
        <w:t>Reducción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productividad</w:t>
      </w:r>
      <w:r w:rsidR="00D136BB">
        <w:rPr>
          <w:szCs w:val="24"/>
          <w:lang w:val="es-ES_tradnl"/>
        </w:rPr>
        <w:t xml:space="preserve"> </w:t>
      </w:r>
      <w:r w:rsidRPr="00031A5F">
        <w:rPr>
          <w:szCs w:val="24"/>
          <w:lang w:val="es-ES_tradnl"/>
        </w:rPr>
        <w:t>agropecuaria</w:t>
      </w:r>
      <w:r w:rsidR="00D136BB">
        <w:rPr>
          <w:szCs w:val="24"/>
          <w:lang w:val="es-ES_tradnl"/>
        </w:rPr>
        <w:t xml:space="preserve"> </w:t>
      </w:r>
      <w:r w:rsidRPr="00031A5F">
        <w:rPr>
          <w:szCs w:val="24"/>
          <w:lang w:val="es-ES_tradnl"/>
        </w:rPr>
        <w:t>por</w:t>
      </w:r>
      <w:r w:rsidR="00D136BB">
        <w:rPr>
          <w:szCs w:val="24"/>
          <w:lang w:val="es-ES_tradnl"/>
        </w:rPr>
        <w:t xml:space="preserve"> </w:t>
      </w:r>
      <w:r w:rsidRPr="00031A5F">
        <w:rPr>
          <w:szCs w:val="24"/>
          <w:lang w:val="es-ES_tradnl"/>
        </w:rPr>
        <w:t>efecto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cambios</w:t>
      </w:r>
      <w:r w:rsidR="00D136BB">
        <w:rPr>
          <w:szCs w:val="24"/>
          <w:lang w:val="es-ES_tradnl"/>
        </w:rPr>
        <w:t xml:space="preserve"> </w:t>
      </w:r>
      <w:r w:rsidRPr="00031A5F">
        <w:rPr>
          <w:szCs w:val="24"/>
          <w:lang w:val="es-ES_tradnl"/>
        </w:rPr>
        <w:t>climáticos</w:t>
      </w:r>
      <w:r w:rsidR="00D136BB">
        <w:rPr>
          <w:szCs w:val="24"/>
          <w:lang w:val="es-ES_tradnl"/>
        </w:rPr>
        <w:t xml:space="preserve"> </w:t>
      </w:r>
      <w:r w:rsidRPr="00031A5F">
        <w:rPr>
          <w:szCs w:val="24"/>
          <w:lang w:val="es-ES_tradnl"/>
        </w:rPr>
        <w:t>globales.</w:t>
      </w:r>
    </w:p>
    <w:p w14:paraId="17378D02" w14:textId="77777777" w:rsidR="00436D72" w:rsidRPr="006C45C9" w:rsidRDefault="00436D72" w:rsidP="00436D72">
      <w:pPr>
        <w:pStyle w:val="BodyText"/>
        <w:spacing w:line="276" w:lineRule="auto"/>
        <w:rPr>
          <w:b/>
          <w:bCs/>
          <w:szCs w:val="24"/>
          <w:lang w:val="es-419"/>
        </w:rPr>
      </w:pPr>
    </w:p>
    <w:p w14:paraId="4929354E" w14:textId="27B93023" w:rsidR="00436D72" w:rsidRPr="00C34D80" w:rsidRDefault="00436D72" w:rsidP="004B752B">
      <w:pPr>
        <w:pStyle w:val="BodyText"/>
        <w:spacing w:line="276" w:lineRule="auto"/>
        <w:outlineLvl w:val="0"/>
        <w:rPr>
          <w:b/>
          <w:bCs/>
          <w:szCs w:val="24"/>
          <w:lang w:val="es-MX"/>
        </w:rPr>
      </w:pPr>
      <w:r w:rsidRPr="00C34D80">
        <w:rPr>
          <w:b/>
          <w:bCs/>
          <w:szCs w:val="24"/>
          <w:lang w:val="es-MX"/>
        </w:rPr>
        <w:t>4.</w:t>
      </w:r>
      <w:r w:rsidR="00D136BB">
        <w:rPr>
          <w:b/>
          <w:bCs/>
          <w:szCs w:val="24"/>
          <w:lang w:val="es-MX"/>
        </w:rPr>
        <w:t xml:space="preserve"> </w:t>
      </w:r>
      <w:r w:rsidRPr="00C34D80">
        <w:rPr>
          <w:b/>
          <w:bCs/>
          <w:szCs w:val="24"/>
          <w:lang w:val="es-MX"/>
        </w:rPr>
        <w:t>Oportunidades</w:t>
      </w:r>
      <w:r w:rsidR="00D136BB">
        <w:rPr>
          <w:b/>
          <w:bCs/>
          <w:szCs w:val="24"/>
          <w:lang w:val="es-MX"/>
        </w:rPr>
        <w:t xml:space="preserve"> </w:t>
      </w:r>
    </w:p>
    <w:p w14:paraId="4CEED849" w14:textId="50CC5C94" w:rsidR="00627A67" w:rsidRPr="00031A5F" w:rsidRDefault="00436D72" w:rsidP="00BE3BCB">
      <w:pPr>
        <w:pStyle w:val="ListParagraph"/>
        <w:numPr>
          <w:ilvl w:val="0"/>
          <w:numId w:val="47"/>
        </w:numPr>
        <w:spacing w:after="0"/>
        <w:jc w:val="both"/>
        <w:rPr>
          <w:rFonts w:ascii="Times New Roman" w:hAnsi="Times New Roman" w:cs="Times New Roman"/>
          <w:sz w:val="24"/>
          <w:szCs w:val="24"/>
          <w:lang w:val="es-ES"/>
        </w:rPr>
      </w:pPr>
      <w:r w:rsidRPr="00031A5F">
        <w:rPr>
          <w:rFonts w:ascii="Times New Roman" w:hAnsi="Times New Roman" w:cs="Times New Roman"/>
          <w:bCs/>
          <w:sz w:val="24"/>
          <w:szCs w:val="24"/>
        </w:rPr>
        <w:t>Creciente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demanda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mercado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internacional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productos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agropecuarios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acuáticos</w:t>
      </w:r>
      <w:r w:rsidRPr="00031A5F">
        <w:rPr>
          <w:rFonts w:ascii="Times New Roman" w:hAnsi="Times New Roman" w:cs="Times New Roman"/>
          <w:bCs/>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tiene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potencial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ayudar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cubrir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demanda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2030.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acuerdo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2050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Brasil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tiene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potencial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cubrir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28%</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demanda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00654AF8">
        <w:rPr>
          <w:rFonts w:ascii="Times New Roman" w:hAnsi="Times New Roman" w:cs="Times New Roman"/>
          <w:sz w:val="24"/>
          <w:szCs w:val="24"/>
          <w:lang w:val="es-ES"/>
        </w:rPr>
        <w:t>mundo</w:t>
      </w:r>
      <w:r w:rsidRPr="00031A5F">
        <w:rPr>
          <w:rFonts w:ascii="Times New Roman" w:hAnsi="Times New Roman" w:cs="Times New Roman"/>
          <w:sz w:val="24"/>
          <w:szCs w:val="24"/>
          <w:lang w:val="es-ES"/>
        </w:rPr>
        <w:t>.</w:t>
      </w:r>
    </w:p>
    <w:p w14:paraId="01EC5864" w14:textId="77777777" w:rsidR="00627A67" w:rsidRPr="00031A5F" w:rsidRDefault="00627A67" w:rsidP="00627A67">
      <w:pPr>
        <w:pStyle w:val="ListParagraph"/>
        <w:spacing w:after="0"/>
        <w:ind w:left="360"/>
        <w:jc w:val="both"/>
        <w:rPr>
          <w:rFonts w:ascii="Times New Roman" w:hAnsi="Times New Roman" w:cs="Times New Roman"/>
          <w:sz w:val="24"/>
          <w:szCs w:val="24"/>
          <w:lang w:val="es-ES"/>
        </w:rPr>
      </w:pPr>
    </w:p>
    <w:p w14:paraId="6307AF12" w14:textId="20720A75" w:rsidR="00627A67" w:rsidRPr="00031A5F" w:rsidRDefault="00436D72" w:rsidP="00BE3BCB">
      <w:pPr>
        <w:pStyle w:val="ListParagraph"/>
        <w:numPr>
          <w:ilvl w:val="0"/>
          <w:numId w:val="47"/>
        </w:numPr>
        <w:spacing w:after="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Creciente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demanda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calidades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funcionales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fibras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alimentares,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minerales,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vitaminas,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antioxidantes,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probióticos).</w:t>
      </w:r>
    </w:p>
    <w:p w14:paraId="38D42EF7" w14:textId="77777777" w:rsidR="00627A67" w:rsidRPr="00031A5F" w:rsidRDefault="00627A67" w:rsidP="00627A67">
      <w:pPr>
        <w:pStyle w:val="ListParagraph"/>
        <w:rPr>
          <w:rFonts w:ascii="Times New Roman" w:hAnsi="Times New Roman" w:cs="Times New Roman"/>
          <w:sz w:val="24"/>
          <w:szCs w:val="24"/>
          <w:lang w:val="es-ES"/>
        </w:rPr>
      </w:pPr>
    </w:p>
    <w:p w14:paraId="3F1A9A04" w14:textId="7A75EA5D" w:rsidR="00436D72" w:rsidRPr="00031A5F" w:rsidRDefault="00436D72" w:rsidP="00BE3BCB">
      <w:pPr>
        <w:pStyle w:val="ListParagraph"/>
        <w:numPr>
          <w:ilvl w:val="0"/>
          <w:numId w:val="47"/>
        </w:numPr>
        <w:spacing w:after="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Apertura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países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firma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acuerdos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cooperación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científica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tecnológica,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sumada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capacidad</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local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crear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acuerdos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sinérgicos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entre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sector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público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privados.</w:t>
      </w:r>
    </w:p>
    <w:p w14:paraId="7A934E96" w14:textId="77777777" w:rsidR="00436D72" w:rsidRDefault="00436D72" w:rsidP="00436D72">
      <w:pPr>
        <w:ind w:left="1134" w:hanging="414"/>
        <w:jc w:val="both"/>
        <w:rPr>
          <w:rFonts w:ascii="Times New Roman" w:hAnsi="Times New Roman" w:cs="Times New Roman"/>
          <w:sz w:val="24"/>
          <w:szCs w:val="24"/>
          <w:lang w:val="es-ES"/>
        </w:rPr>
      </w:pPr>
    </w:p>
    <w:p w14:paraId="003AC71C" w14:textId="77777777" w:rsidR="00C34D80" w:rsidRPr="00031A5F" w:rsidRDefault="00C34D80" w:rsidP="00436D72">
      <w:pPr>
        <w:ind w:left="1134" w:hanging="414"/>
        <w:jc w:val="both"/>
        <w:rPr>
          <w:rFonts w:ascii="Times New Roman" w:hAnsi="Times New Roman" w:cs="Times New Roman"/>
          <w:sz w:val="24"/>
          <w:szCs w:val="24"/>
          <w:lang w:val="es-ES"/>
        </w:rPr>
      </w:pPr>
    </w:p>
    <w:p w14:paraId="69F51EF6" w14:textId="4720980C" w:rsidR="00436D72" w:rsidRPr="00031A5F" w:rsidRDefault="00627A67" w:rsidP="00436D72">
      <w:pPr>
        <w:jc w:val="both"/>
        <w:rPr>
          <w:rFonts w:ascii="Times New Roman" w:hAnsi="Times New Roman" w:cs="Times New Roman"/>
          <w:b/>
          <w:bCs/>
          <w:sz w:val="24"/>
          <w:szCs w:val="24"/>
        </w:rPr>
      </w:pPr>
      <w:r w:rsidRPr="00031A5F">
        <w:rPr>
          <w:rFonts w:ascii="Times New Roman" w:hAnsi="Times New Roman" w:cs="Times New Roman"/>
          <w:b/>
          <w:bCs/>
          <w:sz w:val="24"/>
          <w:szCs w:val="24"/>
        </w:rPr>
        <w:t>III</w:t>
      </w:r>
      <w:r w:rsidR="00436D72" w:rsidRPr="00031A5F">
        <w:rPr>
          <w:rFonts w:ascii="Times New Roman" w:hAnsi="Times New Roman" w:cs="Times New Roman"/>
          <w:b/>
          <w:bCs/>
          <w:sz w:val="24"/>
          <w:szCs w:val="24"/>
        </w:rPr>
        <w:t>.</w:t>
      </w:r>
      <w:r w:rsidR="00D136BB">
        <w:rPr>
          <w:rFonts w:ascii="Times New Roman" w:hAnsi="Times New Roman" w:cs="Times New Roman"/>
          <w:b/>
          <w:bCs/>
          <w:sz w:val="24"/>
          <w:szCs w:val="24"/>
        </w:rPr>
        <w:t xml:space="preserve"> </w:t>
      </w:r>
      <w:r w:rsidR="00436D72" w:rsidRPr="00031A5F">
        <w:rPr>
          <w:rFonts w:ascii="Times New Roman" w:hAnsi="Times New Roman" w:cs="Times New Roman"/>
          <w:b/>
          <w:bCs/>
          <w:sz w:val="24"/>
          <w:szCs w:val="24"/>
        </w:rPr>
        <w:t>Necesidades</w:t>
      </w:r>
      <w:r w:rsidR="00D136BB">
        <w:rPr>
          <w:rFonts w:ascii="Times New Roman" w:hAnsi="Times New Roman" w:cs="Times New Roman"/>
          <w:b/>
          <w:bCs/>
          <w:sz w:val="24"/>
          <w:szCs w:val="24"/>
        </w:rPr>
        <w:t xml:space="preserve"> </w:t>
      </w:r>
      <w:r w:rsidR="000C137C">
        <w:rPr>
          <w:rFonts w:ascii="Times New Roman" w:hAnsi="Times New Roman" w:cs="Times New Roman"/>
          <w:b/>
          <w:bCs/>
          <w:sz w:val="24"/>
          <w:szCs w:val="24"/>
        </w:rPr>
        <w:t>o</w:t>
      </w:r>
      <w:r w:rsidR="00D136BB">
        <w:rPr>
          <w:rFonts w:ascii="Times New Roman" w:hAnsi="Times New Roman" w:cs="Times New Roman"/>
          <w:b/>
          <w:bCs/>
          <w:sz w:val="24"/>
          <w:szCs w:val="24"/>
        </w:rPr>
        <w:t xml:space="preserve"> </w:t>
      </w:r>
      <w:r w:rsidR="003D4FB2">
        <w:rPr>
          <w:rFonts w:ascii="Times New Roman" w:hAnsi="Times New Roman" w:cs="Times New Roman"/>
          <w:b/>
          <w:bCs/>
          <w:sz w:val="24"/>
          <w:szCs w:val="24"/>
        </w:rPr>
        <w:t>P</w:t>
      </w:r>
      <w:r w:rsidR="00436D72" w:rsidRPr="00031A5F">
        <w:rPr>
          <w:rFonts w:ascii="Times New Roman" w:hAnsi="Times New Roman" w:cs="Times New Roman"/>
          <w:b/>
          <w:bCs/>
          <w:sz w:val="24"/>
          <w:szCs w:val="24"/>
        </w:rPr>
        <w:t>roblemas</w:t>
      </w:r>
      <w:r w:rsidR="00D136BB">
        <w:rPr>
          <w:rFonts w:ascii="Times New Roman" w:hAnsi="Times New Roman" w:cs="Times New Roman"/>
          <w:b/>
          <w:bCs/>
          <w:sz w:val="24"/>
          <w:szCs w:val="24"/>
        </w:rPr>
        <w:t xml:space="preserve"> </w:t>
      </w:r>
    </w:p>
    <w:p w14:paraId="7BB1C07F" w14:textId="63499B5E" w:rsidR="00436D72" w:rsidRPr="00031A5F" w:rsidRDefault="00436D72" w:rsidP="00436D72">
      <w:pPr>
        <w:jc w:val="both"/>
        <w:rPr>
          <w:rFonts w:ascii="Times New Roman" w:hAnsi="Times New Roman" w:cs="Times New Roman"/>
          <w:bCs/>
          <w:sz w:val="24"/>
          <w:szCs w:val="24"/>
        </w:rPr>
      </w:pPr>
      <w:r w:rsidRPr="00031A5F">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seguir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presentan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necesidades/problemas,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identificadas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Grupo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Trabajo,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respectivas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justificaciones.</w:t>
      </w:r>
      <w:r w:rsidR="00D136BB">
        <w:rPr>
          <w:rFonts w:ascii="Times New Roman" w:hAnsi="Times New Roman" w:cs="Times New Roman"/>
          <w:bCs/>
          <w:sz w:val="24"/>
          <w:szCs w:val="24"/>
        </w:rPr>
        <w:t xml:space="preserve"> </w:t>
      </w:r>
    </w:p>
    <w:p w14:paraId="6D32BD66" w14:textId="26A9F714" w:rsidR="00436D72" w:rsidRPr="00031A5F" w:rsidRDefault="00436D72" w:rsidP="00436D72">
      <w:pPr>
        <w:widowControl w:val="0"/>
        <w:tabs>
          <w:tab w:val="left" w:pos="700"/>
        </w:tabs>
        <w:autoSpaceDE w:val="0"/>
        <w:autoSpaceDN w:val="0"/>
        <w:adjustRightInd w:val="0"/>
        <w:jc w:val="both"/>
        <w:rPr>
          <w:rFonts w:ascii="Times New Roman" w:hAnsi="Times New Roman" w:cs="Times New Roman"/>
          <w:b/>
          <w:bCs/>
          <w:sz w:val="24"/>
          <w:szCs w:val="24"/>
        </w:rPr>
      </w:pPr>
      <w:r w:rsidRPr="00031A5F">
        <w:rPr>
          <w:rFonts w:ascii="Times New Roman" w:hAnsi="Times New Roman" w:cs="Times New Roman"/>
          <w:b/>
          <w:bCs/>
          <w:sz w:val="24"/>
          <w:szCs w:val="24"/>
          <w:u w:val="single"/>
        </w:rPr>
        <w:t>A1.</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Mejoramiento</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de</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prácticas</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de</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manejo</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de</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agua,</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suelo,</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agroquímicos</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y</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biofertilizantes</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(incluido</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la</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fijación</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biológica</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de</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nitrógeno)</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en</w:t>
      </w:r>
      <w:r w:rsidR="00D136BB">
        <w:rPr>
          <w:rFonts w:ascii="Times New Roman" w:hAnsi="Times New Roman" w:cs="Times New Roman"/>
          <w:b/>
          <w:bCs/>
          <w:sz w:val="24"/>
          <w:szCs w:val="24"/>
          <w:u w:val="single"/>
        </w:rPr>
        <w:t xml:space="preserve"> </w:t>
      </w:r>
      <w:r w:rsidRPr="00031A5F">
        <w:rPr>
          <w:rFonts w:ascii="Times New Roman" w:hAnsi="Times New Roman" w:cs="Times New Roman"/>
          <w:b/>
          <w:bCs/>
          <w:sz w:val="24"/>
          <w:szCs w:val="24"/>
          <w:u w:val="single"/>
        </w:rPr>
        <w:t>LAC.</w:t>
      </w:r>
      <w:r w:rsidR="00D136BB">
        <w:rPr>
          <w:rFonts w:ascii="Times New Roman" w:hAnsi="Times New Roman" w:cs="Times New Roman"/>
          <w:b/>
          <w:bCs/>
          <w:sz w:val="24"/>
          <w:szCs w:val="24"/>
          <w:u w:val="single"/>
        </w:rPr>
        <w:t xml:space="preserve"> </w:t>
      </w:r>
    </w:p>
    <w:p w14:paraId="4E98D63C" w14:textId="41A6A3EE" w:rsidR="00436D72" w:rsidRPr="00031A5F" w:rsidRDefault="00436D72" w:rsidP="00627A67">
      <w:pPr>
        <w:jc w:val="both"/>
        <w:rPr>
          <w:rFonts w:ascii="Times New Roman" w:hAnsi="Times New Roman" w:cs="Times New Roman"/>
          <w:sz w:val="24"/>
          <w:szCs w:val="24"/>
          <w:highlight w:val="lightGray"/>
        </w:rPr>
      </w:pPr>
      <w:r w:rsidRPr="00031A5F">
        <w:rPr>
          <w:rFonts w:ascii="Times New Roman" w:hAnsi="Times New Roman" w:cs="Times New Roman"/>
          <w:b/>
          <w:sz w:val="24"/>
          <w:szCs w:val="24"/>
        </w:rPr>
        <w:t>Justificativa: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pequeños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contribuyen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70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justamente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sufren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disponible.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excepción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zona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subtropical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templada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localizados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zona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Andina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tropical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Central),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presentan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naturalmente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nutrientes,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aparte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toxicidad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niveles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aluminio,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hierro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manganeso,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situación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condiciona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bajos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lastRenderedPageBreak/>
        <w:t>rendimientos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alimenticios,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conlleva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hambre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subnutrición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(OCDE-FAO,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Guareschi</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p>
    <w:p w14:paraId="585F9017" w14:textId="6769C9C6" w:rsidR="00436D72" w:rsidRPr="00031A5F" w:rsidRDefault="00436D72" w:rsidP="00436D72">
      <w:pPr>
        <w:widowControl w:val="0"/>
        <w:autoSpaceDE w:val="0"/>
        <w:autoSpaceDN w:val="0"/>
        <w:adjustRightInd w:val="0"/>
        <w:jc w:val="both"/>
        <w:rPr>
          <w:rFonts w:ascii="Times New Roman" w:hAnsi="Times New Roman" w:cs="Times New Roman"/>
          <w:sz w:val="24"/>
          <w:szCs w:val="24"/>
        </w:rPr>
      </w:pPr>
      <w:r w:rsidRPr="00031A5F">
        <w:rPr>
          <w:rFonts w:ascii="Times New Roman" w:hAnsi="Times New Roman" w:cs="Times New Roman"/>
          <w:sz w:val="24"/>
          <w:szCs w:val="24"/>
        </w:rPr>
        <w:t>Uno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indicadores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tecnificación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basa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fertilizantes,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considerando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consume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11.5</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fertilizantes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consumidos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sólo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Argentina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México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consumen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79%,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(FAOSTAT,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Guareschi</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indicando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desequilibrio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destacar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casi</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totalidad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orientada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principalmente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industriales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exportación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caña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azúcar,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café,</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banano,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hortifruticultura,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principales),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alimenticios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(fríjol,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arroz,</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maíz,</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papa,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yuca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camote).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impacto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intensiva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basada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fijación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biológica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nitrógeno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(FBN)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típicamente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permite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64</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proteína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anualmente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aplicación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N-fertilizante,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60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hectáreas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distribuidos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Argentina,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Paraguay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Bolivia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(Araujo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Colino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2015).</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aplicada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misma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familia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leguminosas,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alimenticios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básicos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frijol,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habas,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arvejas,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cereales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(maíz,</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caña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azúcar,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beneficio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FBN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(Alves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2015;</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Schultz</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2016;</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Silva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clara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necesidad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disponibilidad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nitrógeno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pequeños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abonos</w:t>
      </w:r>
      <w:r w:rsidR="00D136BB">
        <w:rPr>
          <w:rFonts w:ascii="Times New Roman" w:hAnsi="Times New Roman" w:cs="Times New Roman"/>
          <w:sz w:val="24"/>
          <w:szCs w:val="24"/>
        </w:rPr>
        <w:t xml:space="preserve"> </w:t>
      </w:r>
      <w:r w:rsidR="00654AF8" w:rsidRPr="00031A5F">
        <w:rPr>
          <w:rFonts w:ascii="Times New Roman" w:hAnsi="Times New Roman" w:cs="Times New Roman"/>
          <w:sz w:val="24"/>
          <w:szCs w:val="24"/>
        </w:rPr>
        <w:t>verdes</w:t>
      </w:r>
      <w:r w:rsidR="00D136BB">
        <w:rPr>
          <w:rFonts w:ascii="Times New Roman" w:hAnsi="Times New Roman" w:cs="Times New Roman"/>
          <w:sz w:val="24"/>
          <w:szCs w:val="24"/>
        </w:rPr>
        <w:t xml:space="preserve"> </w:t>
      </w:r>
      <w:r w:rsidR="00654AF8">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fertilizantes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orgánicos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(Fernandes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2016;</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Inacio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2017;</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Sant’anna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Recientemente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demostrado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sólo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contenido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abre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posibilidad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contenido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carbono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00654AF8">
        <w:rPr>
          <w:rFonts w:ascii="Times New Roman" w:hAnsi="Times New Roman" w:cs="Times New Roman"/>
          <w:sz w:val="24"/>
          <w:szCs w:val="24"/>
        </w:rPr>
        <w:t>éste</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contribuyendo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mitigar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efecto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invernadero.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Actualmente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manejo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sostenibles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vienen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creciendo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extensión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cereales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carne,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Siembra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directa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(Labranza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actualmente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ocupa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60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hectáreas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Argentina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Paraguay.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otra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Integrado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Pecuaria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pleno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Argentina,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rotación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3</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ocupada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cereales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rota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pasturas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mismo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periodo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tiempo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(Alves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2002).</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tienen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ventaja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apenas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sustentable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extensiones,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vislumbran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disminuir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degradación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tierras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contrario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recuperarlas,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además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significativamente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mitigación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efecto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invernadero,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favoreciendo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secuestro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carbono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(Cardoso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2016;</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Sant’anna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2017).</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expuesto,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urgente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necesidad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basado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principios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tecnológicos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soportan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adaptarlas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nuevas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diversas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p>
    <w:p w14:paraId="6527A974" w14:textId="3D42721B" w:rsidR="00436D72" w:rsidRPr="00031A5F" w:rsidRDefault="00436D72" w:rsidP="00436D72">
      <w:pPr>
        <w:widowControl w:val="0"/>
        <w:autoSpaceDE w:val="0"/>
        <w:autoSpaceDN w:val="0"/>
        <w:adjustRightInd w:val="0"/>
        <w:jc w:val="both"/>
        <w:rPr>
          <w:rFonts w:ascii="Times New Roman" w:hAnsi="Times New Roman" w:cs="Times New Roman"/>
          <w:sz w:val="24"/>
          <w:szCs w:val="24"/>
        </w:rPr>
      </w:pP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ofrecen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mejores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perspectivas.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vertAlign w:val="superscript"/>
        </w:rPr>
        <w:t>15</w:t>
      </w:r>
      <w:r w:rsidRPr="00031A5F">
        <w:rPr>
          <w:rFonts w:ascii="Times New Roman" w:hAnsi="Times New Roman" w:cs="Times New Roman"/>
          <w:sz w:val="24"/>
          <w:szCs w:val="24"/>
        </w:rPr>
        <w:t>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trazador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permitirá</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rápida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económica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obtener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recomendaciones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manejo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eficiente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fertilizantes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(factores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dosis,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localización,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fraccionamiento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formas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aplicación)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(Baptista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2014;</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Martins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2017a,b;</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Urquiaga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Zapata,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2000).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dilución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isotópica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vertAlign w:val="superscript"/>
        </w:rPr>
        <w:t>15</w:t>
      </w:r>
      <w:r w:rsidRPr="00031A5F">
        <w:rPr>
          <w:rFonts w:ascii="Times New Roman" w:hAnsi="Times New Roman" w:cs="Times New Roman"/>
          <w:sz w:val="24"/>
          <w:szCs w:val="24"/>
        </w:rPr>
        <w:t>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abundancia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natural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vertAlign w:val="superscript"/>
        </w:rPr>
        <w:t>15</w:t>
      </w:r>
      <w:r w:rsidRPr="00031A5F">
        <w:rPr>
          <w:rFonts w:ascii="Times New Roman" w:hAnsi="Times New Roman" w:cs="Times New Roman"/>
          <w:sz w:val="24"/>
          <w:szCs w:val="24"/>
        </w:rPr>
        <w:t>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utilidad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evaluar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eficiencia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FBN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leguminosas,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permitiendo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selección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variedades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inoculantes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microbianos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eficientes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(Baptista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2014).</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vertAlign w:val="superscript"/>
        </w:rPr>
        <w:lastRenderedPageBreak/>
        <w:t>13</w:t>
      </w:r>
      <w:r w:rsidRPr="00031A5F">
        <w:rPr>
          <w:rFonts w:ascii="Times New Roman" w:hAnsi="Times New Roman" w:cs="Times New Roman"/>
          <w:sz w:val="24"/>
          <w:szCs w:val="24"/>
        </w:rPr>
        <w:t>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permitirán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evaluar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eficiencia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manejo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secuestro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carbono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dinámica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tiempo,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buscando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sustentabilidad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(Boddey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Sant’anna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2017;</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pérdidas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erosión,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significativas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evaluadas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utilizando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diver</w:t>
      </w:r>
      <w:r w:rsidR="004C118A">
        <w:rPr>
          <w:rFonts w:ascii="Times New Roman" w:hAnsi="Times New Roman" w:cs="Times New Roman"/>
          <w:sz w:val="24"/>
          <w:szCs w:val="24"/>
        </w:rPr>
        <w:t>s</w:t>
      </w:r>
      <w:r w:rsidRPr="00031A5F">
        <w:rPr>
          <w:rFonts w:ascii="Times New Roman" w:hAnsi="Times New Roman" w:cs="Times New Roman"/>
          <w:sz w:val="24"/>
          <w:szCs w:val="24"/>
        </w:rPr>
        <w: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trazadores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Pr="00031A5F">
        <w:rPr>
          <w:rFonts w:ascii="Times New Roman" w:hAnsi="Times New Roman" w:cs="Times New Roman"/>
          <w:sz w:val="24"/>
          <w:szCs w:val="24"/>
          <w:vertAlign w:val="superscript"/>
        </w:rPr>
        <w:t>7</w:t>
      </w:r>
      <w:r w:rsidRPr="00031A5F">
        <w:rPr>
          <w:rFonts w:ascii="Times New Roman" w:hAnsi="Times New Roman" w:cs="Times New Roman"/>
          <w:sz w:val="24"/>
          <w:szCs w:val="24"/>
        </w:rPr>
        <w:t>Be,</w:t>
      </w:r>
      <w:r w:rsidR="00D136BB">
        <w:rPr>
          <w:rFonts w:ascii="Times New Roman" w:hAnsi="Times New Roman" w:cs="Times New Roman"/>
          <w:sz w:val="24"/>
          <w:szCs w:val="24"/>
          <w:vertAlign w:val="superscript"/>
        </w:rPr>
        <w:t xml:space="preserve"> </w:t>
      </w:r>
      <w:r w:rsidRPr="00031A5F">
        <w:rPr>
          <w:rFonts w:ascii="Times New Roman" w:hAnsi="Times New Roman" w:cs="Times New Roman"/>
          <w:sz w:val="24"/>
          <w:szCs w:val="24"/>
          <w:vertAlign w:val="superscript"/>
        </w:rPr>
        <w:t>137</w:t>
      </w:r>
      <w:r w:rsidRPr="00031A5F">
        <w:rPr>
          <w:rFonts w:ascii="Times New Roman" w:hAnsi="Times New Roman" w:cs="Times New Roman"/>
          <w:sz w:val="24"/>
          <w:szCs w:val="24"/>
        </w:rPr>
        <w:t>Cs,</w:t>
      </w:r>
      <w:r w:rsidR="00D136BB">
        <w:rPr>
          <w:rFonts w:ascii="Times New Roman" w:hAnsi="Times New Roman" w:cs="Times New Roman"/>
          <w:sz w:val="24"/>
          <w:szCs w:val="24"/>
        </w:rPr>
        <w:t xml:space="preserve"> </w:t>
      </w:r>
      <w:r w:rsidRPr="00031A5F">
        <w:rPr>
          <w:rFonts w:ascii="Times New Roman" w:hAnsi="Times New Roman" w:cs="Times New Roman"/>
          <w:sz w:val="24"/>
          <w:szCs w:val="24"/>
          <w:vertAlign w:val="superscript"/>
        </w:rPr>
        <w:t>239+240</w:t>
      </w:r>
      <w:r w:rsidRPr="00031A5F">
        <w:rPr>
          <w:rFonts w:ascii="Times New Roman" w:hAnsi="Times New Roman" w:cs="Times New Roman"/>
          <w:sz w:val="24"/>
          <w:szCs w:val="24"/>
        </w:rPr>
        <w:t>Pu,</w:t>
      </w:r>
      <w:r w:rsidR="00D136BB">
        <w:rPr>
          <w:rFonts w:ascii="Times New Roman" w:hAnsi="Times New Roman" w:cs="Times New Roman"/>
          <w:sz w:val="24"/>
          <w:szCs w:val="24"/>
        </w:rPr>
        <w:t xml:space="preserve"> </w:t>
      </w:r>
      <w:r w:rsidRPr="00031A5F">
        <w:rPr>
          <w:rFonts w:ascii="Times New Roman" w:hAnsi="Times New Roman" w:cs="Times New Roman"/>
          <w:sz w:val="24"/>
          <w:szCs w:val="24"/>
          <w:vertAlign w:val="superscript"/>
        </w:rPr>
        <w:t>210</w:t>
      </w:r>
      <w:r w:rsidRPr="00031A5F">
        <w:rPr>
          <w:rFonts w:ascii="Times New Roman" w:hAnsi="Times New Roman" w:cs="Times New Roman"/>
          <w:sz w:val="24"/>
          <w:szCs w:val="24"/>
        </w:rPr>
        <w:t>Pb</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(Alewell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2017;</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Fulajtar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2017;</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IAEA,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2014,</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Mabit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2014;</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Mabit,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Blake,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Zapata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2002).</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eficiente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viene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causando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preocupación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emplear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70%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dulce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obstante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disponga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reservas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optimizar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basadas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isótopos</w:t>
      </w:r>
      <w:r w:rsidR="00D136BB">
        <w:rPr>
          <w:rFonts w:ascii="Times New Roman" w:hAnsi="Times New Roman" w:cs="Times New Roman"/>
          <w:sz w:val="24"/>
          <w:szCs w:val="24"/>
        </w:rPr>
        <w:t xml:space="preserve"> </w:t>
      </w:r>
      <w:r w:rsidRPr="00031A5F">
        <w:rPr>
          <w:rFonts w:ascii="Times New Roman" w:hAnsi="Times New Roman" w:cs="Times New Roman"/>
          <w:sz w:val="24"/>
          <w:szCs w:val="24"/>
          <w:vertAlign w:val="superscript"/>
        </w:rPr>
        <w:t>18</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vertAlign w:val="superscript"/>
        </w:rPr>
        <w:t>2</w:t>
      </w:r>
      <w:r w:rsidRPr="00031A5F">
        <w:rPr>
          <w:rFonts w:ascii="Times New Roman" w:hAnsi="Times New Roman" w:cs="Times New Roman"/>
          <w:sz w:val="24"/>
          <w:szCs w:val="24"/>
        </w:rPr>
        <w:t>H</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ofrecen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buenas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perspectivas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estudios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eficiencia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neutrones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consagrada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permite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monitorear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contenido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recientemente,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nuevas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basadas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rayos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cósmicos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ofrecen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buenas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perspectivas.</w:t>
      </w:r>
    </w:p>
    <w:p w14:paraId="3D9CC4F2" w14:textId="11F233C8" w:rsidR="00436D72" w:rsidRPr="00031A5F" w:rsidRDefault="00436D72" w:rsidP="00436D72">
      <w:pPr>
        <w:spacing w:before="100" w:beforeAutospacing="1" w:after="100" w:afterAutospacing="1"/>
        <w:jc w:val="both"/>
        <w:rPr>
          <w:rFonts w:ascii="Times New Roman" w:hAnsi="Times New Roman" w:cs="Times New Roman"/>
          <w:sz w:val="24"/>
          <w:szCs w:val="24"/>
          <w:lang w:val="es-ES" w:eastAsia="pt-BR"/>
        </w:rPr>
      </w:pP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destacar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algunas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cacao,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volcánica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Pr="00031A5F">
        <w:rPr>
          <w:rFonts w:ascii="Times New Roman" w:hAnsi="Times New Roman" w:cs="Times New Roman"/>
          <w:sz w:val="24"/>
          <w:szCs w:val="24"/>
          <w:lang w:val="es-ES" w:eastAsia="pt-BR"/>
        </w:rPr>
        <w:t>,</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especialmente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en</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América</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Central,</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algunos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suelos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presentan</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naturalmente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altos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niveles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solubles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de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Cd</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y</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As,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que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puede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afectar</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la</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calidad</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de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los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productos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producidos,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siendo</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por</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ello</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necesario</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encontrar</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formas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de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manejo</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que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disminuyan</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la</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biosolubilidad</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de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estos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metales.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Afortunadamente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existen</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técnicas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nucleares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que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podrían</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ayudar</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en</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la</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solución</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de</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estos</w:t>
      </w:r>
      <w:r w:rsidR="00D136BB">
        <w:rPr>
          <w:rFonts w:ascii="Times New Roman" w:hAnsi="Times New Roman" w:cs="Times New Roman"/>
          <w:sz w:val="24"/>
          <w:szCs w:val="24"/>
          <w:lang w:val="es-ES" w:eastAsia="pt-BR"/>
        </w:rPr>
        <w:t xml:space="preserve"> </w:t>
      </w:r>
      <w:r w:rsidRPr="00031A5F">
        <w:rPr>
          <w:rFonts w:ascii="Times New Roman" w:hAnsi="Times New Roman" w:cs="Times New Roman"/>
          <w:sz w:val="24"/>
          <w:szCs w:val="24"/>
          <w:lang w:val="es-ES" w:eastAsia="pt-BR"/>
        </w:rPr>
        <w:t>problemas.</w:t>
      </w:r>
      <w:r w:rsidR="00D136BB">
        <w:rPr>
          <w:rFonts w:ascii="Times New Roman" w:hAnsi="Times New Roman" w:cs="Times New Roman"/>
          <w:sz w:val="24"/>
          <w:szCs w:val="24"/>
          <w:lang w:val="es-ES" w:eastAsia="pt-BR"/>
        </w:rPr>
        <w:t xml:space="preserve"> </w:t>
      </w:r>
    </w:p>
    <w:p w14:paraId="1EF3CC78" w14:textId="1711BCD7" w:rsidR="00436D72" w:rsidRPr="00031A5F" w:rsidRDefault="00436D72" w:rsidP="00436D72">
      <w:pPr>
        <w:jc w:val="both"/>
        <w:rPr>
          <w:rFonts w:ascii="Times New Roman" w:hAnsi="Times New Roman" w:cs="Times New Roman"/>
          <w:sz w:val="24"/>
          <w:szCs w:val="24"/>
          <w:highlight w:val="lightGray"/>
        </w:rPr>
      </w:pP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beneficiarios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directos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serán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pequeños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podrán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mantener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recuperar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tierras,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sociedad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general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disponer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cantidad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nutricional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disminución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degradación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favor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Seguridad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alimentaria</w:t>
      </w:r>
    </w:p>
    <w:p w14:paraId="09F7D9D6" w14:textId="792CD608"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Objetivo: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buscando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sustentabilidad.</w:t>
      </w:r>
    </w:p>
    <w:p w14:paraId="046C89BD" w14:textId="1F05B1B0" w:rsidR="00436D72" w:rsidRPr="00031A5F" w:rsidRDefault="00436D72" w:rsidP="00627A67">
      <w:pPr>
        <w:widowControl w:val="0"/>
        <w:autoSpaceDE w:val="0"/>
        <w:autoSpaceDN w:val="0"/>
        <w:adjustRightInd w:val="0"/>
        <w:jc w:val="both"/>
        <w:rPr>
          <w:rFonts w:ascii="Times New Roman" w:hAnsi="Times New Roman" w:cs="Times New Roman"/>
          <w:sz w:val="24"/>
          <w:szCs w:val="24"/>
        </w:rPr>
      </w:pPr>
      <w:r w:rsidRPr="00031A5F">
        <w:rPr>
          <w:rFonts w:ascii="Times New Roman" w:hAnsi="Times New Roman" w:cs="Times New Roman"/>
          <w:b/>
          <w:sz w:val="24"/>
          <w:szCs w:val="24"/>
        </w:rPr>
        <w:t>Indicador:</w:t>
      </w:r>
      <w:r w:rsidR="00D136BB">
        <w:rPr>
          <w:rFonts w:ascii="Times New Roman" w:hAnsi="Times New Roman" w:cs="Times New Roman"/>
          <w:b/>
          <w:sz w:val="24"/>
          <w:szCs w:val="24"/>
        </w:rPr>
        <w:t xml:space="preserve"> </w:t>
      </w:r>
      <w:r w:rsidRPr="00031A5F">
        <w:rPr>
          <w:rFonts w:ascii="Times New Roman" w:hAnsi="Times New Roman" w:cs="Times New Roman"/>
          <w:sz w:val="24"/>
          <w:szCs w:val="24"/>
        </w:rPr>
        <w:t>Incremento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rendimiento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adopción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sustentables.</w:t>
      </w:r>
      <w:r w:rsidR="00D136BB">
        <w:rPr>
          <w:rFonts w:ascii="Times New Roman" w:hAnsi="Times New Roman" w:cs="Times New Roman"/>
          <w:b/>
          <w:sz w:val="24"/>
          <w:szCs w:val="24"/>
        </w:rPr>
        <w:t xml:space="preserve"> </w:t>
      </w:r>
    </w:p>
    <w:p w14:paraId="52ECC477" w14:textId="77777777" w:rsidR="00627A67" w:rsidRPr="00031A5F" w:rsidRDefault="00627A67" w:rsidP="00627A67">
      <w:pPr>
        <w:widowControl w:val="0"/>
        <w:autoSpaceDE w:val="0"/>
        <w:autoSpaceDN w:val="0"/>
        <w:adjustRightInd w:val="0"/>
        <w:jc w:val="both"/>
        <w:rPr>
          <w:rFonts w:ascii="Times New Roman" w:hAnsi="Times New Roman" w:cs="Times New Roman"/>
          <w:sz w:val="24"/>
          <w:szCs w:val="24"/>
        </w:rPr>
      </w:pPr>
    </w:p>
    <w:p w14:paraId="6039FAE5" w14:textId="79D74031" w:rsidR="00436D72" w:rsidRPr="00031A5F" w:rsidRDefault="00436D72" w:rsidP="00436D72">
      <w:pPr>
        <w:autoSpaceDE w:val="0"/>
        <w:autoSpaceDN w:val="0"/>
        <w:adjustRightInd w:val="0"/>
        <w:jc w:val="both"/>
        <w:rPr>
          <w:rFonts w:ascii="Times New Roman" w:hAnsi="Times New Roman" w:cs="Times New Roman"/>
          <w:b/>
          <w:bCs/>
          <w:sz w:val="24"/>
          <w:szCs w:val="24"/>
          <w:u w:val="single"/>
          <w:lang w:val="es-ES"/>
        </w:rPr>
      </w:pPr>
      <w:r w:rsidRPr="00031A5F">
        <w:rPr>
          <w:rFonts w:ascii="Times New Roman" w:hAnsi="Times New Roman" w:cs="Times New Roman"/>
          <w:b/>
          <w:sz w:val="24"/>
          <w:szCs w:val="24"/>
          <w:u w:val="single"/>
        </w:rPr>
        <w:t>A2.</w:t>
      </w:r>
      <w:r w:rsidR="00D136BB">
        <w:rPr>
          <w:rFonts w:ascii="Times New Roman" w:hAnsi="Times New Roman" w:cs="Times New Roman"/>
          <w:b/>
          <w:sz w:val="24"/>
          <w:szCs w:val="24"/>
          <w:u w:val="single"/>
        </w:rPr>
        <w:t xml:space="preserve"> </w:t>
      </w:r>
      <w:r w:rsidRPr="00031A5F">
        <w:rPr>
          <w:rFonts w:ascii="Times New Roman" w:hAnsi="Times New Roman" w:cs="Times New Roman"/>
          <w:b/>
          <w:bCs/>
          <w:sz w:val="24"/>
          <w:szCs w:val="24"/>
          <w:u w:val="single"/>
          <w:lang w:val="es-ES"/>
        </w:rPr>
        <w:t>Mejoramiento</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de</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cultivos</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alimenticios</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y</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de</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importancia</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económica</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para</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diversas</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condiciones</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de</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estrés</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bióticos</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y</w:t>
      </w:r>
      <w:r w:rsidR="00D136BB">
        <w:rPr>
          <w:rFonts w:ascii="Times New Roman" w:hAnsi="Times New Roman" w:cs="Times New Roman"/>
          <w:b/>
          <w:bCs/>
          <w:sz w:val="24"/>
          <w:szCs w:val="24"/>
          <w:u w:val="single"/>
          <w:lang w:val="es-ES"/>
        </w:rPr>
        <w:t xml:space="preserve"> </w:t>
      </w:r>
      <w:r w:rsidRPr="00031A5F">
        <w:rPr>
          <w:rFonts w:ascii="Times New Roman" w:hAnsi="Times New Roman" w:cs="Times New Roman"/>
          <w:b/>
          <w:bCs/>
          <w:sz w:val="24"/>
          <w:szCs w:val="24"/>
          <w:u w:val="single"/>
          <w:lang w:val="es-ES"/>
        </w:rPr>
        <w:t>abióticos.</w:t>
      </w:r>
    </w:p>
    <w:p w14:paraId="2B5B1216" w14:textId="6AD8326C" w:rsidR="00436D72" w:rsidRPr="00031A5F" w:rsidRDefault="00436D72" w:rsidP="00436D72">
      <w:pPr>
        <w:spacing w:after="120"/>
        <w:jc w:val="both"/>
        <w:rPr>
          <w:rFonts w:ascii="Times New Roman" w:hAnsi="Times New Roman" w:cs="Times New Roman"/>
          <w:sz w:val="24"/>
          <w:szCs w:val="24"/>
          <w:lang w:val="es-ES"/>
        </w:rPr>
      </w:pPr>
      <w:r w:rsidRPr="00031A5F">
        <w:rPr>
          <w:rFonts w:ascii="Times New Roman" w:hAnsi="Times New Roman" w:cs="Times New Roman"/>
          <w:b/>
          <w:bCs/>
          <w:sz w:val="24"/>
          <w:szCs w:val="24"/>
          <w:lang w:val="es-ES"/>
        </w:rPr>
        <w:t>Justificativa:</w:t>
      </w:r>
      <w:r w:rsidR="00D136BB">
        <w:rPr>
          <w:rFonts w:ascii="Times New Roman" w:hAnsi="Times New Roman" w:cs="Times New Roman"/>
          <w:b/>
          <w:bCs/>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causa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daños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vez</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significativos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poniendo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riesgo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422B5D">
        <w:rPr>
          <w:rFonts w:ascii="Times New Roman" w:hAnsi="Times New Roman" w:cs="Times New Roman"/>
          <w:sz w:val="24"/>
          <w:szCs w:val="24"/>
          <w:lang w:val="es-ES"/>
        </w:rPr>
        <w:t>y</w:t>
      </w:r>
      <w:r w:rsidRPr="00031A5F">
        <w:rPr>
          <w:rFonts w:ascii="Times New Roman" w:hAnsi="Times New Roman" w:cs="Times New Roman"/>
          <w:sz w:val="24"/>
          <w:szCs w:val="24"/>
          <w:lang w:val="es-ES"/>
        </w:rPr>
        <w:t>C</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vulnerable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donde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disminución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productividad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colocará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riesgo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seguridad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número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especialmente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aquellos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donde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predomina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subsistencia,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deficientes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cereales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leguminosas,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básicos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población.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ejemplo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sucede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Perú,</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vulnerable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ubicado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América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donde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estima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año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2050,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disminuyer</w:t>
      </w:r>
      <w:r w:rsidR="00FB2788">
        <w:rPr>
          <w:rFonts w:ascii="Times New Roman" w:hAnsi="Times New Roman" w:cs="Times New Roman"/>
          <w:sz w:val="24"/>
          <w:szCs w:val="24"/>
          <w:lang w:val="es-ES"/>
        </w:rPr>
        <w:t>á</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17%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creciente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aumento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temperatura.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afectaría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gravemente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disponibilidad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lastRenderedPageBreak/>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muchos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básicos,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trigo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maíz.</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adaptación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convertido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necesidad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crítica.</w:t>
      </w:r>
      <w:r w:rsidR="00D136BB">
        <w:rPr>
          <w:rFonts w:ascii="Times New Roman" w:hAnsi="Times New Roman" w:cs="Times New Roman"/>
          <w:sz w:val="24"/>
          <w:szCs w:val="24"/>
          <w:lang w:val="es-ES"/>
        </w:rPr>
        <w:t xml:space="preserve">  </w:t>
      </w:r>
    </w:p>
    <w:p w14:paraId="5FD1A93C" w14:textId="52B988AE" w:rsidR="00436D72" w:rsidRPr="00031A5F" w:rsidRDefault="00436D72" w:rsidP="00436D72">
      <w:p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aplicación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técnicas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nucleares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plantas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podría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adaptadas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técnica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inducida,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detección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habilitación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biotecnologías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incluidas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técnicas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vitro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moleculares,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podrán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usadas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nuevas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tolerancia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salinidad,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sequía,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resistencia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calidad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adecuada.</w:t>
      </w:r>
      <w:r w:rsidR="00D136BB">
        <w:rPr>
          <w:rFonts w:ascii="Times New Roman" w:hAnsi="Times New Roman" w:cs="Times New Roman"/>
          <w:sz w:val="24"/>
          <w:szCs w:val="24"/>
          <w:lang w:val="es-ES"/>
        </w:rPr>
        <w:t xml:space="preserve"> </w:t>
      </w:r>
    </w:p>
    <w:p w14:paraId="09565B6F" w14:textId="2D2E1F99" w:rsidR="00436D72" w:rsidRPr="00031A5F" w:rsidRDefault="00436D72" w:rsidP="00436D72">
      <w:pPr>
        <w:autoSpaceDE w:val="0"/>
        <w:autoSpaceDN w:val="0"/>
        <w:adjustRightInd w:val="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aplicación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técnicas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inducidas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apoyo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División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Conjunta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FAO/OIEA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generado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impacto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económico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significativo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muchos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Según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base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datos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FAO/OIEA,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demuestra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herramienta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eficaz</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Actualmente</w:t>
      </w:r>
      <w:r w:rsidR="00D136BB">
        <w:rPr>
          <w:rFonts w:ascii="Times New Roman" w:hAnsi="Times New Roman" w:cs="Times New Roman"/>
          <w:sz w:val="24"/>
          <w:szCs w:val="24"/>
          <w:lang w:val="es-ES"/>
        </w:rPr>
        <w:t xml:space="preserve"> </w:t>
      </w:r>
      <w:r w:rsidR="007B3674">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registra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información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3.314</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publicadas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oficialmente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comerciales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220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todo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andina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general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(3000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4000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sobre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nivel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agricultura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practica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condiciones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adversas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suelo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ejemplo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quinua,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amaranto,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kiwicha"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w:t>
      </w:r>
      <w:r w:rsidRPr="007B3674">
        <w:rPr>
          <w:rFonts w:ascii="Times New Roman" w:hAnsi="Times New Roman" w:cs="Times New Roman"/>
          <w:i/>
          <w:iCs/>
          <w:sz w:val="24"/>
          <w:szCs w:val="24"/>
          <w:lang w:val="es-ES"/>
        </w:rPr>
        <w:t>Amaranthus</w:t>
      </w:r>
      <w:r w:rsidR="00D136BB">
        <w:rPr>
          <w:rFonts w:ascii="Times New Roman" w:hAnsi="Times New Roman" w:cs="Times New Roman"/>
          <w:i/>
          <w:iCs/>
          <w:sz w:val="24"/>
          <w:szCs w:val="24"/>
          <w:lang w:val="es-ES"/>
        </w:rPr>
        <w:t xml:space="preserve"> </w:t>
      </w:r>
      <w:r w:rsidRPr="007B3674">
        <w:rPr>
          <w:rFonts w:ascii="Times New Roman" w:hAnsi="Times New Roman" w:cs="Times New Roman"/>
          <w:i/>
          <w:iCs/>
          <w:sz w:val="24"/>
          <w:szCs w:val="24"/>
          <w:lang w:val="es-ES"/>
        </w:rPr>
        <w:t>caudatus</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fuente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pueblos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indígenas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Andes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peruanos;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cebada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w:t>
      </w:r>
      <w:r w:rsidRPr="007B3674">
        <w:rPr>
          <w:rFonts w:ascii="Times New Roman" w:hAnsi="Times New Roman" w:cs="Times New Roman"/>
          <w:i/>
          <w:iCs/>
          <w:sz w:val="24"/>
          <w:szCs w:val="24"/>
          <w:lang w:val="es-ES"/>
        </w:rPr>
        <w:t>Hordeum</w:t>
      </w:r>
      <w:r w:rsidR="00D136BB">
        <w:rPr>
          <w:rFonts w:ascii="Times New Roman" w:hAnsi="Times New Roman" w:cs="Times New Roman"/>
          <w:i/>
          <w:iCs/>
          <w:sz w:val="24"/>
          <w:szCs w:val="24"/>
          <w:lang w:val="es-ES"/>
        </w:rPr>
        <w:t xml:space="preserve"> </w:t>
      </w:r>
      <w:r w:rsidRPr="007B3674">
        <w:rPr>
          <w:rFonts w:ascii="Times New Roman" w:hAnsi="Times New Roman" w:cs="Times New Roman"/>
          <w:i/>
          <w:iCs/>
          <w:sz w:val="24"/>
          <w:szCs w:val="24"/>
          <w:lang w:val="es-ES"/>
        </w:rPr>
        <w:t>vulgare</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'Centenario'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producida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2006</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utilizando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técnicas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irradiación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hoy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valles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Andes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peruanos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niveles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007B3674">
        <w:rPr>
          <w:rFonts w:ascii="Times New Roman" w:hAnsi="Times New Roman" w:cs="Times New Roman"/>
          <w:sz w:val="24"/>
          <w:szCs w:val="24"/>
          <w:lang w:val="es-ES"/>
        </w:rPr>
        <w:t>rendimiento</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Otros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ejemplos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tienen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Cuba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Brasil.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Cuba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arroz</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LP-7</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posee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tiene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tolerancia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salinidad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plagas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viene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contribuyendo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seguridad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alimentaria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años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(Gonzales,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2016).</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Brasil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desarrolló</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líneas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arroz</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(Oryza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sativa)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tienen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resistencia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herbicidas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aryloxyphenoxypropionate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través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inducidas,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líneas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están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liberación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agricultores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(Andrade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2018).</w:t>
      </w:r>
    </w:p>
    <w:p w14:paraId="50FE75BC" w14:textId="069F45BB" w:rsidR="00436D72" w:rsidRPr="00031A5F" w:rsidRDefault="00436D72" w:rsidP="00436D72">
      <w:pPr>
        <w:autoSpaceDE w:val="0"/>
        <w:autoSpaceDN w:val="0"/>
        <w:adjustRightInd w:val="0"/>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Otra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necesidad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crítica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mejoría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resistencia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vegetales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transfronterizas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ocurre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banano</w:t>
      </w:r>
      <w:r w:rsidRPr="007B3674">
        <w:rPr>
          <w:rFonts w:ascii="Times New Roman" w:hAnsi="Times New Roman" w:cs="Times New Roman"/>
          <w:i/>
          <w:iCs/>
          <w:sz w:val="24"/>
          <w:szCs w:val="24"/>
          <w:lang w:val="es-ES"/>
        </w:rPr>
        <w:t>,</w:t>
      </w:r>
      <w:r w:rsidR="00D136BB">
        <w:rPr>
          <w:rFonts w:ascii="Times New Roman" w:hAnsi="Times New Roman" w:cs="Times New Roman"/>
          <w:i/>
          <w:iCs/>
          <w:sz w:val="24"/>
          <w:szCs w:val="24"/>
          <w:lang w:val="es-ES"/>
        </w:rPr>
        <w:t xml:space="preserve"> </w:t>
      </w:r>
      <w:r w:rsidRPr="007B3674">
        <w:rPr>
          <w:rFonts w:ascii="Times New Roman" w:hAnsi="Times New Roman" w:cs="Times New Roman"/>
          <w:i/>
          <w:iCs/>
          <w:sz w:val="24"/>
          <w:szCs w:val="24"/>
          <w:lang w:val="es-ES"/>
        </w:rPr>
        <w:t>Fusarium</w:t>
      </w:r>
      <w:r w:rsidR="00D136BB">
        <w:rPr>
          <w:rFonts w:ascii="Times New Roman" w:hAnsi="Times New Roman" w:cs="Times New Roman"/>
          <w:i/>
          <w:iCs/>
          <w:sz w:val="24"/>
          <w:szCs w:val="24"/>
          <w:lang w:val="es-ES"/>
        </w:rPr>
        <w:t xml:space="preserve"> </w:t>
      </w:r>
      <w:r w:rsidRPr="007B3674">
        <w:rPr>
          <w:rFonts w:ascii="Times New Roman" w:hAnsi="Times New Roman" w:cs="Times New Roman"/>
          <w:i/>
          <w:iCs/>
          <w:sz w:val="24"/>
          <w:szCs w:val="24"/>
          <w:lang w:val="es-ES"/>
        </w:rPr>
        <w:t>sp.</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Panamá</w:t>
      </w:r>
      <w:r w:rsidR="007B3674"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007B3674"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restricción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banano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durante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más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siglo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incluidos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América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Latina.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causada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hongo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transmitido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suelo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llamado</w:t>
      </w:r>
      <w:r w:rsidR="00D136BB">
        <w:rPr>
          <w:rFonts w:ascii="Times New Roman" w:hAnsi="Times New Roman" w:cs="Times New Roman"/>
          <w:sz w:val="24"/>
          <w:szCs w:val="24"/>
          <w:lang w:val="es-ES"/>
        </w:rPr>
        <w:t xml:space="preserve"> </w:t>
      </w:r>
      <w:r w:rsidRPr="007B3674">
        <w:rPr>
          <w:rFonts w:ascii="Times New Roman" w:hAnsi="Times New Roman" w:cs="Times New Roman"/>
          <w:i/>
          <w:iCs/>
          <w:sz w:val="24"/>
          <w:szCs w:val="24"/>
          <w:lang w:val="es-ES"/>
        </w:rPr>
        <w:t>Fusarium</w:t>
      </w:r>
      <w:r w:rsidR="00D136BB">
        <w:rPr>
          <w:rFonts w:ascii="Times New Roman" w:hAnsi="Times New Roman" w:cs="Times New Roman"/>
          <w:i/>
          <w:iCs/>
          <w:sz w:val="24"/>
          <w:szCs w:val="24"/>
          <w:lang w:val="es-ES"/>
        </w:rPr>
        <w:t xml:space="preserve"> </w:t>
      </w:r>
      <w:r w:rsidRPr="007B3674">
        <w:rPr>
          <w:rFonts w:ascii="Times New Roman" w:hAnsi="Times New Roman" w:cs="Times New Roman"/>
          <w:i/>
          <w:iCs/>
          <w:sz w:val="24"/>
          <w:szCs w:val="24"/>
          <w:lang w:val="es-ES"/>
        </w:rPr>
        <w:t>oxysporum</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sp.</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cubense.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patógeno,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raza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TR4,</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sigue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siendo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viable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durante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décadas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suelo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difícil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erradicar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2014).</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Otra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roya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café,</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causada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hongo</w:t>
      </w:r>
      <w:r w:rsidR="00D136BB">
        <w:rPr>
          <w:rFonts w:ascii="Times New Roman" w:hAnsi="Times New Roman" w:cs="Times New Roman"/>
          <w:sz w:val="24"/>
          <w:szCs w:val="24"/>
          <w:lang w:val="es-ES"/>
        </w:rPr>
        <w:t xml:space="preserve"> </w:t>
      </w:r>
      <w:r w:rsidRPr="007B3674">
        <w:rPr>
          <w:rFonts w:ascii="Times New Roman" w:hAnsi="Times New Roman" w:cs="Times New Roman"/>
          <w:i/>
          <w:iCs/>
          <w:sz w:val="24"/>
          <w:szCs w:val="24"/>
          <w:lang w:val="es-ES"/>
        </w:rPr>
        <w:t>Hemileia</w:t>
      </w:r>
      <w:r w:rsidR="00D136BB">
        <w:rPr>
          <w:rFonts w:ascii="Times New Roman" w:hAnsi="Times New Roman" w:cs="Times New Roman"/>
          <w:i/>
          <w:iCs/>
          <w:sz w:val="24"/>
          <w:szCs w:val="24"/>
          <w:lang w:val="es-ES"/>
        </w:rPr>
        <w:t xml:space="preserve"> </w:t>
      </w:r>
      <w:r w:rsidRPr="007B3674">
        <w:rPr>
          <w:rFonts w:ascii="Times New Roman" w:hAnsi="Times New Roman" w:cs="Times New Roman"/>
          <w:i/>
          <w:iCs/>
          <w:sz w:val="24"/>
          <w:szCs w:val="24"/>
          <w:lang w:val="es-ES"/>
        </w:rPr>
        <w:t>vastatrix</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parásito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obligatorio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afecta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hojas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vivas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plantas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género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Coffea,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convirtió</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preocupación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latinoamericanos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productores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café</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(Avelino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2015).</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OIEA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FAO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puesto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marcha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proyecto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investigación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coordinado,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centrado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directamente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importantes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tanto,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colaboración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OIEA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sería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gran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ventaja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apoyar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nuevas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especies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plátano/café</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serían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resistentes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enfermedades.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técnica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mutaciones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biotecnologías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combinadas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pueden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contribuir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desarrollo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nuevas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variedades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banano/café</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adaptarse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condiciones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ambientales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América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Latina.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(Ingelbrecht,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2019)</w:t>
      </w:r>
    </w:p>
    <w:p w14:paraId="4CF780EB" w14:textId="413016E5" w:rsidR="00436D72" w:rsidRPr="00031A5F" w:rsidRDefault="00436D72" w:rsidP="00436D72">
      <w:pPr>
        <w:autoSpaceDE w:val="0"/>
        <w:autoSpaceDN w:val="0"/>
        <w:adjustRightInd w:val="0"/>
        <w:jc w:val="both"/>
        <w:rPr>
          <w:rFonts w:ascii="Times New Roman" w:hAnsi="Times New Roman" w:cs="Times New Roman"/>
          <w:sz w:val="24"/>
          <w:szCs w:val="24"/>
          <w:lang w:val="es-ES"/>
        </w:rPr>
      </w:pPr>
      <w:r w:rsidRPr="00031A5F">
        <w:rPr>
          <w:rFonts w:ascii="Times New Roman" w:hAnsi="Times New Roman" w:cs="Times New Roman"/>
          <w:b/>
          <w:sz w:val="24"/>
          <w:szCs w:val="24"/>
          <w:lang w:val="es-ES"/>
        </w:rPr>
        <w:lastRenderedPageBreak/>
        <w:t>Objetivo</w:t>
      </w:r>
      <w:r w:rsidRPr="00031A5F">
        <w:rPr>
          <w:rFonts w:ascii="Times New Roman" w:hAnsi="Times New Roman" w:cs="Times New Roman"/>
          <w:sz w:val="24"/>
          <w:szCs w:val="24"/>
          <w:lang w:val="es-ES"/>
        </w:rPr>
        <w:t>:</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Aumentar</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rendimiento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cultivos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adaptados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diversas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condiciones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estrés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derivados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efecto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cambio</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climático.</w:t>
      </w:r>
      <w:r w:rsidR="00D136BB">
        <w:rPr>
          <w:rFonts w:ascii="Times New Roman" w:hAnsi="Times New Roman" w:cs="Times New Roman"/>
          <w:sz w:val="24"/>
          <w:szCs w:val="24"/>
          <w:lang w:val="es-ES"/>
        </w:rPr>
        <w:t xml:space="preserve"> </w:t>
      </w:r>
    </w:p>
    <w:p w14:paraId="4E19861F" w14:textId="5951C5EB" w:rsidR="00436D72" w:rsidRPr="00031A5F" w:rsidRDefault="00436D72" w:rsidP="00436D72">
      <w:pPr>
        <w:autoSpaceDE w:val="0"/>
        <w:autoSpaceDN w:val="0"/>
        <w:adjustRightInd w:val="0"/>
        <w:jc w:val="both"/>
        <w:rPr>
          <w:rFonts w:ascii="Times New Roman" w:hAnsi="Times New Roman" w:cs="Times New Roman"/>
          <w:iCs/>
          <w:sz w:val="24"/>
          <w:szCs w:val="24"/>
          <w:lang w:val="es-ES"/>
        </w:rPr>
      </w:pPr>
      <w:r w:rsidRPr="00031A5F">
        <w:rPr>
          <w:rFonts w:ascii="Times New Roman" w:hAnsi="Times New Roman" w:cs="Times New Roman"/>
          <w:b/>
          <w:bCs/>
          <w:iCs/>
          <w:sz w:val="24"/>
          <w:szCs w:val="24"/>
          <w:lang w:val="es-ES"/>
        </w:rPr>
        <w:t>Indicador:</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Variedades</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de</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alto</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rendimiento</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adaptadas</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a</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diversas</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condiciones</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de</w:t>
      </w:r>
      <w:r w:rsidR="00D136BB">
        <w:rPr>
          <w:rFonts w:ascii="Times New Roman" w:hAnsi="Times New Roman" w:cs="Times New Roman"/>
          <w:iCs/>
          <w:sz w:val="24"/>
          <w:szCs w:val="24"/>
          <w:lang w:val="es-ES"/>
        </w:rPr>
        <w:t xml:space="preserve"> </w:t>
      </w:r>
      <w:r w:rsidRPr="00031A5F">
        <w:rPr>
          <w:rFonts w:ascii="Times New Roman" w:hAnsi="Times New Roman" w:cs="Times New Roman"/>
          <w:iCs/>
          <w:sz w:val="24"/>
          <w:szCs w:val="24"/>
          <w:lang w:val="es-ES"/>
        </w:rPr>
        <w:t>estrés.</w:t>
      </w:r>
    </w:p>
    <w:p w14:paraId="443B296E" w14:textId="77777777" w:rsidR="00436D72" w:rsidRPr="00031A5F" w:rsidRDefault="00436D72" w:rsidP="00627A67">
      <w:pPr>
        <w:jc w:val="both"/>
        <w:rPr>
          <w:rFonts w:ascii="Times New Roman" w:hAnsi="Times New Roman" w:cs="Times New Roman"/>
          <w:sz w:val="24"/>
          <w:szCs w:val="24"/>
          <w:u w:val="single"/>
        </w:rPr>
      </w:pPr>
    </w:p>
    <w:p w14:paraId="2CB13675" w14:textId="66D03E56" w:rsidR="00436D72" w:rsidRPr="00031A5F" w:rsidRDefault="00436D72" w:rsidP="00436D72">
      <w:pPr>
        <w:jc w:val="both"/>
        <w:rPr>
          <w:rFonts w:ascii="Times New Roman" w:hAnsi="Times New Roman" w:cs="Times New Roman"/>
          <w:b/>
          <w:sz w:val="24"/>
          <w:szCs w:val="24"/>
          <w:u w:val="single"/>
        </w:rPr>
      </w:pPr>
      <w:r w:rsidRPr="00031A5F">
        <w:rPr>
          <w:rFonts w:ascii="Times New Roman" w:hAnsi="Times New Roman" w:cs="Times New Roman"/>
          <w:b/>
          <w:sz w:val="24"/>
          <w:szCs w:val="24"/>
          <w:u w:val="single"/>
        </w:rPr>
        <w:t>A3.</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Mejoramiento</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animales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reconocida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importancia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económica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y</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apoyo</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iniciativas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para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mejorar</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el</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rendimiento/producción</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y</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el</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potencial</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comercial</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animales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la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biodiversidad</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regional.</w:t>
      </w:r>
    </w:p>
    <w:p w14:paraId="2582E3A6" w14:textId="7DAB5F49"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b/>
          <w:sz w:val="24"/>
          <w:szCs w:val="24"/>
        </w:rPr>
        <w:t>Justificación</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centro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gravedad</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producción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ganadera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está</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moviendo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hacia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sur,</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y</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algunos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países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están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emergiendo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como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nuevos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y</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poderosos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actores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mercado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global</w:t>
      </w:r>
      <w:r w:rsidRPr="00031A5F">
        <w:rPr>
          <w:rFonts w:ascii="Times New Roman" w:hAnsi="Times New Roman" w:cs="Times New Roman"/>
          <w:color w:val="000000" w:themeColor="text1"/>
          <w:sz w:val="24"/>
          <w:szCs w:val="24"/>
        </w:rPr>
        <w:t>.</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(FAO,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2006)</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FAO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estima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año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2050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población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mundial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será</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9,600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millones.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tomando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base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nivel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pecuaria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2010,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requerirá</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2050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satisfacer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demanda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alimenticia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origen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población,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incrementar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carne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pollo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170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lácteos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entre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80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100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igual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carne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bovina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cordero,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carne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cerdo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65</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70%.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representa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gran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w:t>
      </w:r>
      <w:r w:rsidR="00422B5D">
        <w:rPr>
          <w:rFonts w:ascii="Times New Roman" w:hAnsi="Times New Roman" w:cs="Times New Roman"/>
          <w:color w:val="000000" w:themeColor="text1"/>
          <w:sz w:val="24"/>
          <w:szCs w:val="24"/>
        </w:rPr>
        <w:t>y</w:t>
      </w:r>
      <w:r w:rsidRPr="00031A5F">
        <w:rPr>
          <w:rFonts w:ascii="Times New Roman" w:hAnsi="Times New Roman" w:cs="Times New Roman"/>
          <w:color w:val="000000" w:themeColor="text1"/>
          <w:sz w:val="24"/>
          <w:szCs w:val="24"/>
        </w:rPr>
        <w:t>C</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si</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desea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competitiva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cubrir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futuras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demandas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pecuarios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satisfacer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seguridad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alimentaria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países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integran.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(Vargas,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2018)</w:t>
      </w:r>
    </w:p>
    <w:p w14:paraId="2964132D" w14:textId="7E65F4D3"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rPr>
        <w:t>Una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formas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reducir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déficit</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alimentario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través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incremento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sostenible.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últimas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décadas,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mejoramiento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genético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ganado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logrado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incrementos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significativos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productividad,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resistencia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enfermedades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plagas.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mejoramiento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aplican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técnicas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nucleares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controlar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ciclo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reproductivo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(radioinmunoanálisis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medición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hormonal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fin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acortar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periodo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entre</w:t>
      </w:r>
      <w:r w:rsidR="00D136BB">
        <w:rPr>
          <w:rFonts w:ascii="Times New Roman" w:hAnsi="Times New Roman" w:cs="Times New Roman"/>
          <w:color w:val="000000" w:themeColor="text1"/>
          <w:sz w:val="24"/>
          <w:szCs w:val="24"/>
        </w:rPr>
        <w:t xml:space="preserve"> </w:t>
      </w:r>
      <w:r w:rsidR="007B3674" w:rsidRPr="00031A5F">
        <w:rPr>
          <w:rFonts w:ascii="Times New Roman" w:hAnsi="Times New Roman" w:cs="Times New Roman"/>
          <w:color w:val="000000" w:themeColor="text1"/>
          <w:sz w:val="24"/>
          <w:szCs w:val="24"/>
        </w:rPr>
        <w:t>partos,</w:t>
      </w:r>
      <w:r w:rsidR="00D136BB">
        <w:rPr>
          <w:rFonts w:ascii="Times New Roman" w:hAnsi="Times New Roman" w:cs="Times New Roman"/>
          <w:color w:val="000000" w:themeColor="text1"/>
          <w:sz w:val="24"/>
          <w:szCs w:val="24"/>
        </w:rPr>
        <w:t xml:space="preserve"> </w:t>
      </w:r>
      <w:r w:rsidR="007B3674">
        <w:rPr>
          <w:rFonts w:ascii="Times New Roman" w:hAnsi="Times New Roman" w:cs="Times New Roman"/>
          <w:color w:val="000000" w:themeColor="text1"/>
          <w:sz w:val="24"/>
          <w:szCs w:val="24"/>
        </w:rPr>
        <w:t>b</w:t>
      </w:r>
      <w:r w:rsidRPr="00031A5F">
        <w:rPr>
          <w:rFonts w:ascii="Times New Roman" w:hAnsi="Times New Roman" w:cs="Times New Roman"/>
          <w:color w:val="000000" w:themeColor="text1"/>
          <w:sz w:val="24"/>
          <w:szCs w:val="24"/>
        </w:rPr>
        <w:t>)</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eficiencia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nutricional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técnicas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marcación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isotópica.</w:t>
      </w:r>
    </w:p>
    <w:p w14:paraId="7F405DD7" w14:textId="0E5FF9E0"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lang w:val="es-ES"/>
        </w:rPr>
        <w:t>La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sostenibilidad</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basa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principio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general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que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debemos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satisfacer</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necesidades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presente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sin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comprometer</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capacidad</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generaciones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futuras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para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satisfacer</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sus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propias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necesidades.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uso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prácticas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sostenibles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control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significa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no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sólo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que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prácticas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mantienen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tiempo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(sostenibilidad</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técnica),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pero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certeza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que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no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causarán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efectos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adversos</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medio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ambiente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(sostenibilidad</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ambiental)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y</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sostenibilidad</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humana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(socioeconómica)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rPr>
        <w:t>(Peter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et</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2005).</w:t>
      </w:r>
    </w:p>
    <w:p w14:paraId="635CFFA8" w14:textId="2C4CCC65"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necesidad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disminuir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vulnerabilidad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domésticos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posee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carácter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subregional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(camélidos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sudamericanos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andina)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regional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(razas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“criollas”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bovinos,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ovinos,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caprinos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bufalinos)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requiere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establecimiento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planos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caracterización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genética,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conservación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razas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forma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permitir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preservación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germoplasma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situ;</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así</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identificación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involucrados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características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adaptación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poblaciones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selección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otras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razas,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mejorando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niveles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productividad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ambientes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específicos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región.</w:t>
      </w:r>
    </w:p>
    <w:p w14:paraId="01C8C84C" w14:textId="30B93193"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energía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nuclear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suma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importancia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durante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procesos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caracterización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genética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generación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paneles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células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hibridas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irradiadas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(rayos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X)</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mapeo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génico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lastRenderedPageBreak/>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procesos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marcación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radioactiva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w:t>
      </w:r>
      <w:r w:rsidRPr="007B3674">
        <w:rPr>
          <w:rFonts w:ascii="Times New Roman" w:hAnsi="Times New Roman" w:cs="Times New Roman"/>
          <w:color w:val="000000" w:themeColor="text1"/>
          <w:sz w:val="24"/>
          <w:szCs w:val="24"/>
          <w:vertAlign w:val="superscript"/>
        </w:rPr>
        <w:t>32</w:t>
      </w:r>
      <w:r w:rsidRPr="00031A5F">
        <w:rPr>
          <w:rFonts w:ascii="Times New Roman" w:hAnsi="Times New Roman" w:cs="Times New Roman"/>
          <w:color w:val="000000" w:themeColor="text1"/>
          <w:sz w:val="24"/>
          <w:szCs w:val="24"/>
        </w:rPr>
        <w:t>P</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7B3674">
        <w:rPr>
          <w:rFonts w:ascii="Times New Roman" w:hAnsi="Times New Roman" w:cs="Times New Roman"/>
          <w:color w:val="000000" w:themeColor="text1"/>
          <w:sz w:val="24"/>
          <w:szCs w:val="24"/>
          <w:vertAlign w:val="superscript"/>
        </w:rPr>
        <w:t>33</w:t>
      </w:r>
      <w:r w:rsidRPr="00031A5F">
        <w:rPr>
          <w:rFonts w:ascii="Times New Roman" w:hAnsi="Times New Roman" w:cs="Times New Roman"/>
          <w:color w:val="000000" w:themeColor="text1"/>
          <w:sz w:val="24"/>
          <w:szCs w:val="24"/>
        </w:rPr>
        <w:t>P)</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síntesis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sondas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radiactivas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análisis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regiones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genómicas.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combinado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técnicas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nucleares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otras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técnicas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biotecnológicas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posible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conocer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mejor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procesos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controlan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activación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génica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adaptados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distintas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zonas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agro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ecológicas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vez</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conocidos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involucrados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procesos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adaptación,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posible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estudiar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simultáneamente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expresión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diferentes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circunstancias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fisiológicas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ambientales,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generando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informaciones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útiles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desarrollo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herramientas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selección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genética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superiores,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así</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estrategias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manejo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adecuado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recursos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genéticos.</w:t>
      </w:r>
    </w:p>
    <w:p w14:paraId="0EB8AD2E" w14:textId="22C17733"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rPr>
        <w:t>Asimismo,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medidas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crearán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bases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desarrollo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tecnología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basada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marcadores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genéticos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reproducción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asistida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especies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interés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zootécnico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adecuado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mérito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genético.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Igualmente,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resultados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permitirán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mejor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biotecnologías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reproductivas,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incluyendo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programas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inseminación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artificial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transferencia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embriones,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así</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mejorar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estrategias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recursos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forrajeros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alimentación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mitigación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emisión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gases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efecto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invernadero.</w:t>
      </w:r>
    </w:p>
    <w:p w14:paraId="5DD87F93" w14:textId="76BF6021"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lang w:val="es-ES"/>
        </w:rPr>
        <w:t>Durante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segunda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mitad</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siglo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XX</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y</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comienzo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presente,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el</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mundo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ha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experimentado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un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proceso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de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modernización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acelerado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con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un</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crecimiento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insostenible</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a</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largo</w:t>
      </w:r>
      <w:r w:rsidR="00D136BB">
        <w:rPr>
          <w:rFonts w:ascii="Times New Roman" w:hAnsi="Times New Roman" w:cs="Times New Roman"/>
          <w:color w:val="000000" w:themeColor="text1"/>
          <w:sz w:val="24"/>
          <w:szCs w:val="24"/>
          <w:lang w:val="es-ES"/>
        </w:rPr>
        <w:t xml:space="preserve"> </w:t>
      </w:r>
      <w:r w:rsidRPr="00031A5F">
        <w:rPr>
          <w:rFonts w:ascii="Times New Roman" w:hAnsi="Times New Roman" w:cs="Times New Roman"/>
          <w:color w:val="000000" w:themeColor="text1"/>
          <w:sz w:val="24"/>
          <w:szCs w:val="24"/>
          <w:lang w:val="es-ES"/>
        </w:rPr>
        <w:t>plazo</w:t>
      </w:r>
      <w:r w:rsidRPr="00031A5F">
        <w:rPr>
          <w:rFonts w:ascii="Times New Roman" w:hAnsi="Times New Roman" w:cs="Times New Roman"/>
          <w:color w:val="000000" w:themeColor="text1"/>
          <w:sz w:val="24"/>
          <w:szCs w:val="24"/>
        </w:rPr>
        <w:t>.(Henrioud,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2011)</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Haciendo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vez</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más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necesario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proveer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productores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agropecuarios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toda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herramientas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tecnológicas,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pues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conocimiento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germoplasmas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posean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características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genéticas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adaptación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productividad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calidad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manejo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ambiental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sostenible,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tiende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incrementar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valor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sus</w:t>
      </w:r>
      <w:r w:rsidR="00D136BB">
        <w:rPr>
          <w:rFonts w:ascii="Times New Roman" w:hAnsi="Times New Roman" w:cs="Times New Roman"/>
          <w:color w:val="000000" w:themeColor="text1"/>
          <w:sz w:val="24"/>
          <w:szCs w:val="24"/>
        </w:rPr>
        <w:t xml:space="preserve"> </w:t>
      </w:r>
      <w:r w:rsidR="00627A67" w:rsidRPr="00031A5F">
        <w:rPr>
          <w:rFonts w:ascii="Times New Roman" w:hAnsi="Times New Roman" w:cs="Times New Roman"/>
          <w:color w:val="000000" w:themeColor="text1"/>
          <w:sz w:val="24"/>
          <w:szCs w:val="24"/>
        </w:rPr>
        <w:t>subproductos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consecuente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aumento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ingreso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económico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agricultores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divisas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países.</w:t>
      </w:r>
    </w:p>
    <w:p w14:paraId="55A30E48" w14:textId="311A5238"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b/>
          <w:color w:val="000000" w:themeColor="text1"/>
          <w:sz w:val="24"/>
          <w:szCs w:val="24"/>
        </w:rPr>
        <w:t>Objetivo: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Incrementar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alimentos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través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mejoramiento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p>
    <w:p w14:paraId="6B67BEDD" w14:textId="1E864286" w:rsidR="00436D72"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b/>
          <w:color w:val="000000" w:themeColor="text1"/>
          <w:sz w:val="24"/>
          <w:szCs w:val="24"/>
        </w:rPr>
        <w:t>Indicador: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Numero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animales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genotipados.</w:t>
      </w:r>
    </w:p>
    <w:p w14:paraId="1FB2CDEC" w14:textId="77777777" w:rsidR="004773AD" w:rsidRPr="00031A5F" w:rsidRDefault="004773AD" w:rsidP="00436D72">
      <w:pPr>
        <w:jc w:val="both"/>
        <w:rPr>
          <w:rFonts w:ascii="Times New Roman" w:hAnsi="Times New Roman" w:cs="Times New Roman"/>
          <w:color w:val="000000" w:themeColor="text1"/>
          <w:sz w:val="24"/>
          <w:szCs w:val="24"/>
        </w:rPr>
      </w:pPr>
    </w:p>
    <w:p w14:paraId="061214E8" w14:textId="3D0D2213" w:rsidR="00436D72" w:rsidRPr="00031A5F" w:rsidRDefault="00436D72" w:rsidP="00436D72">
      <w:pPr>
        <w:jc w:val="both"/>
        <w:rPr>
          <w:rFonts w:ascii="Times New Roman" w:hAnsi="Times New Roman" w:cs="Times New Roman"/>
          <w:sz w:val="24"/>
          <w:szCs w:val="24"/>
          <w:lang w:val="es-DO"/>
        </w:rPr>
      </w:pPr>
      <w:r w:rsidRPr="00031A5F">
        <w:rPr>
          <w:rFonts w:ascii="Times New Roman" w:hAnsi="Times New Roman" w:cs="Times New Roman"/>
          <w:b/>
          <w:sz w:val="24"/>
          <w:szCs w:val="24"/>
          <w:lang w:val="es-DO"/>
        </w:rPr>
        <w:t>A4.</w:t>
      </w:r>
      <w:r w:rsidR="00D136BB">
        <w:rPr>
          <w:rFonts w:ascii="Times New Roman" w:hAnsi="Times New Roman" w:cs="Times New Roman"/>
          <w:b/>
          <w:sz w:val="24"/>
          <w:szCs w:val="24"/>
          <w:lang w:val="es-DO"/>
        </w:rPr>
        <w:t xml:space="preserve"> </w:t>
      </w:r>
      <w:r w:rsidRPr="00031A5F">
        <w:rPr>
          <w:rFonts w:ascii="Times New Roman" w:hAnsi="Times New Roman" w:cs="Times New Roman"/>
          <w:b/>
          <w:sz w:val="24"/>
          <w:szCs w:val="24"/>
          <w:u w:val="single"/>
          <w:lang w:val="es-DO"/>
        </w:rPr>
        <w:t>Ocurrencia</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de</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enfermedades</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de</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carácter</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transfronterizo</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y</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de</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declaración</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obligatoria,</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incluyendo</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aquellas</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que</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tienen</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repercusiones</w:t>
      </w:r>
      <w:r w:rsidR="00D136BB">
        <w:rPr>
          <w:rFonts w:ascii="Times New Roman" w:hAnsi="Times New Roman" w:cs="Times New Roman"/>
          <w:b/>
          <w:sz w:val="24"/>
          <w:szCs w:val="24"/>
          <w:u w:val="single"/>
          <w:lang w:val="es-DO"/>
        </w:rPr>
        <w:t xml:space="preserve"> </w:t>
      </w:r>
      <w:r w:rsidRPr="00031A5F">
        <w:rPr>
          <w:rFonts w:ascii="Times New Roman" w:hAnsi="Times New Roman" w:cs="Times New Roman"/>
          <w:b/>
          <w:sz w:val="24"/>
          <w:szCs w:val="24"/>
          <w:u w:val="single"/>
          <w:lang w:val="es-DO"/>
        </w:rPr>
        <w:t>zoonóticas</w:t>
      </w:r>
      <w:r w:rsidR="00D136BB">
        <w:rPr>
          <w:rFonts w:ascii="Times New Roman" w:hAnsi="Times New Roman" w:cs="Times New Roman"/>
          <w:sz w:val="24"/>
          <w:szCs w:val="24"/>
          <w:lang w:val="es-DO"/>
        </w:rPr>
        <w:t xml:space="preserve"> </w:t>
      </w:r>
    </w:p>
    <w:p w14:paraId="7EB8BC0E" w14:textId="29AAFB41" w:rsidR="00436D72" w:rsidRPr="00031A5F" w:rsidRDefault="00436D72" w:rsidP="00436D72">
      <w:pPr>
        <w:jc w:val="both"/>
        <w:rPr>
          <w:rFonts w:ascii="Times New Roman" w:hAnsi="Times New Roman" w:cs="Times New Roman"/>
          <w:sz w:val="24"/>
          <w:szCs w:val="24"/>
          <w:lang w:val="es-DO"/>
        </w:rPr>
      </w:pPr>
      <w:r w:rsidRPr="00031A5F">
        <w:rPr>
          <w:rFonts w:ascii="Times New Roman" w:hAnsi="Times New Roman" w:cs="Times New Roman"/>
          <w:b/>
          <w:sz w:val="24"/>
          <w:szCs w:val="24"/>
          <w:lang w:val="es-DO"/>
        </w:rPr>
        <w:t>Justificación: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continente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americano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están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separados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aproximadamente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50,000</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km</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fronteras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tierra,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establecidas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básicamente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motivos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geopolíticos,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impiden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difusión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propagación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plagas.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sentido,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iniciativa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Fronteras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Globales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Transfronterizas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(GF-TAD,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siglas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inglés),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resultado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acuerdo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oficial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entre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Organización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Mundial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Sanidad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(OIE)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FAO,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aborda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desafío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combatir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perspectiva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regional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hemisférica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(OIE,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2007;</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FAO-OIE,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2011).</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representa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gran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w:t>
      </w:r>
      <w:r w:rsidR="00422B5D">
        <w:rPr>
          <w:rFonts w:ascii="Times New Roman" w:hAnsi="Times New Roman" w:cs="Times New Roman"/>
          <w:sz w:val="24"/>
          <w:szCs w:val="24"/>
          <w:lang w:val="es-DO"/>
        </w:rPr>
        <w:t>y</w:t>
      </w:r>
      <w:r w:rsidRPr="00031A5F">
        <w:rPr>
          <w:rFonts w:ascii="Times New Roman" w:hAnsi="Times New Roman" w:cs="Times New Roman"/>
          <w:sz w:val="24"/>
          <w:szCs w:val="24"/>
          <w:lang w:val="es-DO"/>
        </w:rPr>
        <w:t>C</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si</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desea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competitiva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cubrir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futuras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demandas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pecuarios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satisfacer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seguridad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alimentaria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integran.</w:t>
      </w:r>
    </w:p>
    <w:p w14:paraId="101352A2" w14:textId="700D4948" w:rsidR="00436D72" w:rsidRPr="00031A5F" w:rsidRDefault="00436D72" w:rsidP="00436D72">
      <w:pPr>
        <w:jc w:val="both"/>
        <w:rPr>
          <w:rFonts w:ascii="Times New Roman" w:hAnsi="Times New Roman" w:cs="Times New Roman"/>
          <w:sz w:val="24"/>
          <w:szCs w:val="24"/>
          <w:lang w:val="es-DO"/>
        </w:rPr>
      </w:pPr>
      <w:r w:rsidRPr="00031A5F">
        <w:rPr>
          <w:rFonts w:ascii="Times New Roman" w:hAnsi="Times New Roman" w:cs="Times New Roman"/>
          <w:sz w:val="24"/>
          <w:szCs w:val="24"/>
          <w:lang w:val="es-DO"/>
        </w:rPr>
        <w:lastRenderedPageBreak/>
        <w:t>Con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población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mundial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espera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superar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9,700</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millones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personas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2050,</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calcula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crecerá</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significativamente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satisfacer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progresiva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demanda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carne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leche.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sin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duda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genera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oportunidades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únicas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continente</w:t>
      </w:r>
      <w:r w:rsidR="00D136BB">
        <w:rPr>
          <w:rFonts w:ascii="Times New Roman" w:hAnsi="Times New Roman" w:cs="Times New Roman"/>
          <w:sz w:val="24"/>
          <w:szCs w:val="24"/>
          <w:lang w:val="es-DO"/>
        </w:rPr>
        <w:t xml:space="preserve"> </w:t>
      </w:r>
      <w:r w:rsidR="004C118A">
        <w:rPr>
          <w:rFonts w:ascii="Times New Roman" w:hAnsi="Times New Roman" w:cs="Times New Roman"/>
          <w:sz w:val="24"/>
          <w:szCs w:val="24"/>
          <w:lang w:val="es-DO"/>
        </w:rPr>
        <w:t>a</w:t>
      </w:r>
      <w:r w:rsidRPr="00031A5F">
        <w:rPr>
          <w:rFonts w:ascii="Times New Roman" w:hAnsi="Times New Roman" w:cs="Times New Roman"/>
          <w:sz w:val="24"/>
          <w:szCs w:val="24"/>
          <w:lang w:val="es-DO"/>
        </w:rPr>
        <w:t>mericano,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fin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satisfacer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demanda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futuros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mercados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presentar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óptima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condición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sanitaria.</w:t>
      </w:r>
    </w:p>
    <w:p w14:paraId="5055D9E8" w14:textId="57327022" w:rsidR="00436D72" w:rsidRPr="00031A5F" w:rsidRDefault="00436D72" w:rsidP="00436D72">
      <w:pPr>
        <w:jc w:val="both"/>
        <w:rPr>
          <w:rFonts w:ascii="Times New Roman" w:hAnsi="Times New Roman" w:cs="Times New Roman"/>
          <w:sz w:val="24"/>
          <w:szCs w:val="24"/>
          <w:lang w:val="es-DO"/>
        </w:rPr>
      </w:pP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otra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atomizado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ampliamente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difundido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Sistema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Pecuaria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Familiar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(SPPF)</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juega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papel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preponderante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solucionar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problema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hambre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América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Latina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Caribe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w:t>
      </w:r>
      <w:r w:rsidR="00422B5D">
        <w:rPr>
          <w:rFonts w:ascii="Times New Roman" w:hAnsi="Times New Roman" w:cs="Times New Roman"/>
          <w:sz w:val="24"/>
          <w:szCs w:val="24"/>
          <w:lang w:val="es-DO"/>
        </w:rPr>
        <w:t>y</w:t>
      </w:r>
      <w:r w:rsidRPr="00031A5F">
        <w:rPr>
          <w:rFonts w:ascii="Times New Roman" w:hAnsi="Times New Roman" w:cs="Times New Roman"/>
          <w:sz w:val="24"/>
          <w:szCs w:val="24"/>
          <w:lang w:val="es-DO"/>
        </w:rPr>
        <w:t>C)</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genera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alimentos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mercado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interno,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mejorando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seguridad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alimentaria,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nutrición,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creación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empleo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familiar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contribuye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desarrollo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nacional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(Vargas,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2018).</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SPPF</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dependen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asistencia</w:t>
      </w:r>
      <w:r w:rsidR="00D136BB">
        <w:rPr>
          <w:rFonts w:ascii="Times New Roman" w:hAnsi="Times New Roman" w:cs="Times New Roman"/>
          <w:sz w:val="24"/>
          <w:szCs w:val="24"/>
          <w:lang w:val="es-DO"/>
        </w:rPr>
        <w:t xml:space="preserve"> </w:t>
      </w:r>
      <w:r w:rsidR="007B3674"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007B3674">
        <w:rPr>
          <w:rFonts w:ascii="Times New Roman" w:hAnsi="Times New Roman" w:cs="Times New Roman"/>
          <w:sz w:val="24"/>
          <w:szCs w:val="24"/>
          <w:lang w:val="es-DO"/>
        </w:rPr>
        <w:t>servicios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veterinarios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oficiales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altamente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capacitados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pongan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disposición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herramientas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permitan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alcanzar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estándares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mínimos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inocuidad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alimentos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producen.</w:t>
      </w:r>
    </w:p>
    <w:p w14:paraId="089576F2" w14:textId="0F90CA9A" w:rsidR="00436D72" w:rsidRPr="00031A5F" w:rsidRDefault="00436D72" w:rsidP="00436D72">
      <w:pPr>
        <w:jc w:val="both"/>
        <w:rPr>
          <w:rFonts w:ascii="Times New Roman" w:hAnsi="Times New Roman" w:cs="Times New Roman"/>
          <w:sz w:val="24"/>
          <w:szCs w:val="24"/>
          <w:lang w:val="es-DO"/>
        </w:rPr>
      </w:pP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dirección,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observan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diversas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acciones,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aunque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aún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aisladas,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encaminadas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desarrollo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perfeccionamiento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servicios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control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vigilancia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epidemiológica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emergentes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carácter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transfronterizo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importancia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económica.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Sin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embargo,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observa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elevada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disparidad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tecnológica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entre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pesar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carácter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transfronterizo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gran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relevancia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tema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economía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regional.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expuesto,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sin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embargo,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acompañado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factores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limitantes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tener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pleno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desarrollo,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presencia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diezman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capital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pecuario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control,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incrementan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costo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tanto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sector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industrial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SPPF</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entre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destacan: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miasis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Gusano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Barrenador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Ganado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(GBG),</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Fiebre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Aftosa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Peste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Porcina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Clásica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(PPC),</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Influenza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Aviar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Rabia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Encefalopatía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Espongiforme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Bovina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(EEB)</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(Vargas,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2018.</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brote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generaría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perdidas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incalculables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causaría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daños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irreversibles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actividad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pecuaria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económica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toda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debido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barreras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económicas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impuestas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importadores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derivados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animales.</w:t>
      </w:r>
    </w:p>
    <w:p w14:paraId="6900D756" w14:textId="77777777" w:rsidR="00436D72" w:rsidRPr="00031A5F" w:rsidRDefault="00436D72" w:rsidP="00436D72">
      <w:pPr>
        <w:jc w:val="both"/>
        <w:rPr>
          <w:rFonts w:ascii="Times New Roman" w:hAnsi="Times New Roman" w:cs="Times New Roman"/>
          <w:sz w:val="24"/>
          <w:szCs w:val="24"/>
          <w:lang w:val="es-DO"/>
        </w:rPr>
      </w:pPr>
    </w:p>
    <w:p w14:paraId="6051EBA3" w14:textId="57646F53" w:rsidR="00436D72" w:rsidRPr="00031A5F" w:rsidRDefault="00436D72" w:rsidP="00436D72">
      <w:pPr>
        <w:jc w:val="both"/>
        <w:rPr>
          <w:rFonts w:ascii="Times New Roman" w:hAnsi="Times New Roman" w:cs="Times New Roman"/>
          <w:sz w:val="24"/>
          <w:szCs w:val="24"/>
          <w:lang w:val="es-DO"/>
        </w:rPr>
      </w:pP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últimos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años,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crecientes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desafíos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declaración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obligatoria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algunas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transfronterizas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especial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aquellas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repercusiones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zoonóticas,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masivo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medicamentos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veterinarios,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efectos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cambio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climático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sobreexplotación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tierras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agrícolas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requieren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atención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especial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debe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abordarse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mediante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perspectiva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regional.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Entre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desafíos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debemos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abordar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encuentra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armonización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criterios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laboratorios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veterinarios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especialmente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atender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aquellas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tienen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consecuencias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efectos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sobre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salud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personas.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forma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hace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ineludible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establecer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regional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cooperación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entre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laboratorios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veterinarios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oficiales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similar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existentes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regiones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África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Asia.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Donde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través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generación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intercambio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datos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analíticos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relacionados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desafíos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pone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disposición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autoridades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nacionales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regionales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información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necesaria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contribuir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creación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políticas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públicas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control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mitigación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reducir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impactos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población.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Existe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necesidad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urgente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generen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información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analítica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confiable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nacional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regional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sobre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presencia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declaración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obligatoria,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fin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elaborar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lastRenderedPageBreak/>
        <w:t>análisis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riesgo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adecuado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establecer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políticas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control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mitigación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necesarias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protección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salud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medio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ambiente.</w:t>
      </w:r>
      <w:r w:rsidR="00D136BB">
        <w:rPr>
          <w:rFonts w:ascii="Times New Roman" w:hAnsi="Times New Roman" w:cs="Times New Roman"/>
          <w:sz w:val="24"/>
          <w:szCs w:val="24"/>
          <w:lang w:val="es-DO"/>
        </w:rPr>
        <w:t xml:space="preserve"> </w:t>
      </w:r>
    </w:p>
    <w:p w14:paraId="41C9AD8C" w14:textId="035FE744" w:rsidR="00436D72" w:rsidRPr="00031A5F" w:rsidRDefault="00436D72" w:rsidP="00436D72">
      <w:pPr>
        <w:jc w:val="both"/>
        <w:rPr>
          <w:rFonts w:ascii="Times New Roman" w:hAnsi="Times New Roman" w:cs="Times New Roman"/>
          <w:sz w:val="24"/>
          <w:szCs w:val="24"/>
          <w:lang w:val="es-DO"/>
        </w:rPr>
      </w:pP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poder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lidiar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transfronterizas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impacto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zoonótico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prioritarias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miembros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preciso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laboratorios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todos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desarrollen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mejoren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capacidades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tecnologías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nucleares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relacionadas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energía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nuclear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detección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diferenciación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Preparándolos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ofrecer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diagnóstico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rápido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preciso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emergentes,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utilizando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tecnologías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modernas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validadas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adecuadamente.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componente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debe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cubrir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herramientas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serológicas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moleculares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detección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apoyo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métodos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avanzados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diferenciación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patógenos,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así</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apoyo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implementación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mantenimiento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estándares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internacionales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campo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relevante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17025).</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energía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nuclear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basa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desarrollo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sondas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ADN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radioactivas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procesos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alta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sensibilidad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“blottings”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ADN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ARN)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detección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agentes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patógenos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muestras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campo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deben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servir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referencia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para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validación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otras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pruebas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detección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emplean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análisis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ácidos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nucleicos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(Viljoen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Luckins,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2012).</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uso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vacunas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sueros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inactivados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radiaciones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ionizantes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(radiación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Gamma)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constituye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una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importante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aplicación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energía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nuclear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subsector,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pues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permite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intercambio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muestras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referencia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entre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subregiones,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facilitando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estandarización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métodos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entre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zonas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distintas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clasificaciones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sanitarias,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acuerdo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normas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internacionales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existentes.</w:t>
      </w:r>
    </w:p>
    <w:p w14:paraId="7113ABD3" w14:textId="1EA8CE91" w:rsidR="00436D72" w:rsidRPr="00031A5F" w:rsidRDefault="00436D72" w:rsidP="00436D72">
      <w:pPr>
        <w:jc w:val="both"/>
        <w:rPr>
          <w:rFonts w:ascii="Times New Roman" w:hAnsi="Times New Roman" w:cs="Times New Roman"/>
          <w:sz w:val="24"/>
          <w:szCs w:val="24"/>
          <w:lang w:val="es-DO"/>
        </w:rPr>
      </w:pP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beneficiarios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primarios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esfuerzo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serán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economías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todos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región,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través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servicios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vigilancia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epidemiológica,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que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lograrán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obtener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mecanismos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más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rápidos,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precisos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eficientes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detección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tipos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agentes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patogénicos,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permitiendo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comprobación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competencia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técnica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gerencial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sanidad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animal,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junto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países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importadores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productos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pecuarios,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por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promover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la</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prevención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y</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control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emergentes.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segundo</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lugar,</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beneficiarán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directamente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los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SPPF,</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pues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control</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esas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enfermedades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mantiene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su</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capacidad</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de</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producción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en</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niveles</w:t>
      </w:r>
      <w:r w:rsidR="00D136BB">
        <w:rPr>
          <w:rFonts w:ascii="Times New Roman" w:hAnsi="Times New Roman" w:cs="Times New Roman"/>
          <w:sz w:val="24"/>
          <w:szCs w:val="24"/>
          <w:lang w:val="es-DO"/>
        </w:rPr>
        <w:t xml:space="preserve"> </w:t>
      </w:r>
      <w:r w:rsidRPr="00031A5F">
        <w:rPr>
          <w:rFonts w:ascii="Times New Roman" w:hAnsi="Times New Roman" w:cs="Times New Roman"/>
          <w:sz w:val="24"/>
          <w:szCs w:val="24"/>
          <w:lang w:val="es-DO"/>
        </w:rPr>
        <w:t>sostenibles.</w:t>
      </w:r>
    </w:p>
    <w:p w14:paraId="7831BE39" w14:textId="299295E7" w:rsidR="00436D72" w:rsidRPr="00031A5F" w:rsidRDefault="00436D72" w:rsidP="00436D72">
      <w:pPr>
        <w:jc w:val="both"/>
        <w:rPr>
          <w:rFonts w:ascii="Times New Roman" w:hAnsi="Times New Roman" w:cs="Times New Roman"/>
          <w:sz w:val="24"/>
          <w:szCs w:val="24"/>
          <w:highlight w:val="white"/>
          <w:lang w:val="es-DO"/>
        </w:rPr>
      </w:pPr>
      <w:r w:rsidRPr="00031A5F">
        <w:rPr>
          <w:rFonts w:ascii="Times New Roman" w:hAnsi="Times New Roman" w:cs="Times New Roman"/>
          <w:b/>
          <w:sz w:val="24"/>
          <w:szCs w:val="24"/>
          <w:highlight w:val="white"/>
          <w:lang w:val="es-DO"/>
        </w:rPr>
        <w:t>Objetivo:</w:t>
      </w:r>
      <w:r w:rsidR="00D136BB">
        <w:rPr>
          <w:rFonts w:ascii="Times New Roman" w:hAnsi="Times New Roman" w:cs="Times New Roman"/>
          <w:b/>
          <w:sz w:val="24"/>
          <w:szCs w:val="24"/>
          <w:highlight w:val="white"/>
          <w:lang w:val="es-DO"/>
        </w:rPr>
        <w:t xml:space="preserve"> </w:t>
      </w:r>
      <w:r w:rsidRPr="00031A5F">
        <w:rPr>
          <w:rFonts w:ascii="Times New Roman" w:hAnsi="Times New Roman" w:cs="Times New Roman"/>
          <w:sz w:val="24"/>
          <w:szCs w:val="24"/>
          <w:highlight w:val="white"/>
          <w:lang w:val="es-DO"/>
        </w:rPr>
        <w:t>Mejorar</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la</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preparación</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y</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respuesta</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a</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enfermedades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transfronterizas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en</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animales.</w:t>
      </w:r>
    </w:p>
    <w:p w14:paraId="275B82E6" w14:textId="0778EDD7" w:rsidR="00436D72" w:rsidRPr="00031A5F" w:rsidRDefault="00436D72" w:rsidP="00436D72">
      <w:pPr>
        <w:jc w:val="both"/>
        <w:rPr>
          <w:rFonts w:ascii="Times New Roman" w:hAnsi="Times New Roman" w:cs="Times New Roman"/>
          <w:sz w:val="24"/>
          <w:szCs w:val="24"/>
          <w:highlight w:val="white"/>
          <w:lang w:val="es-DO"/>
        </w:rPr>
      </w:pPr>
      <w:r w:rsidRPr="00031A5F">
        <w:rPr>
          <w:rFonts w:ascii="Times New Roman" w:hAnsi="Times New Roman" w:cs="Times New Roman"/>
          <w:b/>
          <w:sz w:val="24"/>
          <w:szCs w:val="24"/>
          <w:highlight w:val="white"/>
          <w:lang w:val="es-DO"/>
        </w:rPr>
        <w:t>Indicador:</w:t>
      </w:r>
      <w:r w:rsidR="00D136BB">
        <w:rPr>
          <w:rFonts w:ascii="Times New Roman" w:hAnsi="Times New Roman" w:cs="Times New Roman"/>
          <w:b/>
          <w:sz w:val="24"/>
          <w:szCs w:val="24"/>
          <w:highlight w:val="white"/>
          <w:lang w:val="es-DO"/>
        </w:rPr>
        <w:t xml:space="preserve"> </w:t>
      </w:r>
      <w:r w:rsidRPr="00031A5F">
        <w:rPr>
          <w:rFonts w:ascii="Times New Roman" w:hAnsi="Times New Roman" w:cs="Times New Roman"/>
          <w:sz w:val="24"/>
          <w:szCs w:val="24"/>
          <w:highlight w:val="white"/>
          <w:lang w:val="es-DO"/>
        </w:rPr>
        <w:t>Incremento</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del</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número</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de</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laboratorios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oficiales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aplicando</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protocolos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armonizados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con</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adecuada</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interacción</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con</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las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autoridades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competentes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de</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sus</w:t>
      </w:r>
      <w:r w:rsidR="00D136BB">
        <w:rPr>
          <w:rFonts w:ascii="Times New Roman" w:hAnsi="Times New Roman" w:cs="Times New Roman"/>
          <w:sz w:val="24"/>
          <w:szCs w:val="24"/>
          <w:highlight w:val="white"/>
          <w:lang w:val="es-DO"/>
        </w:rPr>
        <w:t xml:space="preserve"> </w:t>
      </w:r>
      <w:r w:rsidRPr="00031A5F">
        <w:rPr>
          <w:rFonts w:ascii="Times New Roman" w:hAnsi="Times New Roman" w:cs="Times New Roman"/>
          <w:sz w:val="24"/>
          <w:szCs w:val="24"/>
          <w:highlight w:val="white"/>
          <w:lang w:val="es-DO"/>
        </w:rPr>
        <w:t>países.</w:t>
      </w:r>
      <w:r w:rsidR="00D136BB">
        <w:rPr>
          <w:rFonts w:ascii="Times New Roman" w:hAnsi="Times New Roman" w:cs="Times New Roman"/>
          <w:sz w:val="24"/>
          <w:szCs w:val="24"/>
          <w:highlight w:val="white"/>
          <w:lang w:val="es-DO"/>
        </w:rPr>
        <w:t xml:space="preserve"> </w:t>
      </w:r>
    </w:p>
    <w:p w14:paraId="7CB9847F" w14:textId="77777777" w:rsidR="00436D72" w:rsidRPr="00031A5F" w:rsidRDefault="00436D72" w:rsidP="00436D72">
      <w:pPr>
        <w:jc w:val="both"/>
        <w:rPr>
          <w:rFonts w:ascii="Times New Roman" w:hAnsi="Times New Roman" w:cs="Times New Roman"/>
          <w:sz w:val="24"/>
          <w:szCs w:val="24"/>
          <w:lang w:val="es-DO"/>
        </w:rPr>
      </w:pPr>
    </w:p>
    <w:p w14:paraId="741CFF42" w14:textId="3CD77AF5" w:rsidR="00436D72" w:rsidRPr="00031A5F" w:rsidRDefault="00436D72" w:rsidP="00436D72">
      <w:pPr>
        <w:jc w:val="both"/>
        <w:rPr>
          <w:rFonts w:ascii="Times New Roman" w:hAnsi="Times New Roman" w:cs="Times New Roman"/>
          <w:b/>
          <w:sz w:val="24"/>
          <w:szCs w:val="24"/>
          <w:u w:val="single"/>
        </w:rPr>
      </w:pPr>
      <w:r w:rsidRPr="00031A5F">
        <w:rPr>
          <w:rFonts w:ascii="Times New Roman" w:hAnsi="Times New Roman" w:cs="Times New Roman"/>
          <w:b/>
          <w:bCs/>
          <w:sz w:val="24"/>
          <w:szCs w:val="24"/>
          <w:u w:val="single"/>
          <w:lang w:val="es-ES"/>
        </w:rPr>
        <w:t>A5</w:t>
      </w:r>
      <w:r w:rsidRPr="00031A5F">
        <w:rPr>
          <w:rFonts w:ascii="Times New Roman" w:hAnsi="Times New Roman" w:cs="Times New Roman"/>
          <w:b/>
          <w:sz w:val="24"/>
          <w:szCs w:val="24"/>
          <w:u w:val="single"/>
        </w:rPr>
        <w:t>.</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Disponibilidad</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alimentos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origen</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animal</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(incluyendo</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los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productos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derivados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la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acuicultura)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y</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vegetal</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que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cumplan</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con</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los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estándares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seguridad</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y</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calidad.</w:t>
      </w:r>
    </w:p>
    <w:p w14:paraId="17798263" w14:textId="5799D3B2"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Justificación:</w:t>
      </w:r>
      <w:r w:rsidR="00D136BB">
        <w:rPr>
          <w:rFonts w:ascii="Times New Roman" w:hAnsi="Times New Roman" w:cs="Times New Roman"/>
          <w:b/>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alberga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tercios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dulce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disponibles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cuarta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tierras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007B3674">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exportadoras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continúa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expandiéndose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(Banco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2013;</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Codex</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Alimentarius,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p>
    <w:p w14:paraId="2B8BC9BC" w14:textId="53F85E68"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lastRenderedPageBreak/>
        <w:t>Residuos</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y</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contaminantes: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satisfacer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crecientes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demandas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prevenir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animales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plantas,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antimicrobianos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Boeckel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2015)</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pesticidas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inevitables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(OCDE,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residuos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compuestos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tienen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riesgos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impiden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comprometen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comercio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(The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European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Public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Health</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Alliance,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economía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productores.</w:t>
      </w:r>
    </w:p>
    <w:p w14:paraId="2CC70CDC" w14:textId="2CC872C4" w:rsidR="00436D72" w:rsidRPr="00031A5F" w:rsidRDefault="00D136BB" w:rsidP="00436D72">
      <w:pPr>
        <w:jc w:val="both"/>
        <w:rPr>
          <w:rFonts w:ascii="Times New Roman" w:hAnsi="Times New Roman" w:cs="Times New Roman"/>
          <w:sz w:val="24"/>
          <w:szCs w:val="24"/>
        </w:rPr>
      </w:pPr>
      <w:r>
        <w:rPr>
          <w:rFonts w:ascii="Times New Roman" w:hAnsi="Times New Roman" w:cs="Times New Roman"/>
          <w:sz w:val="24"/>
          <w:szCs w:val="24"/>
        </w:rPr>
        <w:t xml:space="preserve"> </w:t>
      </w:r>
      <w:r w:rsidR="00436D72" w:rsidRPr="00031A5F">
        <w:rPr>
          <w:rFonts w:ascii="Times New Roman" w:hAnsi="Times New Roman" w:cs="Times New Roman"/>
          <w:sz w:val="24"/>
          <w:szCs w:val="24"/>
        </w:rPr>
        <w:t>La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región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produce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una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amplia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gama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de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productos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que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incluyen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café,</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plátanos,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uvas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otras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frutas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de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clima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templado,</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piña,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verduras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cítricos,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además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de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cereales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(trigo,</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maíz,</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arroz,</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soja),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carne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leche,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entre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otros,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todos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están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asociados,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de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una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u</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otra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forma,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con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residuos/contaminantes.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Los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riesgos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para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la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salud</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son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agudos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crónicos.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También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es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importante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resaltar</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que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el</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uso</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irracional</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de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pesticidas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antimicrobianos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en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la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producción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agrícola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está</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asociado</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con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una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mayor</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resistencia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de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las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plagas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y</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patógenos</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que</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afectan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la</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producción</w:t>
      </w:r>
      <w:r>
        <w:rPr>
          <w:rFonts w:ascii="Times New Roman" w:hAnsi="Times New Roman" w:cs="Times New Roman"/>
          <w:sz w:val="24"/>
          <w:szCs w:val="24"/>
        </w:rPr>
        <w:t xml:space="preserve"> </w:t>
      </w:r>
      <w:r w:rsidR="00436D72" w:rsidRPr="00031A5F">
        <w:rPr>
          <w:rFonts w:ascii="Times New Roman" w:hAnsi="Times New Roman" w:cs="Times New Roman"/>
          <w:sz w:val="24"/>
          <w:szCs w:val="24"/>
        </w:rPr>
        <w:t>agropecuaria.</w:t>
      </w:r>
    </w:p>
    <w:p w14:paraId="6B452C69" w14:textId="32A1082D"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micotoxinas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(Gruber-Dorninger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Wild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2015)</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007B3674">
        <w:rPr>
          <w:rFonts w:ascii="Times New Roman" w:hAnsi="Times New Roman" w:cs="Times New Roman"/>
          <w:sz w:val="24"/>
          <w:szCs w:val="24"/>
        </w:rPr>
        <w:t>elementos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tóxicos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(Kumarathilaka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desafíos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comercio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agropecuarios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metales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tóxicos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cadmio,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origen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natural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antropogénico,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tienen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implicaciones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significativas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comercio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donde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casos,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Europea,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exposición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metales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reduce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establecer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límites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estrictos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afectan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comercio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(Meter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Otros</w:t>
      </w:r>
      <w:r w:rsidR="00D136BB">
        <w:rPr>
          <w:rFonts w:ascii="Times New Roman" w:hAnsi="Times New Roman" w:cs="Times New Roman"/>
          <w:sz w:val="24"/>
          <w:szCs w:val="24"/>
        </w:rPr>
        <w:t xml:space="preserve"> </w:t>
      </w:r>
      <w:r w:rsidR="004C118A">
        <w:rPr>
          <w:rFonts w:ascii="Times New Roman" w:hAnsi="Times New Roman" w:cs="Times New Roman"/>
          <w:sz w:val="24"/>
          <w:szCs w:val="24"/>
        </w:rPr>
        <w:t>elemntoes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preocupación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incluyen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metilmercurio,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arsénico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diversas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(Guedron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2014;</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McClintock</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2012).</w:t>
      </w:r>
    </w:p>
    <w:p w14:paraId="57C5A5D7" w14:textId="7F357E11"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Irradiación</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alimentos</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otro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problema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grave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práctica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habitual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fumigantes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resolver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fitosanitarios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superar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barreras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cuarentenarias.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fumigantes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prohibidos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dibromuro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etileno)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proceso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serlo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g.bromuro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metilo),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determinado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científicamente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tiene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efectos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negativos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ambiente.</w:t>
      </w:r>
    </w:p>
    <w:p w14:paraId="5477FFF2" w14:textId="77777777" w:rsidR="00436D72" w:rsidRPr="00031A5F" w:rsidRDefault="00436D72" w:rsidP="00436D72">
      <w:pPr>
        <w:jc w:val="both"/>
        <w:rPr>
          <w:rFonts w:ascii="Times New Roman" w:hAnsi="Times New Roman" w:cs="Times New Roman"/>
          <w:sz w:val="24"/>
          <w:szCs w:val="24"/>
        </w:rPr>
      </w:pPr>
    </w:p>
    <w:p w14:paraId="1AA2D4C3" w14:textId="019823F2"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Autenticidad/trazabilidad:</w:t>
      </w:r>
      <w:r w:rsidR="00D136BB">
        <w:rPr>
          <w:rFonts w:ascii="Times New Roman" w:hAnsi="Times New Roman" w:cs="Times New Roman"/>
          <w:b/>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principales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mercados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exportación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Europea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Unidos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convertido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trazabilidad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prioridad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trazabilidad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crítica.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implica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seguimiento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etapas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procesamiento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distribución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identificar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abordar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riesgos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proteger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pública.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sufrir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tergiversaciones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adulteraciones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obtener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ganancias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económicas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ilegítimas.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Abordar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desafíos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requiere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prueba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efectivos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autenticidad.</w:t>
      </w:r>
    </w:p>
    <w:p w14:paraId="73C8FB41" w14:textId="2A4D7EFD" w:rsidR="00436D72" w:rsidRPr="00031A5F" w:rsidRDefault="00436D72" w:rsidP="00436D72">
      <w:pPr>
        <w:pStyle w:val="BodyText"/>
        <w:spacing w:line="276" w:lineRule="auto"/>
        <w:rPr>
          <w:b/>
          <w:szCs w:val="24"/>
          <w:lang w:val="es-ES_tradnl"/>
        </w:rPr>
      </w:pPr>
      <w:r w:rsidRPr="00031A5F">
        <w:rPr>
          <w:szCs w:val="24"/>
          <w:lang w:val="es-ES_tradnl"/>
        </w:rPr>
        <w:t>Las</w:t>
      </w:r>
      <w:r w:rsidR="00D136BB">
        <w:rPr>
          <w:szCs w:val="24"/>
          <w:lang w:val="es-ES_tradnl"/>
        </w:rPr>
        <w:t xml:space="preserve"> </w:t>
      </w:r>
      <w:r w:rsidRPr="00031A5F">
        <w:rPr>
          <w:szCs w:val="24"/>
          <w:lang w:val="es-ES_tradnl"/>
        </w:rPr>
        <w:t>técnicas</w:t>
      </w:r>
      <w:r w:rsidR="00D136BB">
        <w:rPr>
          <w:szCs w:val="24"/>
          <w:lang w:val="es-ES_tradnl"/>
        </w:rPr>
        <w:t xml:space="preserve"> </w:t>
      </w:r>
      <w:r w:rsidRPr="00031A5F">
        <w:rPr>
          <w:szCs w:val="24"/>
          <w:lang w:val="es-ES_tradnl"/>
        </w:rPr>
        <w:t>nucleares</w:t>
      </w:r>
      <w:r w:rsidR="00D136BB">
        <w:rPr>
          <w:szCs w:val="24"/>
          <w:lang w:val="es-ES_tradnl"/>
        </w:rPr>
        <w:t xml:space="preserve"> </w:t>
      </w:r>
      <w:r w:rsidRPr="00031A5F">
        <w:rPr>
          <w:szCs w:val="24"/>
          <w:lang w:val="es-ES_tradnl"/>
        </w:rPr>
        <w:t>en</w:t>
      </w:r>
      <w:r w:rsidR="00D136BB">
        <w:rPr>
          <w:szCs w:val="24"/>
          <w:lang w:val="es-ES_tradnl"/>
        </w:rPr>
        <w:t xml:space="preserve"> </w:t>
      </w:r>
      <w:r w:rsidRPr="00031A5F">
        <w:rPr>
          <w:szCs w:val="24"/>
          <w:lang w:val="es-ES_tradnl"/>
        </w:rPr>
        <w:t>complemento</w:t>
      </w:r>
      <w:r w:rsidR="00D136BB">
        <w:rPr>
          <w:szCs w:val="24"/>
          <w:lang w:val="es-ES_tradnl"/>
        </w:rPr>
        <w:t xml:space="preserve"> </w:t>
      </w:r>
      <w:r w:rsidRPr="00031A5F">
        <w:rPr>
          <w:szCs w:val="24"/>
          <w:lang w:val="es-ES_tradnl"/>
        </w:rPr>
        <w:t>a</w:t>
      </w:r>
      <w:r w:rsidR="00D136BB">
        <w:rPr>
          <w:szCs w:val="24"/>
          <w:lang w:val="es-ES_tradnl"/>
        </w:rPr>
        <w:t xml:space="preserve"> </w:t>
      </w:r>
      <w:r w:rsidRPr="00031A5F">
        <w:rPr>
          <w:szCs w:val="24"/>
          <w:lang w:val="es-ES_tradnl"/>
        </w:rPr>
        <w:t>las</w:t>
      </w:r>
      <w:r w:rsidR="00D136BB">
        <w:rPr>
          <w:szCs w:val="24"/>
          <w:lang w:val="es-ES_tradnl"/>
        </w:rPr>
        <w:t xml:space="preserve"> </w:t>
      </w:r>
      <w:r w:rsidRPr="00031A5F">
        <w:rPr>
          <w:szCs w:val="24"/>
          <w:lang w:val="es-ES_tradnl"/>
        </w:rPr>
        <w:t>técnicas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análisis</w:t>
      </w:r>
      <w:r w:rsidR="00D136BB">
        <w:rPr>
          <w:szCs w:val="24"/>
          <w:lang w:val="es-ES_tradnl"/>
        </w:rPr>
        <w:t xml:space="preserve"> </w:t>
      </w:r>
      <w:r w:rsidRPr="00031A5F">
        <w:rPr>
          <w:szCs w:val="24"/>
          <w:lang w:val="es-ES_tradnl"/>
        </w:rPr>
        <w:t>químicos</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biología</w:t>
      </w:r>
      <w:r w:rsidR="00D136BB">
        <w:rPr>
          <w:szCs w:val="24"/>
          <w:lang w:val="es-ES_tradnl"/>
        </w:rPr>
        <w:t xml:space="preserve"> </w:t>
      </w:r>
      <w:r w:rsidRPr="00031A5F">
        <w:rPr>
          <w:szCs w:val="24"/>
          <w:lang w:val="es-ES_tradnl"/>
        </w:rPr>
        <w:t>molecular</w:t>
      </w:r>
      <w:r w:rsidR="00D136BB">
        <w:rPr>
          <w:szCs w:val="24"/>
          <w:lang w:val="es-ES_tradnl"/>
        </w:rPr>
        <w:t xml:space="preserve"> </w:t>
      </w:r>
      <w:r w:rsidRPr="00031A5F">
        <w:rPr>
          <w:szCs w:val="24"/>
          <w:lang w:val="es-ES_tradnl"/>
        </w:rPr>
        <w:t>son</w:t>
      </w:r>
      <w:r w:rsidR="00D136BB">
        <w:rPr>
          <w:szCs w:val="24"/>
          <w:lang w:val="es-ES_tradnl"/>
        </w:rPr>
        <w:t xml:space="preserve"> </w:t>
      </w:r>
      <w:r w:rsidRPr="00031A5F">
        <w:rPr>
          <w:szCs w:val="24"/>
          <w:lang w:val="es-ES_tradnl"/>
        </w:rPr>
        <w:t>las</w:t>
      </w:r>
      <w:r w:rsidR="00D136BB">
        <w:rPr>
          <w:szCs w:val="24"/>
          <w:lang w:val="es-ES_tradnl"/>
        </w:rPr>
        <w:t xml:space="preserve"> </w:t>
      </w:r>
      <w:r w:rsidRPr="00031A5F">
        <w:rPr>
          <w:szCs w:val="24"/>
          <w:lang w:val="es-ES_tradnl"/>
        </w:rPr>
        <w:t>herramientas</w:t>
      </w:r>
      <w:r w:rsidR="00D136BB">
        <w:rPr>
          <w:szCs w:val="24"/>
          <w:lang w:val="es-ES_tradnl"/>
        </w:rPr>
        <w:t xml:space="preserve"> </w:t>
      </w:r>
      <w:r w:rsidRPr="00031A5F">
        <w:rPr>
          <w:szCs w:val="24"/>
          <w:lang w:val="es-ES_tradnl"/>
        </w:rPr>
        <w:t>que</w:t>
      </w:r>
      <w:r w:rsidR="00D136BB">
        <w:rPr>
          <w:szCs w:val="24"/>
          <w:lang w:val="es-ES_tradnl"/>
        </w:rPr>
        <w:t xml:space="preserve"> </w:t>
      </w:r>
      <w:r w:rsidRPr="00031A5F">
        <w:rPr>
          <w:szCs w:val="24"/>
          <w:lang w:val="es-ES_tradnl"/>
        </w:rPr>
        <w:t>ofrecen</w:t>
      </w:r>
      <w:r w:rsidR="00D136BB">
        <w:rPr>
          <w:szCs w:val="24"/>
          <w:lang w:val="es-ES_tradnl"/>
        </w:rPr>
        <w:t xml:space="preserve"> </w:t>
      </w:r>
      <w:r w:rsidRPr="00031A5F">
        <w:rPr>
          <w:szCs w:val="24"/>
          <w:lang w:val="es-ES_tradnl"/>
        </w:rPr>
        <w:t>las</w:t>
      </w:r>
      <w:r w:rsidR="00D136BB">
        <w:rPr>
          <w:szCs w:val="24"/>
          <w:lang w:val="es-ES_tradnl"/>
        </w:rPr>
        <w:t xml:space="preserve"> </w:t>
      </w:r>
      <w:r w:rsidRPr="00031A5F">
        <w:rPr>
          <w:szCs w:val="24"/>
          <w:lang w:val="es-ES_tradnl"/>
        </w:rPr>
        <w:t>mejores</w:t>
      </w:r>
      <w:r w:rsidR="00D136BB">
        <w:rPr>
          <w:szCs w:val="24"/>
          <w:lang w:val="es-ES_tradnl"/>
        </w:rPr>
        <w:t xml:space="preserve"> </w:t>
      </w:r>
      <w:r w:rsidRPr="00031A5F">
        <w:rPr>
          <w:szCs w:val="24"/>
          <w:lang w:val="es-ES_tradnl"/>
        </w:rPr>
        <w:t>perspectivas</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resolver</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problema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residuos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plaguicidas;</w:t>
      </w:r>
      <w:r w:rsidR="00D136BB">
        <w:rPr>
          <w:szCs w:val="24"/>
          <w:lang w:val="es-ES_tradnl"/>
        </w:rPr>
        <w:t xml:space="preserve"> </w:t>
      </w:r>
      <w:r w:rsidRPr="00031A5F">
        <w:rPr>
          <w:szCs w:val="24"/>
          <w:lang w:val="es-ES_tradnl"/>
        </w:rPr>
        <w:t>por</w:t>
      </w:r>
      <w:r w:rsidR="00D136BB">
        <w:rPr>
          <w:szCs w:val="24"/>
          <w:lang w:val="es-ES_tradnl"/>
        </w:rPr>
        <w:t xml:space="preserve"> </w:t>
      </w:r>
      <w:r w:rsidRPr="00031A5F">
        <w:rPr>
          <w:szCs w:val="24"/>
          <w:lang w:val="es-ES_tradnl"/>
        </w:rPr>
        <w:t>otro</w:t>
      </w:r>
      <w:r w:rsidR="00D136BB">
        <w:rPr>
          <w:szCs w:val="24"/>
          <w:lang w:val="es-ES_tradnl"/>
        </w:rPr>
        <w:t xml:space="preserve"> </w:t>
      </w:r>
      <w:r w:rsidRPr="00031A5F">
        <w:rPr>
          <w:szCs w:val="24"/>
          <w:lang w:val="es-ES_tradnl"/>
        </w:rPr>
        <w:t>lado,</w:t>
      </w:r>
      <w:r w:rsidR="00D136BB">
        <w:rPr>
          <w:szCs w:val="24"/>
          <w:lang w:val="es-ES_tradnl"/>
        </w:rPr>
        <w:t xml:space="preserve"> </w:t>
      </w:r>
      <w:r w:rsidRPr="00031A5F">
        <w:rPr>
          <w:szCs w:val="24"/>
          <w:lang w:val="es-ES_tradnl"/>
        </w:rPr>
        <w:t>el</w:t>
      </w:r>
      <w:r w:rsidR="00D136BB">
        <w:rPr>
          <w:szCs w:val="24"/>
          <w:lang w:val="es-ES_tradnl"/>
        </w:rPr>
        <w:t xml:space="preserve"> </w:t>
      </w:r>
      <w:r w:rsidRPr="00031A5F">
        <w:rPr>
          <w:szCs w:val="24"/>
          <w:lang w:val="es-ES_tradnl"/>
        </w:rPr>
        <w:t>uso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tratamientos</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irradiación</w:t>
      </w:r>
      <w:r w:rsidR="00D136BB">
        <w:rPr>
          <w:szCs w:val="24"/>
          <w:lang w:val="es-ES_tradnl"/>
        </w:rPr>
        <w:t xml:space="preserve"> </w:t>
      </w:r>
      <w:r w:rsidRPr="00031A5F">
        <w:rPr>
          <w:szCs w:val="24"/>
          <w:lang w:val="es-ES_tradnl"/>
        </w:rPr>
        <w:t>es</w:t>
      </w:r>
      <w:r w:rsidR="00D136BB">
        <w:rPr>
          <w:szCs w:val="24"/>
          <w:lang w:val="es-ES_tradnl"/>
        </w:rPr>
        <w:t xml:space="preserve"> </w:t>
      </w:r>
      <w:r w:rsidRPr="00031A5F">
        <w:rPr>
          <w:szCs w:val="24"/>
          <w:lang w:val="es-ES_tradnl"/>
        </w:rPr>
        <w:t>una</w:t>
      </w:r>
      <w:r w:rsidR="00D136BB">
        <w:rPr>
          <w:szCs w:val="24"/>
          <w:lang w:val="es-ES_tradnl"/>
        </w:rPr>
        <w:t xml:space="preserve"> </w:t>
      </w:r>
      <w:r w:rsidRPr="00031A5F">
        <w:rPr>
          <w:szCs w:val="24"/>
          <w:lang w:val="es-ES_tradnl"/>
        </w:rPr>
        <w:t>buena</w:t>
      </w:r>
      <w:r w:rsidR="00D136BB">
        <w:rPr>
          <w:szCs w:val="24"/>
          <w:lang w:val="es-ES_tradnl"/>
        </w:rPr>
        <w:t xml:space="preserve"> </w:t>
      </w:r>
      <w:r w:rsidRPr="00031A5F">
        <w:rPr>
          <w:szCs w:val="24"/>
          <w:lang w:val="es-ES_tradnl"/>
        </w:rPr>
        <w:t>alternativa</w:t>
      </w:r>
      <w:r w:rsidR="00D136BB">
        <w:rPr>
          <w:szCs w:val="24"/>
          <w:lang w:val="es-ES_tradnl"/>
        </w:rPr>
        <w:t xml:space="preserve"> </w:t>
      </w:r>
      <w:r w:rsidRPr="00031A5F">
        <w:rPr>
          <w:szCs w:val="24"/>
          <w:lang w:val="es-ES_tradnl"/>
        </w:rPr>
        <w:t>para</w:t>
      </w:r>
      <w:r w:rsidR="00D136BB">
        <w:rPr>
          <w:szCs w:val="24"/>
          <w:lang w:val="es-ES_tradnl"/>
        </w:rPr>
        <w:t xml:space="preserve"> </w:t>
      </w:r>
      <w:r w:rsidRPr="00031A5F">
        <w:rPr>
          <w:szCs w:val="24"/>
          <w:lang w:val="es-ES_tradnl"/>
        </w:rPr>
        <w:t>sustituir</w:t>
      </w:r>
      <w:r w:rsidR="00D136BB">
        <w:rPr>
          <w:szCs w:val="24"/>
          <w:lang w:val="es-ES_tradnl"/>
        </w:rPr>
        <w:t xml:space="preserve"> </w:t>
      </w:r>
      <w:r w:rsidRPr="00031A5F">
        <w:rPr>
          <w:szCs w:val="24"/>
          <w:lang w:val="es-ES_tradnl"/>
        </w:rPr>
        <w:t>los</w:t>
      </w:r>
      <w:r w:rsidR="00D136BB">
        <w:rPr>
          <w:szCs w:val="24"/>
          <w:lang w:val="es-ES_tradnl"/>
        </w:rPr>
        <w:t xml:space="preserve"> </w:t>
      </w:r>
      <w:r w:rsidRPr="00031A5F">
        <w:rPr>
          <w:szCs w:val="24"/>
          <w:lang w:val="es-ES_tradnl"/>
        </w:rPr>
        <w:t>tratamientos</w:t>
      </w:r>
      <w:r w:rsidR="00D136BB">
        <w:rPr>
          <w:szCs w:val="24"/>
          <w:lang w:val="es-ES_tradnl"/>
        </w:rPr>
        <w:t xml:space="preserve"> </w:t>
      </w:r>
      <w:r w:rsidRPr="00031A5F">
        <w:rPr>
          <w:szCs w:val="24"/>
          <w:lang w:val="es-ES_tradnl"/>
        </w:rPr>
        <w:t>con</w:t>
      </w:r>
      <w:r w:rsidR="00D136BB">
        <w:rPr>
          <w:szCs w:val="24"/>
          <w:lang w:val="es-ES_tradnl"/>
        </w:rPr>
        <w:t xml:space="preserve"> </w:t>
      </w:r>
      <w:r w:rsidRPr="00031A5F">
        <w:rPr>
          <w:szCs w:val="24"/>
          <w:lang w:val="es-ES_tradnl"/>
        </w:rPr>
        <w:t>fumigantes.</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técnica</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irradiación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alimentos</w:t>
      </w:r>
      <w:r w:rsidR="00D136BB">
        <w:rPr>
          <w:szCs w:val="24"/>
          <w:lang w:val="es-ES_tradnl"/>
        </w:rPr>
        <w:t xml:space="preserve"> </w:t>
      </w:r>
      <w:r w:rsidRPr="00031A5F">
        <w:rPr>
          <w:szCs w:val="24"/>
          <w:lang w:val="es-ES_tradnl"/>
        </w:rPr>
        <w:t>contribuye</w:t>
      </w:r>
      <w:r w:rsidR="00D136BB">
        <w:rPr>
          <w:szCs w:val="24"/>
          <w:lang w:val="es-ES_tradnl"/>
        </w:rPr>
        <w:t xml:space="preserve"> </w:t>
      </w:r>
      <w:r w:rsidRPr="00031A5F">
        <w:rPr>
          <w:szCs w:val="24"/>
          <w:lang w:val="es-ES_tradnl"/>
        </w:rPr>
        <w:t>al</w:t>
      </w:r>
      <w:r w:rsidR="00D136BB">
        <w:rPr>
          <w:szCs w:val="24"/>
          <w:lang w:val="es-ES_tradnl"/>
        </w:rPr>
        <w:t xml:space="preserve"> </w:t>
      </w:r>
      <w:r w:rsidRPr="00031A5F">
        <w:rPr>
          <w:szCs w:val="24"/>
          <w:lang w:val="es-ES_tradnl"/>
        </w:rPr>
        <w:t>cumplimiento</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estándares</w:t>
      </w:r>
      <w:r w:rsidR="00D136BB">
        <w:rPr>
          <w:szCs w:val="24"/>
          <w:lang w:val="es-ES_tradnl"/>
        </w:rPr>
        <w:t xml:space="preserve"> </w:t>
      </w:r>
      <w:r w:rsidRPr="00031A5F">
        <w:rPr>
          <w:szCs w:val="24"/>
          <w:lang w:val="es-ES_tradnl"/>
        </w:rPr>
        <w:t>sanitarios,</w:t>
      </w:r>
      <w:r w:rsidR="00D136BB">
        <w:rPr>
          <w:szCs w:val="24"/>
          <w:lang w:val="es-ES_tradnl"/>
        </w:rPr>
        <w:t xml:space="preserve"> </w:t>
      </w:r>
      <w:r w:rsidRPr="00031A5F">
        <w:rPr>
          <w:szCs w:val="24"/>
          <w:lang w:val="es-ES_tradnl"/>
        </w:rPr>
        <w:t>y</w:t>
      </w:r>
      <w:r w:rsidR="00D136BB">
        <w:rPr>
          <w:szCs w:val="24"/>
          <w:lang w:val="es-ES_tradnl"/>
        </w:rPr>
        <w:t xml:space="preserve"> </w:t>
      </w:r>
      <w:r w:rsidRPr="00031A5F">
        <w:rPr>
          <w:szCs w:val="24"/>
          <w:lang w:val="es-ES_tradnl"/>
        </w:rPr>
        <w:t>a</w:t>
      </w:r>
      <w:r w:rsidR="00D136BB">
        <w:rPr>
          <w:szCs w:val="24"/>
          <w:lang w:val="es-ES_tradnl"/>
        </w:rPr>
        <w:t xml:space="preserve"> </w:t>
      </w:r>
      <w:r w:rsidRPr="00031A5F">
        <w:rPr>
          <w:szCs w:val="24"/>
          <w:lang w:val="es-ES_tradnl"/>
        </w:rPr>
        <w:t>la</w:t>
      </w:r>
      <w:r w:rsidR="00D136BB">
        <w:rPr>
          <w:szCs w:val="24"/>
          <w:lang w:val="es-ES_tradnl"/>
        </w:rPr>
        <w:t xml:space="preserve"> </w:t>
      </w:r>
      <w:r w:rsidRPr="00031A5F">
        <w:rPr>
          <w:szCs w:val="24"/>
          <w:lang w:val="es-ES_tradnl"/>
        </w:rPr>
        <w:t>reducción</w:t>
      </w:r>
      <w:r w:rsidR="00D136BB">
        <w:rPr>
          <w:szCs w:val="24"/>
          <w:lang w:val="es-ES_tradnl"/>
        </w:rPr>
        <w:t xml:space="preserve"> </w:t>
      </w:r>
      <w:r w:rsidRPr="00031A5F">
        <w:rPr>
          <w:szCs w:val="24"/>
          <w:lang w:val="es-ES_tradnl"/>
        </w:rPr>
        <w:t>de</w:t>
      </w:r>
      <w:r w:rsidR="00D136BB">
        <w:rPr>
          <w:szCs w:val="24"/>
          <w:lang w:val="es-ES_tradnl"/>
        </w:rPr>
        <w:t xml:space="preserve"> </w:t>
      </w:r>
      <w:r w:rsidRPr="00031A5F">
        <w:rPr>
          <w:szCs w:val="24"/>
          <w:lang w:val="es-ES_tradnl"/>
        </w:rPr>
        <w:t>pérdidas</w:t>
      </w:r>
      <w:r w:rsidR="00D136BB">
        <w:rPr>
          <w:szCs w:val="24"/>
          <w:lang w:val="es-ES_tradnl"/>
        </w:rPr>
        <w:t xml:space="preserve"> </w:t>
      </w:r>
      <w:r w:rsidRPr="00031A5F">
        <w:rPr>
          <w:szCs w:val="24"/>
          <w:lang w:val="es-ES_tradnl"/>
        </w:rPr>
        <w:t>postcosecha.</w:t>
      </w:r>
    </w:p>
    <w:p w14:paraId="005BD238" w14:textId="16B950EA"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lastRenderedPageBreak/>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sistemáticos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monitoreo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residuos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respaldan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laboratorios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analíticos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vanguardia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cumplen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normas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ejemplo,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IEC)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ayudarán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adoptar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buenas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prácticas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vez</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contribuirán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obtener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seguros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prudente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químicos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laboratorios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bien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consolidados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apoyarán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iniciativas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evaluación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riesgos,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incluido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establecimiento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normas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directrices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(incluido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Codex</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Alimentarius)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afectan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pública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comercio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mundial.</w:t>
      </w:r>
    </w:p>
    <w:p w14:paraId="5D9C6D82" w14:textId="1E2F28FB"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Objetivo</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inocuidad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p>
    <w:p w14:paraId="5521F2C9" w14:textId="13BD51A0"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Indicadores</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laboratorios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analíticos</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oficiales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acreditados</w:t>
      </w:r>
      <w:r w:rsidR="00BF6F19">
        <w:rPr>
          <w:rFonts w:ascii="Times New Roman" w:hAnsi="Times New Roman" w:cs="Times New Roman"/>
          <w:sz w:val="24"/>
          <w:szCs w:val="24"/>
        </w:rPr>
        <w:t>;</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porcentaje</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rechazos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exportaciones</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y</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porcentaje</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de</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los</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países</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en</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la</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región</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con</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planes</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de</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monitoreo</w:t>
      </w:r>
      <w:r w:rsidR="00D136BB">
        <w:rPr>
          <w:rFonts w:ascii="Times New Roman" w:hAnsi="Times New Roman" w:cs="Times New Roman"/>
          <w:sz w:val="24"/>
          <w:szCs w:val="24"/>
        </w:rPr>
        <w:t xml:space="preserve"> </w:t>
      </w:r>
      <w:r w:rsidR="00BF6F19">
        <w:rPr>
          <w:rFonts w:ascii="Times New Roman" w:hAnsi="Times New Roman" w:cs="Times New Roman"/>
          <w:sz w:val="24"/>
          <w:szCs w:val="24"/>
        </w:rPr>
        <w:t>establecidos.</w:t>
      </w:r>
      <w:r w:rsidR="00D136BB">
        <w:rPr>
          <w:rFonts w:ascii="Times New Roman" w:hAnsi="Times New Roman" w:cs="Times New Roman"/>
          <w:sz w:val="24"/>
          <w:szCs w:val="24"/>
        </w:rPr>
        <w:t xml:space="preserve"> </w:t>
      </w:r>
    </w:p>
    <w:p w14:paraId="126BFA17" w14:textId="77777777" w:rsidR="00436D72" w:rsidRPr="00031A5F" w:rsidRDefault="00436D72" w:rsidP="00436D72">
      <w:pPr>
        <w:widowControl w:val="0"/>
        <w:tabs>
          <w:tab w:val="left" w:pos="700"/>
        </w:tabs>
        <w:autoSpaceDE w:val="0"/>
        <w:autoSpaceDN w:val="0"/>
        <w:adjustRightInd w:val="0"/>
        <w:jc w:val="both"/>
        <w:rPr>
          <w:rFonts w:ascii="Times New Roman" w:eastAsia="TimesNewRoman" w:hAnsi="Times New Roman" w:cs="Times New Roman"/>
          <w:sz w:val="24"/>
          <w:szCs w:val="24"/>
        </w:rPr>
      </w:pPr>
    </w:p>
    <w:p w14:paraId="5365FB80" w14:textId="3E63646C" w:rsidR="00436D72" w:rsidRPr="00031A5F" w:rsidRDefault="00436D72" w:rsidP="00627A67">
      <w:pPr>
        <w:widowControl w:val="0"/>
        <w:tabs>
          <w:tab w:val="left" w:pos="700"/>
        </w:tabs>
        <w:autoSpaceDE w:val="0"/>
        <w:autoSpaceDN w:val="0"/>
        <w:adjustRightInd w:val="0"/>
        <w:jc w:val="both"/>
        <w:rPr>
          <w:rFonts w:ascii="Times New Roman" w:hAnsi="Times New Roman" w:cs="Times New Roman"/>
          <w:b/>
          <w:bCs/>
          <w:sz w:val="24"/>
          <w:szCs w:val="24"/>
          <w:u w:val="single"/>
        </w:rPr>
      </w:pPr>
      <w:r w:rsidRPr="00031A5F">
        <w:rPr>
          <w:rFonts w:ascii="Times New Roman" w:hAnsi="Times New Roman" w:cs="Times New Roman"/>
          <w:b/>
          <w:sz w:val="24"/>
          <w:szCs w:val="24"/>
          <w:u w:val="single"/>
        </w:rPr>
        <w:t>A6.</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Daño</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causado</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por</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las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plagas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en</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alimentos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animales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y</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vegetales</w:t>
      </w:r>
    </w:p>
    <w:p w14:paraId="0A6E51B8" w14:textId="65492E49"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Justificativa: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fruta,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comprende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varias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Pr="00031A5F">
        <w:rPr>
          <w:rFonts w:ascii="Times New Roman" w:hAnsi="Times New Roman" w:cs="Times New Roman"/>
          <w:i/>
          <w:sz w:val="24"/>
          <w:szCs w:val="24"/>
        </w:rPr>
        <w:t>Anastrepha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spp,</w:t>
      </w:r>
      <w:r w:rsidR="00D136BB">
        <w:rPr>
          <w:rFonts w:ascii="Times New Roman" w:hAnsi="Times New Roman" w:cs="Times New Roman"/>
          <w:sz w:val="24"/>
          <w:szCs w:val="24"/>
        </w:rPr>
        <w:t xml:space="preserve"> </w:t>
      </w:r>
      <w:r w:rsidRPr="00031A5F">
        <w:rPr>
          <w:rFonts w:ascii="Times New Roman" w:hAnsi="Times New Roman" w:cs="Times New Roman"/>
          <w:i/>
          <w:sz w:val="24"/>
          <w:szCs w:val="24"/>
        </w:rPr>
        <w:t>Ceratitis</w:t>
      </w:r>
      <w:r w:rsidR="00D136BB">
        <w:rPr>
          <w:rFonts w:ascii="Times New Roman" w:hAnsi="Times New Roman" w:cs="Times New Roman"/>
          <w:i/>
          <w:sz w:val="24"/>
          <w:szCs w:val="24"/>
        </w:rPr>
        <w:t xml:space="preserve"> </w:t>
      </w:r>
      <w:r w:rsidRPr="00031A5F">
        <w:rPr>
          <w:rFonts w:ascii="Times New Roman" w:hAnsi="Times New Roman" w:cs="Times New Roman"/>
          <w:sz w:val="24"/>
          <w:szCs w:val="24"/>
        </w:rPr>
        <w:t>spp,</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daño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causan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hortifruticultura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donde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éste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deficiente,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ésta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llega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causar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40%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pérdidas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Asimismo,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requerimientos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fitosanitarios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exige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mercado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internacional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presencia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limita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manera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radical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exportaciones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frutas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hortalizas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carácter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transfronterizo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ocasiones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llega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restringir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exportaciones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vecinos.</w:t>
      </w:r>
      <w:r w:rsidR="00D136BB">
        <w:rPr>
          <w:rFonts w:ascii="Times New Roman" w:hAnsi="Times New Roman" w:cs="Times New Roman"/>
          <w:sz w:val="24"/>
          <w:szCs w:val="24"/>
        </w:rPr>
        <w:t xml:space="preserve"> </w:t>
      </w:r>
    </w:p>
    <w:p w14:paraId="4541A8C1" w14:textId="58DF25D9"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movilidad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reproductiva,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mejor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reducir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pérdidas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causadas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reemplazar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tradicional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huerta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huerta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insecticidas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establecimiento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baja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prevalencia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libres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establecer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baja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prevalencia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libres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fruta,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enfoque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fitosanitario</w:t>
      </w:r>
      <w:r w:rsidR="00D136BB">
        <w:rPr>
          <w:rFonts w:ascii="Times New Roman" w:hAnsi="Times New Roman" w:cs="Times New Roman"/>
          <w:sz w:val="24"/>
          <w:szCs w:val="24"/>
        </w:rPr>
        <w:t xml:space="preserve"> </w:t>
      </w:r>
      <w:r w:rsidRPr="00031A5F">
        <w:rPr>
          <w:rFonts w:ascii="Times New Roman" w:hAnsi="Times New Roman" w:cs="Times New Roman"/>
          <w:i/>
          <w:sz w:val="24"/>
          <w:szCs w:val="24"/>
        </w:rPr>
        <w:t>per</w:t>
      </w:r>
      <w:r w:rsidR="00D136BB">
        <w:rPr>
          <w:rFonts w:ascii="Times New Roman" w:hAnsi="Times New Roman" w:cs="Times New Roman"/>
          <w:i/>
          <w:sz w:val="24"/>
          <w:szCs w:val="24"/>
        </w:rPr>
        <w:t xml:space="preserve"> </w:t>
      </w:r>
      <w:r w:rsidRPr="00031A5F">
        <w:rPr>
          <w:rFonts w:ascii="Times New Roman" w:hAnsi="Times New Roman" w:cs="Times New Roman"/>
          <w:i/>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manejo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integrado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extensas,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dentro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principales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componentes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biológico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incluye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insecto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estéril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radiación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gamma.</w:t>
      </w:r>
      <w:r w:rsidR="00D136BB">
        <w:rPr>
          <w:rFonts w:ascii="Times New Roman" w:hAnsi="Times New Roman" w:cs="Times New Roman"/>
          <w:sz w:val="24"/>
          <w:szCs w:val="24"/>
        </w:rPr>
        <w:t xml:space="preserve"> </w:t>
      </w:r>
    </w:p>
    <w:p w14:paraId="02F3D4B3" w14:textId="5A3098A1"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Actualmente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presentan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escenarios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podrían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considerados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objetivos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estratégicos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específicos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validez</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horizonte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15</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primero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supresión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fruta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nativas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localizadas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subregiones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segundo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prevención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reemergencia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dispersión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transfronteriza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fruta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Latino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incremento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movimiento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creación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nuevos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nichos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biológicos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climático.</w:t>
      </w:r>
      <w:r w:rsidR="00D136BB">
        <w:rPr>
          <w:rFonts w:ascii="Times New Roman" w:hAnsi="Times New Roman" w:cs="Times New Roman"/>
          <w:sz w:val="24"/>
          <w:szCs w:val="24"/>
        </w:rPr>
        <w:t xml:space="preserve"> </w:t>
      </w:r>
    </w:p>
    <w:p w14:paraId="5F338FAC" w14:textId="7AAF95A6"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mismo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ámbito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alimentos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origen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vegetal,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indica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polilla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europea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vid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w:t>
      </w:r>
      <w:r w:rsidRPr="00031A5F">
        <w:rPr>
          <w:rFonts w:ascii="Times New Roman" w:hAnsi="Times New Roman" w:cs="Times New Roman"/>
          <w:i/>
          <w:color w:val="000000" w:themeColor="text1"/>
          <w:sz w:val="24"/>
          <w:szCs w:val="24"/>
        </w:rPr>
        <w:t>Lobesia</w:t>
      </w:r>
      <w:r w:rsidR="00D136BB">
        <w:rPr>
          <w:rFonts w:ascii="Times New Roman" w:hAnsi="Times New Roman" w:cs="Times New Roman"/>
          <w:i/>
          <w:color w:val="000000" w:themeColor="text1"/>
          <w:sz w:val="24"/>
          <w:szCs w:val="24"/>
        </w:rPr>
        <w:t xml:space="preserve"> </w:t>
      </w:r>
      <w:r w:rsidRPr="00031A5F">
        <w:rPr>
          <w:rFonts w:ascii="Times New Roman" w:hAnsi="Times New Roman" w:cs="Times New Roman"/>
          <w:i/>
          <w:color w:val="000000" w:themeColor="text1"/>
          <w:sz w:val="24"/>
          <w:szCs w:val="24"/>
        </w:rPr>
        <w:t>botrana</w:t>
      </w:r>
      <w:r w:rsidRPr="00031A5F">
        <w:rPr>
          <w:rFonts w:ascii="Times New Roman" w:hAnsi="Times New Roman" w:cs="Times New Roman"/>
          <w:color w:val="000000" w:themeColor="text1"/>
          <w:sz w:val="24"/>
          <w:szCs w:val="24"/>
        </w:rPr>
        <w:t>),</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plaga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nativa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Europa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detectada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Chile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Argentina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hace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aproximadamente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10</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años,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constituido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seria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amenaza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industria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vitivinícola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Sudamérica.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Considerada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nivel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mundial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plagas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más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importantes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frutos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baya,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más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destructivas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lastRenderedPageBreak/>
        <w:t>vid.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larvas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causan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daños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directos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alimentarse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racimos,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desde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etapa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floración,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pasando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bayas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inmaduras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hasta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cosecha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produciendo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daño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directo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fruto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alimentarse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él,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indirecto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promover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infección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secundaria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hongos,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uvas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mesa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pérdida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calidad</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uvas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vino,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residuos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fúngicos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provocan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aromas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sabores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indeseables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vinos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problemas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técnicos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clarificación.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anterior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sin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considerar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daños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indirectos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relacionados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restricción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cierre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algunos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mercados,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aplicación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regulaciones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tratamientos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cuarentenarios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cultivo.</w:t>
      </w:r>
    </w:p>
    <w:p w14:paraId="581B9F9D" w14:textId="2A0C5BB5"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rPr>
        <w:t>Esta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plaga,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además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reproduce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vides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establecidas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zonas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urbanas,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donde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migra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hacia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huertos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comerciales,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donde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daño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económico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más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importante.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hecho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plaga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mantenga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áreas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urbanas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limita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control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insecticidas,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por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medida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control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alternativa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más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adecuada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protección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medio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ambiente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tanto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rural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urbano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técnica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insecto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estéril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(TIE).</w:t>
      </w:r>
    </w:p>
    <w:p w14:paraId="36C72A9E" w14:textId="1099A177" w:rsidR="00436D72" w:rsidRPr="00031A5F" w:rsidRDefault="00436D72" w:rsidP="00436D72">
      <w:pPr>
        <w:jc w:val="both"/>
        <w:rPr>
          <w:rFonts w:ascii="Times New Roman" w:hAnsi="Times New Roman" w:cs="Times New Roman"/>
          <w:color w:val="000000" w:themeColor="text1"/>
          <w:sz w:val="24"/>
          <w:szCs w:val="24"/>
        </w:rPr>
      </w:pPr>
      <w:r w:rsidRPr="00031A5F">
        <w:rPr>
          <w:rFonts w:ascii="Times New Roman" w:hAnsi="Times New Roman" w:cs="Times New Roman"/>
          <w:color w:val="000000" w:themeColor="text1"/>
          <w:sz w:val="24"/>
          <w:szCs w:val="24"/>
        </w:rPr>
        <w:t>Actualmente,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plaga,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apenas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inicia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establecimiento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Chile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Argentina,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causa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daños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importancia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económica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producción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viñedos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países.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primordial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importancia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supresión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esta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plaga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exótica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mediante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uso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TIE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prevenir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expansión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nivel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nacional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su</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dispersión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transfronteriza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que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puede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afectar</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regiones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productoras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uva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de</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los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países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vecinos</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como</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son</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Uruguay,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Paraguay,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Brasil,</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Bolivia</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y</w:t>
      </w:r>
      <w:r w:rsidR="00D136BB">
        <w:rPr>
          <w:rFonts w:ascii="Times New Roman" w:hAnsi="Times New Roman" w:cs="Times New Roman"/>
          <w:color w:val="000000" w:themeColor="text1"/>
          <w:sz w:val="24"/>
          <w:szCs w:val="24"/>
        </w:rPr>
        <w:t xml:space="preserve"> </w:t>
      </w:r>
      <w:r w:rsidRPr="00031A5F">
        <w:rPr>
          <w:rFonts w:ascii="Times New Roman" w:hAnsi="Times New Roman" w:cs="Times New Roman"/>
          <w:color w:val="000000" w:themeColor="text1"/>
          <w:sz w:val="24"/>
          <w:szCs w:val="24"/>
        </w:rPr>
        <w:t>Perú.</w:t>
      </w:r>
    </w:p>
    <w:p w14:paraId="11BACE69" w14:textId="45FFE5BC"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relación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origen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animal,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islas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pecuario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severamente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limitado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miasis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causada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Gusano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Barrenador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Ganado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Nuevo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(GBG)</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w:t>
      </w:r>
      <w:r w:rsidRPr="00031A5F">
        <w:rPr>
          <w:rFonts w:ascii="Times New Roman" w:hAnsi="Times New Roman" w:cs="Times New Roman"/>
          <w:i/>
          <w:sz w:val="24"/>
          <w:szCs w:val="24"/>
        </w:rPr>
        <w:t>Cochliomyia</w:t>
      </w:r>
      <w:r w:rsidR="00D136BB">
        <w:rPr>
          <w:rFonts w:ascii="Times New Roman" w:hAnsi="Times New Roman" w:cs="Times New Roman"/>
          <w:i/>
          <w:sz w:val="24"/>
          <w:szCs w:val="24"/>
        </w:rPr>
        <w:t xml:space="preserve"> </w:t>
      </w:r>
      <w:r w:rsidRPr="00031A5F">
        <w:rPr>
          <w:rFonts w:ascii="Times New Roman" w:hAnsi="Times New Roman" w:cs="Times New Roman"/>
          <w:i/>
          <w:sz w:val="24"/>
          <w:szCs w:val="24"/>
        </w:rPr>
        <w:t>hominivorax</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afecta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pecuaria,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genera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importantes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pérdidas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comerciales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ganadero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calcula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450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unidades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(bovinos,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equinos,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cerdos,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ovinos,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caprinos,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etc.),</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sumado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pérdida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carácter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prioritario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impacto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negativo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pecuario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presenta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tendencia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claramente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ascendente.</w:t>
      </w:r>
    </w:p>
    <w:p w14:paraId="468D51E9" w14:textId="556F1B93"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reducir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pérdidas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pecuario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actividad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pecuaria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Sudamérica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presentan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objetivos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estratégicos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específicos,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primeramente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mantener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zonas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libres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GBG</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México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Central,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segundo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lugar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recolectar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compartir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organismos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animal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insecto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estéril.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Finalmente,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tercer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objetivo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estratégico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específico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prepare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erradicación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largo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plazo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GBG</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continente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americano.</w:t>
      </w:r>
    </w:p>
    <w:p w14:paraId="368C213A" w14:textId="62DC3313"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Objetivo: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plantas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animales.</w:t>
      </w:r>
      <w:r w:rsidR="00D136BB">
        <w:rPr>
          <w:rFonts w:ascii="Times New Roman" w:hAnsi="Times New Roman" w:cs="Times New Roman"/>
          <w:sz w:val="24"/>
          <w:szCs w:val="24"/>
        </w:rPr>
        <w:t xml:space="preserve"> </w:t>
      </w:r>
    </w:p>
    <w:p w14:paraId="38E36FC8" w14:textId="4947EBD0" w:rsidR="00436D72" w:rsidRPr="00031A5F" w:rsidRDefault="00436D72" w:rsidP="00627A67">
      <w:pPr>
        <w:jc w:val="both"/>
        <w:rPr>
          <w:rFonts w:ascii="Times New Roman" w:hAnsi="Times New Roman" w:cs="Times New Roman"/>
          <w:sz w:val="24"/>
          <w:szCs w:val="24"/>
        </w:rPr>
      </w:pPr>
      <w:r w:rsidRPr="00031A5F">
        <w:rPr>
          <w:rFonts w:ascii="Times New Roman" w:hAnsi="Times New Roman" w:cs="Times New Roman"/>
          <w:b/>
          <w:sz w:val="24"/>
          <w:szCs w:val="24"/>
        </w:rPr>
        <w:t>Indicador: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Superficie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monitoreada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bajo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plagas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plantas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animales.</w:t>
      </w:r>
      <w:r w:rsidR="00D136BB">
        <w:rPr>
          <w:rFonts w:ascii="Times New Roman" w:hAnsi="Times New Roman" w:cs="Times New Roman"/>
          <w:sz w:val="24"/>
          <w:szCs w:val="24"/>
        </w:rPr>
        <w:t xml:space="preserve"> </w:t>
      </w:r>
    </w:p>
    <w:p w14:paraId="084430F7" w14:textId="77777777" w:rsidR="00436D72" w:rsidRPr="00031A5F" w:rsidRDefault="00436D72" w:rsidP="00436D72">
      <w:pPr>
        <w:ind w:left="720"/>
        <w:jc w:val="both"/>
        <w:rPr>
          <w:rFonts w:ascii="Times New Roman" w:hAnsi="Times New Roman" w:cs="Times New Roman"/>
          <w:sz w:val="24"/>
          <w:szCs w:val="24"/>
        </w:rPr>
      </w:pPr>
    </w:p>
    <w:p w14:paraId="3B171706" w14:textId="61DCEC88" w:rsidR="00436D72" w:rsidRPr="00031A5F" w:rsidRDefault="00436D72" w:rsidP="00436D72">
      <w:pPr>
        <w:jc w:val="both"/>
        <w:rPr>
          <w:rFonts w:ascii="Times New Roman" w:hAnsi="Times New Roman" w:cs="Times New Roman"/>
          <w:b/>
          <w:bCs/>
          <w:sz w:val="24"/>
          <w:szCs w:val="24"/>
          <w:u w:val="single"/>
        </w:rPr>
      </w:pPr>
      <w:r w:rsidRPr="00031A5F">
        <w:rPr>
          <w:rFonts w:ascii="Times New Roman" w:hAnsi="Times New Roman" w:cs="Times New Roman"/>
          <w:b/>
          <w:sz w:val="24"/>
          <w:szCs w:val="24"/>
          <w:u w:val="single"/>
        </w:rPr>
        <w:t>A7.</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Apoyar</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iniciativas</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para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el</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desarrollo</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de</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la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acuicultura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en</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la</w:t>
      </w:r>
      <w:r w:rsidR="00D136BB">
        <w:rPr>
          <w:rFonts w:ascii="Times New Roman" w:hAnsi="Times New Roman" w:cs="Times New Roman"/>
          <w:b/>
          <w:sz w:val="24"/>
          <w:szCs w:val="24"/>
          <w:u w:val="single"/>
        </w:rPr>
        <w:t xml:space="preserve"> </w:t>
      </w:r>
      <w:r w:rsidRPr="00031A5F">
        <w:rPr>
          <w:rFonts w:ascii="Times New Roman" w:hAnsi="Times New Roman" w:cs="Times New Roman"/>
          <w:b/>
          <w:sz w:val="24"/>
          <w:szCs w:val="24"/>
          <w:u w:val="single"/>
        </w:rPr>
        <w:t>región.</w:t>
      </w:r>
    </w:p>
    <w:p w14:paraId="7FDB09DB" w14:textId="60F4A1FA" w:rsidR="00436D72" w:rsidRPr="00031A5F" w:rsidRDefault="00436D72" w:rsidP="00436D72">
      <w:pPr>
        <w:pStyle w:val="BodyTextIndent3"/>
        <w:spacing w:line="276" w:lineRule="auto"/>
        <w:ind w:left="0"/>
        <w:jc w:val="both"/>
        <w:rPr>
          <w:sz w:val="24"/>
          <w:szCs w:val="24"/>
          <w:lang w:val="es-ES_tradnl" w:eastAsia="en-US"/>
        </w:rPr>
      </w:pPr>
      <w:r w:rsidRPr="00031A5F">
        <w:rPr>
          <w:b/>
          <w:sz w:val="24"/>
          <w:szCs w:val="24"/>
        </w:rPr>
        <w:lastRenderedPageBreak/>
        <w:t>Justificativa:</w:t>
      </w:r>
      <w:r w:rsidR="00D136BB">
        <w:rPr>
          <w:sz w:val="24"/>
          <w:szCs w:val="24"/>
        </w:rPr>
        <w:t xml:space="preserve"> </w:t>
      </w:r>
      <w:r w:rsidRPr="00031A5F">
        <w:rPr>
          <w:sz w:val="24"/>
          <w:szCs w:val="24"/>
        </w:rPr>
        <w:t>La</w:t>
      </w:r>
      <w:r w:rsidR="00D136BB">
        <w:rPr>
          <w:sz w:val="24"/>
          <w:szCs w:val="24"/>
        </w:rPr>
        <w:t xml:space="preserve"> </w:t>
      </w:r>
      <w:r w:rsidRPr="00031A5F">
        <w:rPr>
          <w:sz w:val="24"/>
          <w:szCs w:val="24"/>
        </w:rPr>
        <w:t>región</w:t>
      </w:r>
      <w:r w:rsidR="00D136BB">
        <w:rPr>
          <w:sz w:val="24"/>
          <w:szCs w:val="24"/>
        </w:rPr>
        <w:t xml:space="preserve"> </w:t>
      </w:r>
      <w:r w:rsidRPr="00031A5F">
        <w:rPr>
          <w:sz w:val="24"/>
          <w:szCs w:val="24"/>
        </w:rPr>
        <w:t>posee</w:t>
      </w:r>
      <w:r w:rsidR="00D136BB">
        <w:rPr>
          <w:sz w:val="24"/>
          <w:szCs w:val="24"/>
        </w:rPr>
        <w:t xml:space="preserve"> </w:t>
      </w:r>
      <w:r w:rsidRPr="00031A5F">
        <w:rPr>
          <w:sz w:val="24"/>
          <w:szCs w:val="24"/>
        </w:rPr>
        <w:t>alto</w:t>
      </w:r>
      <w:r w:rsidR="00D136BB">
        <w:rPr>
          <w:sz w:val="24"/>
          <w:szCs w:val="24"/>
        </w:rPr>
        <w:t xml:space="preserve"> </w:t>
      </w:r>
      <w:r w:rsidRPr="00031A5F">
        <w:rPr>
          <w:sz w:val="24"/>
          <w:szCs w:val="24"/>
        </w:rPr>
        <w:t>potencial</w:t>
      </w:r>
      <w:r w:rsidR="00D136BB">
        <w:rPr>
          <w:sz w:val="24"/>
          <w:szCs w:val="24"/>
        </w:rPr>
        <w:t xml:space="preserve"> </w:t>
      </w:r>
      <w:r w:rsidRPr="00031A5F">
        <w:rPr>
          <w:sz w:val="24"/>
          <w:szCs w:val="24"/>
        </w:rPr>
        <w:t>para</w:t>
      </w:r>
      <w:r w:rsidR="00D136BB">
        <w:rPr>
          <w:sz w:val="24"/>
          <w:szCs w:val="24"/>
        </w:rPr>
        <w:t xml:space="preserve"> </w:t>
      </w:r>
      <w:r w:rsidRPr="00031A5F">
        <w:rPr>
          <w:sz w:val="24"/>
          <w:szCs w:val="24"/>
        </w:rPr>
        <w:t>el</w:t>
      </w:r>
      <w:r w:rsidR="00D136BB">
        <w:rPr>
          <w:sz w:val="24"/>
          <w:szCs w:val="24"/>
        </w:rPr>
        <w:t xml:space="preserve"> </w:t>
      </w:r>
      <w:r w:rsidRPr="00031A5F">
        <w:rPr>
          <w:sz w:val="24"/>
          <w:szCs w:val="24"/>
        </w:rPr>
        <w:t>desarrollo</w:t>
      </w:r>
      <w:r w:rsidR="00D136BB">
        <w:rPr>
          <w:sz w:val="24"/>
          <w:szCs w:val="24"/>
        </w:rPr>
        <w:t xml:space="preserve"> </w:t>
      </w:r>
      <w:r w:rsidRPr="00031A5F">
        <w:rPr>
          <w:sz w:val="24"/>
          <w:szCs w:val="24"/>
        </w:rPr>
        <w:t>de</w:t>
      </w:r>
      <w:r w:rsidR="00D136BB">
        <w:rPr>
          <w:sz w:val="24"/>
          <w:szCs w:val="24"/>
        </w:rPr>
        <w:t xml:space="preserve"> </w:t>
      </w:r>
      <w:r w:rsidRPr="00031A5F">
        <w:rPr>
          <w:sz w:val="24"/>
          <w:szCs w:val="24"/>
        </w:rPr>
        <w:t>la</w:t>
      </w:r>
      <w:r w:rsidR="00D136BB">
        <w:rPr>
          <w:sz w:val="24"/>
          <w:szCs w:val="24"/>
        </w:rPr>
        <w:t xml:space="preserve"> </w:t>
      </w:r>
      <w:r w:rsidRPr="00031A5F">
        <w:rPr>
          <w:sz w:val="24"/>
          <w:szCs w:val="24"/>
        </w:rPr>
        <w:t>acuicultura</w:t>
      </w:r>
      <w:r w:rsidR="00D136BB">
        <w:rPr>
          <w:sz w:val="24"/>
          <w:szCs w:val="24"/>
        </w:rPr>
        <w:t xml:space="preserve"> </w:t>
      </w:r>
      <w:r w:rsidRPr="00031A5F">
        <w:rPr>
          <w:sz w:val="24"/>
          <w:szCs w:val="24"/>
        </w:rPr>
        <w:t>debido</w:t>
      </w:r>
      <w:r w:rsidR="00D136BB">
        <w:rPr>
          <w:sz w:val="24"/>
          <w:szCs w:val="24"/>
        </w:rPr>
        <w:t xml:space="preserve"> </w:t>
      </w:r>
      <w:r w:rsidRPr="00031A5F">
        <w:rPr>
          <w:sz w:val="24"/>
          <w:szCs w:val="24"/>
        </w:rPr>
        <w:t>a</w:t>
      </w:r>
      <w:r w:rsidR="00D136BB">
        <w:rPr>
          <w:sz w:val="24"/>
          <w:szCs w:val="24"/>
        </w:rPr>
        <w:t xml:space="preserve"> </w:t>
      </w:r>
      <w:r w:rsidRPr="00031A5F">
        <w:rPr>
          <w:sz w:val="24"/>
          <w:szCs w:val="24"/>
        </w:rPr>
        <w:t>sus</w:t>
      </w:r>
      <w:r w:rsidR="00D136BB">
        <w:rPr>
          <w:sz w:val="24"/>
          <w:szCs w:val="24"/>
        </w:rPr>
        <w:t xml:space="preserve"> </w:t>
      </w:r>
      <w:r w:rsidRPr="00031A5F">
        <w:rPr>
          <w:sz w:val="24"/>
          <w:szCs w:val="24"/>
        </w:rPr>
        <w:t>largas</w:t>
      </w:r>
      <w:r w:rsidR="00D136BB">
        <w:rPr>
          <w:sz w:val="24"/>
          <w:szCs w:val="24"/>
        </w:rPr>
        <w:t xml:space="preserve"> </w:t>
      </w:r>
      <w:r w:rsidRPr="00031A5F">
        <w:rPr>
          <w:sz w:val="24"/>
          <w:szCs w:val="24"/>
        </w:rPr>
        <w:t>extensiones</w:t>
      </w:r>
      <w:r w:rsidR="00D136BB">
        <w:rPr>
          <w:sz w:val="24"/>
          <w:szCs w:val="24"/>
        </w:rPr>
        <w:t xml:space="preserve"> </w:t>
      </w:r>
      <w:r w:rsidRPr="00031A5F">
        <w:rPr>
          <w:sz w:val="24"/>
          <w:szCs w:val="24"/>
        </w:rPr>
        <w:t>de</w:t>
      </w:r>
      <w:r w:rsidR="00D136BB">
        <w:rPr>
          <w:sz w:val="24"/>
          <w:szCs w:val="24"/>
        </w:rPr>
        <w:t xml:space="preserve"> </w:t>
      </w:r>
      <w:r w:rsidRPr="00031A5F">
        <w:rPr>
          <w:sz w:val="24"/>
          <w:szCs w:val="24"/>
        </w:rPr>
        <w:t>costas</w:t>
      </w:r>
      <w:r w:rsidR="00D136BB">
        <w:rPr>
          <w:sz w:val="24"/>
          <w:szCs w:val="24"/>
        </w:rPr>
        <w:t xml:space="preserve"> </w:t>
      </w:r>
      <w:r w:rsidRPr="00031A5F">
        <w:rPr>
          <w:sz w:val="24"/>
          <w:szCs w:val="24"/>
        </w:rPr>
        <w:t>marítimas</w:t>
      </w:r>
      <w:r w:rsidR="00D136BB">
        <w:rPr>
          <w:sz w:val="24"/>
          <w:szCs w:val="24"/>
        </w:rPr>
        <w:t xml:space="preserve"> </w:t>
      </w:r>
      <w:r w:rsidRPr="00031A5F">
        <w:rPr>
          <w:sz w:val="24"/>
          <w:szCs w:val="24"/>
        </w:rPr>
        <w:t>y</w:t>
      </w:r>
      <w:r w:rsidR="00D136BB">
        <w:rPr>
          <w:sz w:val="24"/>
          <w:szCs w:val="24"/>
        </w:rPr>
        <w:t xml:space="preserve"> </w:t>
      </w:r>
      <w:r w:rsidRPr="00031A5F">
        <w:rPr>
          <w:sz w:val="24"/>
          <w:szCs w:val="24"/>
        </w:rPr>
        <w:t>cuencas</w:t>
      </w:r>
      <w:r w:rsidR="00D136BB">
        <w:rPr>
          <w:sz w:val="24"/>
          <w:szCs w:val="24"/>
        </w:rPr>
        <w:t xml:space="preserve"> </w:t>
      </w:r>
      <w:r w:rsidRPr="00031A5F">
        <w:rPr>
          <w:sz w:val="24"/>
          <w:szCs w:val="24"/>
        </w:rPr>
        <w:t>hidrográficas</w:t>
      </w:r>
      <w:r w:rsidR="00D136BB">
        <w:rPr>
          <w:sz w:val="24"/>
          <w:szCs w:val="24"/>
        </w:rPr>
        <w:t xml:space="preserve"> </w:t>
      </w:r>
      <w:r w:rsidRPr="00031A5F">
        <w:rPr>
          <w:sz w:val="24"/>
          <w:szCs w:val="24"/>
        </w:rPr>
        <w:t>importantes.</w:t>
      </w:r>
      <w:r w:rsidR="00D136BB">
        <w:rPr>
          <w:sz w:val="24"/>
          <w:szCs w:val="24"/>
        </w:rPr>
        <w:t xml:space="preserve"> </w:t>
      </w:r>
      <w:r w:rsidRPr="00031A5F">
        <w:rPr>
          <w:sz w:val="24"/>
          <w:szCs w:val="24"/>
        </w:rPr>
        <w:t>Además,</w:t>
      </w:r>
      <w:r w:rsidR="00D136BB">
        <w:rPr>
          <w:sz w:val="24"/>
          <w:szCs w:val="24"/>
        </w:rPr>
        <w:t xml:space="preserve"> </w:t>
      </w:r>
      <w:r w:rsidRPr="00031A5F">
        <w:rPr>
          <w:sz w:val="24"/>
          <w:szCs w:val="24"/>
        </w:rPr>
        <w:t>la</w:t>
      </w:r>
      <w:r w:rsidR="00D136BB">
        <w:rPr>
          <w:sz w:val="24"/>
          <w:szCs w:val="24"/>
        </w:rPr>
        <w:t xml:space="preserve"> </w:t>
      </w:r>
      <w:r w:rsidRPr="00031A5F">
        <w:rPr>
          <w:sz w:val="24"/>
          <w:szCs w:val="24"/>
        </w:rPr>
        <w:t>proteína</w:t>
      </w:r>
      <w:r w:rsidR="00D136BB">
        <w:rPr>
          <w:sz w:val="24"/>
          <w:szCs w:val="24"/>
        </w:rPr>
        <w:t xml:space="preserve"> </w:t>
      </w:r>
      <w:r w:rsidRPr="00031A5F">
        <w:rPr>
          <w:sz w:val="24"/>
          <w:szCs w:val="24"/>
        </w:rPr>
        <w:t>animal</w:t>
      </w:r>
      <w:r w:rsidR="00D136BB">
        <w:rPr>
          <w:sz w:val="24"/>
          <w:szCs w:val="24"/>
        </w:rPr>
        <w:t xml:space="preserve"> </w:t>
      </w:r>
      <w:r w:rsidRPr="00031A5F">
        <w:rPr>
          <w:sz w:val="24"/>
          <w:szCs w:val="24"/>
        </w:rPr>
        <w:t>producida</w:t>
      </w:r>
      <w:r w:rsidR="00D136BB">
        <w:rPr>
          <w:sz w:val="24"/>
          <w:szCs w:val="24"/>
        </w:rPr>
        <w:t xml:space="preserve"> </w:t>
      </w:r>
      <w:r w:rsidRPr="00031A5F">
        <w:rPr>
          <w:sz w:val="24"/>
          <w:szCs w:val="24"/>
        </w:rPr>
        <w:t>por</w:t>
      </w:r>
      <w:r w:rsidR="00D136BB">
        <w:rPr>
          <w:sz w:val="24"/>
          <w:szCs w:val="24"/>
        </w:rPr>
        <w:t xml:space="preserve"> </w:t>
      </w:r>
      <w:r w:rsidRPr="00031A5F">
        <w:rPr>
          <w:sz w:val="24"/>
          <w:szCs w:val="24"/>
        </w:rPr>
        <w:t>la</w:t>
      </w:r>
      <w:r w:rsidR="00D136BB">
        <w:rPr>
          <w:sz w:val="24"/>
          <w:szCs w:val="24"/>
        </w:rPr>
        <w:t xml:space="preserve"> </w:t>
      </w:r>
      <w:r w:rsidRPr="00031A5F">
        <w:rPr>
          <w:sz w:val="24"/>
          <w:szCs w:val="24"/>
        </w:rPr>
        <w:t>acuicultura</w:t>
      </w:r>
      <w:r w:rsidR="00D136BB">
        <w:rPr>
          <w:sz w:val="24"/>
          <w:szCs w:val="24"/>
        </w:rPr>
        <w:t xml:space="preserve"> </w:t>
      </w:r>
      <w:r w:rsidRPr="00031A5F">
        <w:rPr>
          <w:sz w:val="24"/>
          <w:szCs w:val="24"/>
        </w:rPr>
        <w:t>tiene</w:t>
      </w:r>
      <w:r w:rsidR="00D136BB">
        <w:rPr>
          <w:sz w:val="24"/>
          <w:szCs w:val="24"/>
        </w:rPr>
        <w:t xml:space="preserve"> </w:t>
      </w:r>
      <w:r w:rsidRPr="00031A5F">
        <w:rPr>
          <w:sz w:val="24"/>
          <w:szCs w:val="24"/>
        </w:rPr>
        <w:t>alto</w:t>
      </w:r>
      <w:r w:rsidR="00D136BB">
        <w:rPr>
          <w:sz w:val="24"/>
          <w:szCs w:val="24"/>
        </w:rPr>
        <w:t xml:space="preserve"> </w:t>
      </w:r>
      <w:r w:rsidRPr="00031A5F">
        <w:rPr>
          <w:sz w:val="24"/>
          <w:szCs w:val="24"/>
        </w:rPr>
        <w:t>valor</w:t>
      </w:r>
      <w:r w:rsidR="00D136BB">
        <w:rPr>
          <w:sz w:val="24"/>
          <w:szCs w:val="24"/>
        </w:rPr>
        <w:t xml:space="preserve"> </w:t>
      </w:r>
      <w:r w:rsidRPr="00031A5F">
        <w:rPr>
          <w:sz w:val="24"/>
          <w:szCs w:val="24"/>
        </w:rPr>
        <w:t>económico</w:t>
      </w:r>
      <w:r w:rsidR="00D136BB">
        <w:rPr>
          <w:sz w:val="24"/>
          <w:szCs w:val="24"/>
        </w:rPr>
        <w:t xml:space="preserve"> </w:t>
      </w:r>
      <w:r w:rsidRPr="00031A5F">
        <w:rPr>
          <w:sz w:val="24"/>
          <w:szCs w:val="24"/>
        </w:rPr>
        <w:t>y</w:t>
      </w:r>
      <w:r w:rsidR="00D136BB">
        <w:rPr>
          <w:sz w:val="24"/>
          <w:szCs w:val="24"/>
        </w:rPr>
        <w:t xml:space="preserve"> </w:t>
      </w:r>
      <w:r w:rsidRPr="00031A5F">
        <w:rPr>
          <w:sz w:val="24"/>
          <w:szCs w:val="24"/>
        </w:rPr>
        <w:t>nutricional,</w:t>
      </w:r>
      <w:r w:rsidR="00D136BB">
        <w:rPr>
          <w:sz w:val="24"/>
          <w:szCs w:val="24"/>
        </w:rPr>
        <w:t xml:space="preserve"> </w:t>
      </w:r>
      <w:r w:rsidRPr="00031A5F">
        <w:rPr>
          <w:sz w:val="24"/>
          <w:szCs w:val="24"/>
        </w:rPr>
        <w:t>pero</w:t>
      </w:r>
      <w:r w:rsidR="00D136BB">
        <w:rPr>
          <w:sz w:val="24"/>
          <w:szCs w:val="24"/>
        </w:rPr>
        <w:t xml:space="preserve"> </w:t>
      </w:r>
      <w:r w:rsidRPr="00031A5F">
        <w:rPr>
          <w:sz w:val="24"/>
          <w:szCs w:val="24"/>
        </w:rPr>
        <w:t>sigue</w:t>
      </w:r>
      <w:r w:rsidR="00D136BB">
        <w:rPr>
          <w:sz w:val="24"/>
          <w:szCs w:val="24"/>
        </w:rPr>
        <w:t xml:space="preserve"> </w:t>
      </w:r>
      <w:r w:rsidRPr="00031A5F">
        <w:rPr>
          <w:sz w:val="24"/>
          <w:szCs w:val="24"/>
        </w:rPr>
        <w:t>relativamente</w:t>
      </w:r>
      <w:r w:rsidR="00D136BB">
        <w:rPr>
          <w:sz w:val="24"/>
          <w:szCs w:val="24"/>
        </w:rPr>
        <w:t xml:space="preserve"> </w:t>
      </w:r>
      <w:r w:rsidRPr="00031A5F">
        <w:rPr>
          <w:sz w:val="24"/>
          <w:szCs w:val="24"/>
        </w:rPr>
        <w:t>poco</w:t>
      </w:r>
      <w:r w:rsidR="00D136BB">
        <w:rPr>
          <w:sz w:val="24"/>
          <w:szCs w:val="24"/>
        </w:rPr>
        <w:t xml:space="preserve"> </w:t>
      </w:r>
      <w:r w:rsidRPr="00031A5F">
        <w:rPr>
          <w:sz w:val="24"/>
          <w:szCs w:val="24"/>
        </w:rPr>
        <w:t>explorada.</w:t>
      </w:r>
      <w:r w:rsidR="00D136BB">
        <w:rPr>
          <w:sz w:val="24"/>
          <w:szCs w:val="24"/>
        </w:rPr>
        <w:t xml:space="preserve"> </w:t>
      </w:r>
      <w:r w:rsidRPr="00031A5F">
        <w:rPr>
          <w:sz w:val="24"/>
          <w:szCs w:val="24"/>
          <w:lang w:val="es-ES_tradnl"/>
        </w:rPr>
        <w:t>La</w:t>
      </w:r>
      <w:r w:rsidR="00D136BB">
        <w:rPr>
          <w:sz w:val="24"/>
          <w:szCs w:val="24"/>
          <w:lang w:val="es-ES_tradnl"/>
        </w:rPr>
        <w:t xml:space="preserve"> </w:t>
      </w:r>
      <w:r w:rsidRPr="00031A5F">
        <w:rPr>
          <w:sz w:val="24"/>
          <w:szCs w:val="24"/>
          <w:lang w:val="es-ES_tradnl"/>
        </w:rPr>
        <w:t>acuicultura,</w:t>
      </w:r>
      <w:r w:rsidR="00D136BB">
        <w:rPr>
          <w:sz w:val="24"/>
          <w:szCs w:val="24"/>
          <w:lang w:val="es-ES_tradnl"/>
        </w:rPr>
        <w:t xml:space="preserve"> </w:t>
      </w:r>
      <w:r w:rsidRPr="00031A5F">
        <w:rPr>
          <w:sz w:val="24"/>
          <w:szCs w:val="24"/>
          <w:lang w:val="es-ES_tradnl"/>
        </w:rPr>
        <w:t>posiblemente</w:t>
      </w:r>
      <w:r w:rsidR="00D136BB">
        <w:rPr>
          <w:sz w:val="24"/>
          <w:szCs w:val="24"/>
          <w:lang w:val="es-ES_tradnl"/>
        </w:rPr>
        <w:t xml:space="preserve"> </w:t>
      </w:r>
      <w:r w:rsidRPr="00031A5F">
        <w:rPr>
          <w:sz w:val="24"/>
          <w:szCs w:val="24"/>
          <w:lang w:val="es-ES_tradnl"/>
        </w:rPr>
        <w:t>sea</w:t>
      </w:r>
      <w:r w:rsidR="00D136BB">
        <w:rPr>
          <w:sz w:val="24"/>
          <w:szCs w:val="24"/>
          <w:lang w:val="es-ES_tradnl"/>
        </w:rPr>
        <w:t xml:space="preserve"> </w:t>
      </w:r>
      <w:r w:rsidRPr="00031A5F">
        <w:rPr>
          <w:sz w:val="24"/>
          <w:szCs w:val="24"/>
          <w:lang w:val="es-ES_tradnl"/>
        </w:rPr>
        <w:t>hoy</w:t>
      </w:r>
      <w:r w:rsidR="00D136BB">
        <w:rPr>
          <w:sz w:val="24"/>
          <w:szCs w:val="24"/>
          <w:lang w:val="es-ES_tradnl"/>
        </w:rPr>
        <w:t xml:space="preserve"> </w:t>
      </w:r>
      <w:r w:rsidRPr="00031A5F">
        <w:rPr>
          <w:sz w:val="24"/>
          <w:szCs w:val="24"/>
          <w:lang w:val="es-ES_tradnl"/>
        </w:rPr>
        <w:t>en</w:t>
      </w:r>
      <w:r w:rsidR="00D136BB">
        <w:rPr>
          <w:sz w:val="24"/>
          <w:szCs w:val="24"/>
          <w:lang w:val="es-ES_tradnl"/>
        </w:rPr>
        <w:t xml:space="preserve"> </w:t>
      </w:r>
      <w:r w:rsidRPr="00031A5F">
        <w:rPr>
          <w:sz w:val="24"/>
          <w:szCs w:val="24"/>
          <w:lang w:val="es-ES_tradnl"/>
        </w:rPr>
        <w:t>día</w:t>
      </w:r>
      <w:r w:rsidR="00D136BB">
        <w:rPr>
          <w:sz w:val="24"/>
          <w:szCs w:val="24"/>
          <w:lang w:val="es-ES_tradnl"/>
        </w:rPr>
        <w:t xml:space="preserve"> </w:t>
      </w:r>
      <w:r w:rsidRPr="00031A5F">
        <w:rPr>
          <w:sz w:val="24"/>
          <w:szCs w:val="24"/>
          <w:lang w:val="es-ES_tradnl"/>
        </w:rPr>
        <w:t>el</w:t>
      </w:r>
      <w:r w:rsidR="00D136BB">
        <w:rPr>
          <w:sz w:val="24"/>
          <w:szCs w:val="24"/>
          <w:lang w:val="es-ES_tradnl"/>
        </w:rPr>
        <w:t xml:space="preserve"> </w:t>
      </w:r>
      <w:r w:rsidRPr="00031A5F">
        <w:rPr>
          <w:sz w:val="24"/>
          <w:szCs w:val="24"/>
          <w:lang w:val="es-ES_tradnl"/>
        </w:rPr>
        <w:t>sector</w:t>
      </w:r>
      <w:r w:rsidR="00D136BB">
        <w:rPr>
          <w:sz w:val="24"/>
          <w:szCs w:val="24"/>
          <w:lang w:val="es-ES_tradnl"/>
        </w:rPr>
        <w:t xml:space="preserve"> </w:t>
      </w:r>
      <w:r w:rsidRPr="00031A5F">
        <w:rPr>
          <w:sz w:val="24"/>
          <w:szCs w:val="24"/>
          <w:lang w:val="es-ES_tradnl"/>
        </w:rPr>
        <w:t>de</w:t>
      </w:r>
      <w:r w:rsidR="00D136BB">
        <w:rPr>
          <w:sz w:val="24"/>
          <w:szCs w:val="24"/>
          <w:lang w:val="es-ES_tradnl"/>
        </w:rPr>
        <w:t xml:space="preserve"> </w:t>
      </w:r>
      <w:r w:rsidRPr="00031A5F">
        <w:rPr>
          <w:sz w:val="24"/>
          <w:szCs w:val="24"/>
          <w:lang w:val="es-ES_tradnl"/>
        </w:rPr>
        <w:t>producción</w:t>
      </w:r>
      <w:r w:rsidR="00D136BB">
        <w:rPr>
          <w:sz w:val="24"/>
          <w:szCs w:val="24"/>
          <w:lang w:val="es-ES_tradnl"/>
        </w:rPr>
        <w:t xml:space="preserve"> </w:t>
      </w:r>
      <w:r w:rsidRPr="00031A5F">
        <w:rPr>
          <w:sz w:val="24"/>
          <w:szCs w:val="24"/>
          <w:lang w:val="es-ES_tradnl"/>
        </w:rPr>
        <w:t>de</w:t>
      </w:r>
      <w:r w:rsidR="00D136BB">
        <w:rPr>
          <w:sz w:val="24"/>
          <w:szCs w:val="24"/>
          <w:lang w:val="es-ES_tradnl"/>
        </w:rPr>
        <w:t xml:space="preserve"> </w:t>
      </w:r>
      <w:r w:rsidRPr="00031A5F">
        <w:rPr>
          <w:sz w:val="24"/>
          <w:szCs w:val="24"/>
          <w:lang w:val="es-ES_tradnl"/>
        </w:rPr>
        <w:t>alimentos</w:t>
      </w:r>
      <w:r w:rsidR="00D136BB">
        <w:rPr>
          <w:sz w:val="24"/>
          <w:szCs w:val="24"/>
          <w:lang w:val="es-ES_tradnl"/>
        </w:rPr>
        <w:t xml:space="preserve"> </w:t>
      </w:r>
      <w:r w:rsidRPr="00031A5F">
        <w:rPr>
          <w:sz w:val="24"/>
          <w:szCs w:val="24"/>
          <w:lang w:val="es-ES_tradnl"/>
        </w:rPr>
        <w:t>de</w:t>
      </w:r>
      <w:r w:rsidR="00D136BB">
        <w:rPr>
          <w:sz w:val="24"/>
          <w:szCs w:val="24"/>
          <w:lang w:val="es-ES_tradnl"/>
        </w:rPr>
        <w:t xml:space="preserve"> </w:t>
      </w:r>
      <w:r w:rsidRPr="00031A5F">
        <w:rPr>
          <w:sz w:val="24"/>
          <w:szCs w:val="24"/>
          <w:lang w:val="es-ES_tradnl"/>
        </w:rPr>
        <w:t>crecimiento</w:t>
      </w:r>
      <w:r w:rsidR="00D136BB">
        <w:rPr>
          <w:sz w:val="24"/>
          <w:szCs w:val="24"/>
          <w:lang w:val="es-ES_tradnl"/>
        </w:rPr>
        <w:t xml:space="preserve"> </w:t>
      </w:r>
      <w:r w:rsidRPr="00031A5F">
        <w:rPr>
          <w:sz w:val="24"/>
          <w:szCs w:val="24"/>
          <w:lang w:val="es-ES_tradnl"/>
        </w:rPr>
        <w:t>más</w:t>
      </w:r>
      <w:r w:rsidR="00D136BB">
        <w:rPr>
          <w:sz w:val="24"/>
          <w:szCs w:val="24"/>
          <w:lang w:val="es-ES_tradnl"/>
        </w:rPr>
        <w:t xml:space="preserve"> </w:t>
      </w:r>
      <w:r w:rsidRPr="00031A5F">
        <w:rPr>
          <w:sz w:val="24"/>
          <w:szCs w:val="24"/>
          <w:lang w:val="es-ES_tradnl"/>
        </w:rPr>
        <w:t>acelerado</w:t>
      </w:r>
      <w:r w:rsidR="00D136BB">
        <w:rPr>
          <w:sz w:val="24"/>
          <w:szCs w:val="24"/>
          <w:lang w:val="es-ES_tradnl"/>
        </w:rPr>
        <w:t xml:space="preserve"> </w:t>
      </w:r>
      <w:r w:rsidRPr="00031A5F">
        <w:rPr>
          <w:sz w:val="24"/>
          <w:szCs w:val="24"/>
          <w:lang w:val="es-ES_tradnl"/>
        </w:rPr>
        <w:t>en</w:t>
      </w:r>
      <w:r w:rsidR="00D136BB">
        <w:rPr>
          <w:sz w:val="24"/>
          <w:szCs w:val="24"/>
          <w:lang w:val="es-ES_tradnl"/>
        </w:rPr>
        <w:t xml:space="preserve"> </w:t>
      </w:r>
      <w:r w:rsidRPr="00031A5F">
        <w:rPr>
          <w:sz w:val="24"/>
          <w:szCs w:val="24"/>
          <w:lang w:val="es-ES_tradnl"/>
        </w:rPr>
        <w:t>el</w:t>
      </w:r>
      <w:r w:rsidR="00D136BB">
        <w:rPr>
          <w:sz w:val="24"/>
          <w:szCs w:val="24"/>
          <w:lang w:val="es-ES_tradnl"/>
        </w:rPr>
        <w:t xml:space="preserve"> </w:t>
      </w:r>
      <w:r w:rsidRPr="00031A5F">
        <w:rPr>
          <w:sz w:val="24"/>
          <w:szCs w:val="24"/>
          <w:lang w:val="es-ES_tradnl"/>
        </w:rPr>
        <w:t>mundo,</w:t>
      </w:r>
      <w:r w:rsidR="00D136BB">
        <w:rPr>
          <w:sz w:val="24"/>
          <w:szCs w:val="24"/>
          <w:lang w:val="es-ES_tradnl"/>
        </w:rPr>
        <w:t xml:space="preserve"> </w:t>
      </w:r>
      <w:r w:rsidRPr="00031A5F">
        <w:rPr>
          <w:sz w:val="24"/>
          <w:szCs w:val="24"/>
          <w:lang w:val="es-ES_tradnl"/>
        </w:rPr>
        <w:t>representa</w:t>
      </w:r>
      <w:r w:rsidR="00D136BB">
        <w:rPr>
          <w:sz w:val="24"/>
          <w:szCs w:val="24"/>
          <w:lang w:val="es-ES_tradnl"/>
        </w:rPr>
        <w:t xml:space="preserve"> </w:t>
      </w:r>
      <w:r w:rsidRPr="00031A5F">
        <w:rPr>
          <w:sz w:val="24"/>
          <w:szCs w:val="24"/>
          <w:lang w:val="es-ES_tradnl"/>
        </w:rPr>
        <w:t>casi</w:t>
      </w:r>
      <w:r w:rsidR="00D136BB">
        <w:rPr>
          <w:sz w:val="24"/>
          <w:szCs w:val="24"/>
          <w:lang w:val="es-ES_tradnl"/>
        </w:rPr>
        <w:t xml:space="preserve"> </w:t>
      </w:r>
      <w:r w:rsidRPr="00031A5F">
        <w:rPr>
          <w:sz w:val="24"/>
          <w:szCs w:val="24"/>
          <w:lang w:val="es-ES_tradnl"/>
        </w:rPr>
        <w:t>el</w:t>
      </w:r>
      <w:r w:rsidR="00D136BB">
        <w:rPr>
          <w:sz w:val="24"/>
          <w:szCs w:val="24"/>
          <w:lang w:val="es-ES_tradnl"/>
        </w:rPr>
        <w:t xml:space="preserve"> </w:t>
      </w:r>
      <w:r w:rsidRPr="00031A5F">
        <w:rPr>
          <w:sz w:val="24"/>
          <w:szCs w:val="24"/>
          <w:lang w:val="es-ES_tradnl"/>
        </w:rPr>
        <w:t>50%</w:t>
      </w:r>
      <w:r w:rsidR="00D136BB">
        <w:rPr>
          <w:sz w:val="24"/>
          <w:szCs w:val="24"/>
          <w:lang w:val="es-ES_tradnl"/>
        </w:rPr>
        <w:t xml:space="preserve"> </w:t>
      </w:r>
      <w:r w:rsidRPr="00031A5F">
        <w:rPr>
          <w:sz w:val="24"/>
          <w:szCs w:val="24"/>
          <w:lang w:val="es-ES_tradnl"/>
        </w:rPr>
        <w:t>de</w:t>
      </w:r>
      <w:r w:rsidR="00D136BB">
        <w:rPr>
          <w:sz w:val="24"/>
          <w:szCs w:val="24"/>
          <w:lang w:val="es-ES_tradnl"/>
        </w:rPr>
        <w:t xml:space="preserve"> </w:t>
      </w:r>
      <w:r w:rsidRPr="00031A5F">
        <w:rPr>
          <w:sz w:val="24"/>
          <w:szCs w:val="24"/>
          <w:lang w:val="es-ES_tradnl"/>
        </w:rPr>
        <w:t>los</w:t>
      </w:r>
      <w:r w:rsidR="00D136BB">
        <w:rPr>
          <w:sz w:val="24"/>
          <w:szCs w:val="24"/>
          <w:lang w:val="es-ES_tradnl"/>
        </w:rPr>
        <w:t xml:space="preserve"> </w:t>
      </w:r>
      <w:r w:rsidRPr="00031A5F">
        <w:rPr>
          <w:sz w:val="24"/>
          <w:szCs w:val="24"/>
          <w:lang w:val="es-ES_tradnl"/>
        </w:rPr>
        <w:t>productos</w:t>
      </w:r>
      <w:r w:rsidR="00D136BB">
        <w:rPr>
          <w:sz w:val="24"/>
          <w:szCs w:val="24"/>
          <w:lang w:val="es-ES_tradnl"/>
        </w:rPr>
        <w:t xml:space="preserve"> </w:t>
      </w:r>
      <w:r w:rsidRPr="00031A5F">
        <w:rPr>
          <w:sz w:val="24"/>
          <w:szCs w:val="24"/>
          <w:lang w:val="es-ES_tradnl"/>
        </w:rPr>
        <w:t>pesqueros</w:t>
      </w:r>
      <w:r w:rsidR="00D136BB">
        <w:rPr>
          <w:sz w:val="24"/>
          <w:szCs w:val="24"/>
          <w:lang w:val="es-ES_tradnl"/>
        </w:rPr>
        <w:t xml:space="preserve"> </w:t>
      </w:r>
      <w:r w:rsidRPr="00031A5F">
        <w:rPr>
          <w:sz w:val="24"/>
          <w:szCs w:val="24"/>
          <w:lang w:val="es-ES_tradnl"/>
        </w:rPr>
        <w:t>mundiales</w:t>
      </w:r>
      <w:r w:rsidR="00D136BB">
        <w:rPr>
          <w:sz w:val="24"/>
          <w:szCs w:val="24"/>
          <w:lang w:val="es-ES_tradnl"/>
        </w:rPr>
        <w:t xml:space="preserve"> </w:t>
      </w:r>
      <w:r w:rsidRPr="00031A5F">
        <w:rPr>
          <w:sz w:val="24"/>
          <w:szCs w:val="24"/>
          <w:lang w:val="es-ES_tradnl"/>
        </w:rPr>
        <w:t>destinados</w:t>
      </w:r>
      <w:r w:rsidR="00D136BB">
        <w:rPr>
          <w:sz w:val="24"/>
          <w:szCs w:val="24"/>
          <w:lang w:val="es-ES_tradnl"/>
        </w:rPr>
        <w:t xml:space="preserve"> </w:t>
      </w:r>
      <w:r w:rsidRPr="00031A5F">
        <w:rPr>
          <w:sz w:val="24"/>
          <w:szCs w:val="24"/>
          <w:lang w:val="es-ES_tradnl"/>
        </w:rPr>
        <w:t>a</w:t>
      </w:r>
      <w:r w:rsidR="00D136BB">
        <w:rPr>
          <w:sz w:val="24"/>
          <w:szCs w:val="24"/>
          <w:lang w:val="es-ES_tradnl"/>
        </w:rPr>
        <w:t xml:space="preserve"> </w:t>
      </w:r>
      <w:r w:rsidRPr="00031A5F">
        <w:rPr>
          <w:sz w:val="24"/>
          <w:szCs w:val="24"/>
          <w:lang w:val="es-ES_tradnl"/>
        </w:rPr>
        <w:t>la</w:t>
      </w:r>
      <w:r w:rsidR="00D136BB">
        <w:rPr>
          <w:sz w:val="24"/>
          <w:szCs w:val="24"/>
          <w:lang w:val="es-ES_tradnl"/>
        </w:rPr>
        <w:t xml:space="preserve"> </w:t>
      </w:r>
      <w:r w:rsidRPr="00031A5F">
        <w:rPr>
          <w:sz w:val="24"/>
          <w:szCs w:val="24"/>
          <w:lang w:val="es-ES_tradnl"/>
        </w:rPr>
        <w:t>alimentación</w:t>
      </w:r>
      <w:r w:rsidR="00D136BB">
        <w:rPr>
          <w:sz w:val="24"/>
          <w:szCs w:val="24"/>
          <w:lang w:val="es-ES_tradnl"/>
        </w:rPr>
        <w:t xml:space="preserve"> </w:t>
      </w:r>
      <w:r w:rsidRPr="00031A5F">
        <w:rPr>
          <w:sz w:val="24"/>
          <w:szCs w:val="24"/>
          <w:lang w:val="es-ES_tradnl"/>
        </w:rPr>
        <w:t>(FAO,</w:t>
      </w:r>
      <w:r w:rsidR="00D136BB">
        <w:rPr>
          <w:sz w:val="24"/>
          <w:szCs w:val="24"/>
          <w:lang w:val="es-ES_tradnl"/>
        </w:rPr>
        <w:t xml:space="preserve"> </w:t>
      </w:r>
      <w:r w:rsidRPr="00031A5F">
        <w:rPr>
          <w:sz w:val="24"/>
          <w:szCs w:val="24"/>
          <w:lang w:val="es-ES_tradnl"/>
        </w:rPr>
        <w:t>2018b).</w:t>
      </w:r>
      <w:r w:rsidR="00D136BB">
        <w:rPr>
          <w:sz w:val="24"/>
          <w:szCs w:val="24"/>
          <w:lang w:val="es-ES_tradnl"/>
        </w:rPr>
        <w:t xml:space="preserve"> </w:t>
      </w:r>
      <w:r w:rsidRPr="00031A5F">
        <w:rPr>
          <w:sz w:val="24"/>
          <w:szCs w:val="24"/>
          <w:lang w:val="es-ES_tradnl" w:eastAsia="en-US"/>
        </w:rPr>
        <w:t>En</w:t>
      </w:r>
      <w:r w:rsidR="00D136BB">
        <w:rPr>
          <w:sz w:val="24"/>
          <w:szCs w:val="24"/>
          <w:lang w:val="es-ES_tradnl" w:eastAsia="en-US"/>
        </w:rPr>
        <w:t xml:space="preserve"> </w:t>
      </w:r>
      <w:r w:rsidRPr="00031A5F">
        <w:rPr>
          <w:sz w:val="24"/>
          <w:szCs w:val="24"/>
          <w:lang w:val="es-ES_tradnl" w:eastAsia="en-US"/>
        </w:rPr>
        <w:t>América</w:t>
      </w:r>
      <w:r w:rsidR="00D136BB">
        <w:rPr>
          <w:sz w:val="24"/>
          <w:szCs w:val="24"/>
          <w:lang w:val="es-ES_tradnl" w:eastAsia="en-US"/>
        </w:rPr>
        <w:t xml:space="preserve"> </w:t>
      </w:r>
      <w:r w:rsidRPr="00031A5F">
        <w:rPr>
          <w:sz w:val="24"/>
          <w:szCs w:val="24"/>
          <w:lang w:val="es-ES_tradnl" w:eastAsia="en-US"/>
        </w:rPr>
        <w:t>Latina</w:t>
      </w:r>
      <w:r w:rsidR="00D136BB">
        <w:rPr>
          <w:sz w:val="24"/>
          <w:szCs w:val="24"/>
          <w:lang w:val="es-ES_tradnl" w:eastAsia="en-US"/>
        </w:rPr>
        <w:t xml:space="preserve"> </w:t>
      </w:r>
      <w:r w:rsidRPr="00031A5F">
        <w:rPr>
          <w:sz w:val="24"/>
          <w:szCs w:val="24"/>
          <w:lang w:val="es-ES_tradnl" w:eastAsia="en-US"/>
        </w:rPr>
        <w:t>y</w:t>
      </w:r>
      <w:r w:rsidR="00D136BB">
        <w:rPr>
          <w:sz w:val="24"/>
          <w:szCs w:val="24"/>
          <w:lang w:val="es-ES_tradnl" w:eastAsia="en-US"/>
        </w:rPr>
        <w:t xml:space="preserve"> </w:t>
      </w:r>
      <w:r w:rsidRPr="00031A5F">
        <w:rPr>
          <w:sz w:val="24"/>
          <w:szCs w:val="24"/>
          <w:lang w:val="es-ES_tradnl" w:eastAsia="en-US"/>
        </w:rPr>
        <w:t>el</w:t>
      </w:r>
      <w:r w:rsidR="00D136BB">
        <w:rPr>
          <w:sz w:val="24"/>
          <w:szCs w:val="24"/>
          <w:lang w:val="es-ES_tradnl" w:eastAsia="en-US"/>
        </w:rPr>
        <w:t xml:space="preserve"> </w:t>
      </w:r>
      <w:r w:rsidRPr="00031A5F">
        <w:rPr>
          <w:sz w:val="24"/>
          <w:szCs w:val="24"/>
          <w:lang w:val="es-ES_tradnl" w:eastAsia="en-US"/>
        </w:rPr>
        <w:t>Caribe,</w:t>
      </w:r>
      <w:r w:rsidR="00D136BB">
        <w:rPr>
          <w:sz w:val="24"/>
          <w:szCs w:val="24"/>
          <w:lang w:val="es-ES_tradnl" w:eastAsia="en-US"/>
        </w:rPr>
        <w:t xml:space="preserve"> </w:t>
      </w:r>
      <w:r w:rsidRPr="00031A5F">
        <w:rPr>
          <w:sz w:val="24"/>
          <w:szCs w:val="24"/>
          <w:lang w:val="es-ES_tradnl" w:eastAsia="en-US"/>
        </w:rPr>
        <w:t>la</w:t>
      </w:r>
      <w:r w:rsidR="00D136BB">
        <w:rPr>
          <w:sz w:val="24"/>
          <w:szCs w:val="24"/>
          <w:lang w:val="es-ES_tradnl" w:eastAsia="en-US"/>
        </w:rPr>
        <w:t xml:space="preserve"> </w:t>
      </w:r>
      <w:r w:rsidRPr="00031A5F">
        <w:rPr>
          <w:sz w:val="24"/>
          <w:szCs w:val="24"/>
          <w:lang w:val="es-ES_tradnl" w:eastAsia="en-US"/>
        </w:rPr>
        <w:t>acuicultura</w:t>
      </w:r>
      <w:r w:rsidR="00D136BB">
        <w:rPr>
          <w:sz w:val="24"/>
          <w:szCs w:val="24"/>
          <w:lang w:val="es-ES_tradnl" w:eastAsia="en-US"/>
        </w:rPr>
        <w:t xml:space="preserve"> </w:t>
      </w:r>
      <w:r w:rsidRPr="00031A5F">
        <w:rPr>
          <w:sz w:val="24"/>
          <w:szCs w:val="24"/>
          <w:lang w:val="es-ES_tradnl" w:eastAsia="en-US"/>
        </w:rPr>
        <w:t>es</w:t>
      </w:r>
      <w:r w:rsidR="00D136BB">
        <w:rPr>
          <w:sz w:val="24"/>
          <w:szCs w:val="24"/>
          <w:lang w:val="es-ES_tradnl" w:eastAsia="en-US"/>
        </w:rPr>
        <w:t xml:space="preserve"> </w:t>
      </w:r>
      <w:r w:rsidRPr="00031A5F">
        <w:rPr>
          <w:sz w:val="24"/>
          <w:szCs w:val="24"/>
          <w:lang w:val="es-ES_tradnl" w:eastAsia="en-US"/>
        </w:rPr>
        <w:t>el</w:t>
      </w:r>
      <w:r w:rsidR="00D136BB">
        <w:rPr>
          <w:sz w:val="24"/>
          <w:szCs w:val="24"/>
          <w:lang w:val="es-ES_tradnl" w:eastAsia="en-US"/>
        </w:rPr>
        <w:t xml:space="preserve"> </w:t>
      </w:r>
      <w:r w:rsidRPr="00031A5F">
        <w:rPr>
          <w:sz w:val="24"/>
          <w:szCs w:val="24"/>
          <w:lang w:val="es-ES_tradnl" w:eastAsia="en-US"/>
        </w:rPr>
        <w:t>sector</w:t>
      </w:r>
      <w:r w:rsidR="00D136BB">
        <w:rPr>
          <w:sz w:val="24"/>
          <w:szCs w:val="24"/>
          <w:lang w:val="es-ES_tradnl" w:eastAsia="en-US"/>
        </w:rPr>
        <w:t xml:space="preserve"> </w:t>
      </w:r>
      <w:r w:rsidRPr="00031A5F">
        <w:rPr>
          <w:sz w:val="24"/>
          <w:szCs w:val="24"/>
          <w:lang w:val="es-ES_tradnl" w:eastAsia="en-US"/>
        </w:rPr>
        <w:t>que</w:t>
      </w:r>
      <w:r w:rsidR="00D136BB">
        <w:rPr>
          <w:sz w:val="24"/>
          <w:szCs w:val="24"/>
          <w:lang w:val="es-ES_tradnl" w:eastAsia="en-US"/>
        </w:rPr>
        <w:t xml:space="preserve"> </w:t>
      </w:r>
      <w:r w:rsidRPr="00031A5F">
        <w:rPr>
          <w:sz w:val="24"/>
          <w:szCs w:val="24"/>
          <w:lang w:val="es-ES_tradnl" w:eastAsia="en-US"/>
        </w:rPr>
        <w:t>más</w:t>
      </w:r>
      <w:r w:rsidR="00D136BB">
        <w:rPr>
          <w:sz w:val="24"/>
          <w:szCs w:val="24"/>
          <w:lang w:val="es-ES_tradnl" w:eastAsia="en-US"/>
        </w:rPr>
        <w:t xml:space="preserve"> </w:t>
      </w:r>
      <w:r w:rsidRPr="00031A5F">
        <w:rPr>
          <w:sz w:val="24"/>
          <w:szCs w:val="24"/>
          <w:lang w:val="es-ES_tradnl" w:eastAsia="en-US"/>
        </w:rPr>
        <w:t>viene</w:t>
      </w:r>
      <w:r w:rsidR="00D136BB">
        <w:rPr>
          <w:sz w:val="24"/>
          <w:szCs w:val="24"/>
          <w:lang w:val="es-ES_tradnl" w:eastAsia="en-US"/>
        </w:rPr>
        <w:t xml:space="preserve"> </w:t>
      </w:r>
      <w:r w:rsidRPr="00031A5F">
        <w:rPr>
          <w:sz w:val="24"/>
          <w:szCs w:val="24"/>
          <w:lang w:val="es-ES_tradnl" w:eastAsia="en-US"/>
        </w:rPr>
        <w:t>creciendo</w:t>
      </w:r>
      <w:r w:rsidR="00D136BB">
        <w:rPr>
          <w:sz w:val="24"/>
          <w:szCs w:val="24"/>
          <w:lang w:val="es-ES_tradnl" w:eastAsia="en-US"/>
        </w:rPr>
        <w:t xml:space="preserve"> </w:t>
      </w:r>
      <w:r w:rsidRPr="00031A5F">
        <w:rPr>
          <w:sz w:val="24"/>
          <w:szCs w:val="24"/>
          <w:lang w:val="es-ES_tradnl" w:eastAsia="en-US"/>
        </w:rPr>
        <w:t>en</w:t>
      </w:r>
      <w:r w:rsidR="00D136BB">
        <w:rPr>
          <w:sz w:val="24"/>
          <w:szCs w:val="24"/>
          <w:lang w:val="es-ES_tradnl" w:eastAsia="en-US"/>
        </w:rPr>
        <w:t xml:space="preserve"> </w:t>
      </w:r>
      <w:r w:rsidRPr="00031A5F">
        <w:rPr>
          <w:sz w:val="24"/>
          <w:szCs w:val="24"/>
          <w:lang w:val="es-ES_tradnl" w:eastAsia="en-US"/>
        </w:rPr>
        <w:t>el</w:t>
      </w:r>
      <w:r w:rsidR="00D136BB">
        <w:rPr>
          <w:sz w:val="24"/>
          <w:szCs w:val="24"/>
          <w:lang w:val="es-ES_tradnl" w:eastAsia="en-US"/>
        </w:rPr>
        <w:t xml:space="preserve"> </w:t>
      </w:r>
      <w:r w:rsidRPr="00031A5F">
        <w:rPr>
          <w:sz w:val="24"/>
          <w:szCs w:val="24"/>
          <w:lang w:val="es-ES_tradnl" w:eastAsia="en-US"/>
        </w:rPr>
        <w:t>mundo,</w:t>
      </w:r>
      <w:r w:rsidR="00D136BB">
        <w:rPr>
          <w:sz w:val="24"/>
          <w:szCs w:val="24"/>
          <w:lang w:val="es-ES_tradnl" w:eastAsia="en-US"/>
        </w:rPr>
        <w:t xml:space="preserve"> </w:t>
      </w:r>
      <w:r w:rsidRPr="00031A5F">
        <w:rPr>
          <w:sz w:val="24"/>
          <w:szCs w:val="24"/>
          <w:lang w:val="es-ES_tradnl" w:eastAsia="en-US"/>
        </w:rPr>
        <w:t>destacándose</w:t>
      </w:r>
      <w:r w:rsidR="00D136BB">
        <w:rPr>
          <w:sz w:val="24"/>
          <w:szCs w:val="24"/>
          <w:lang w:val="es-ES_tradnl" w:eastAsia="en-US"/>
        </w:rPr>
        <w:t xml:space="preserve"> </w:t>
      </w:r>
      <w:r w:rsidRPr="00031A5F">
        <w:rPr>
          <w:sz w:val="24"/>
          <w:szCs w:val="24"/>
          <w:lang w:val="es-ES_tradnl" w:eastAsia="en-US"/>
        </w:rPr>
        <w:t>Chile,</w:t>
      </w:r>
      <w:r w:rsidR="00D136BB">
        <w:rPr>
          <w:sz w:val="24"/>
          <w:szCs w:val="24"/>
          <w:lang w:val="es-ES_tradnl" w:eastAsia="en-US"/>
        </w:rPr>
        <w:t xml:space="preserve"> </w:t>
      </w:r>
      <w:r w:rsidRPr="00031A5F">
        <w:rPr>
          <w:sz w:val="24"/>
          <w:szCs w:val="24"/>
          <w:lang w:val="es-ES_tradnl" w:eastAsia="en-US"/>
        </w:rPr>
        <w:t>México,</w:t>
      </w:r>
      <w:r w:rsidR="00D136BB">
        <w:rPr>
          <w:sz w:val="24"/>
          <w:szCs w:val="24"/>
          <w:lang w:val="es-ES_tradnl" w:eastAsia="en-US"/>
        </w:rPr>
        <w:t xml:space="preserve"> </w:t>
      </w:r>
      <w:r w:rsidRPr="00031A5F">
        <w:rPr>
          <w:sz w:val="24"/>
          <w:szCs w:val="24"/>
          <w:lang w:val="es-ES_tradnl" w:eastAsia="en-US"/>
        </w:rPr>
        <w:t>Perú,</w:t>
      </w:r>
      <w:r w:rsidR="00D136BB">
        <w:rPr>
          <w:sz w:val="24"/>
          <w:szCs w:val="24"/>
          <w:lang w:val="es-ES_tradnl" w:eastAsia="en-US"/>
        </w:rPr>
        <w:t xml:space="preserve"> </w:t>
      </w:r>
      <w:r w:rsidRPr="00031A5F">
        <w:rPr>
          <w:sz w:val="24"/>
          <w:szCs w:val="24"/>
          <w:lang w:val="es-ES_tradnl" w:eastAsia="en-US"/>
        </w:rPr>
        <w:t>Argentina</w:t>
      </w:r>
      <w:r w:rsidR="00D136BB">
        <w:rPr>
          <w:sz w:val="24"/>
          <w:szCs w:val="24"/>
          <w:lang w:val="es-ES_tradnl" w:eastAsia="en-US"/>
        </w:rPr>
        <w:t xml:space="preserve"> </w:t>
      </w:r>
      <w:r w:rsidRPr="00031A5F">
        <w:rPr>
          <w:sz w:val="24"/>
          <w:szCs w:val="24"/>
          <w:lang w:val="es-ES_tradnl" w:eastAsia="en-US"/>
        </w:rPr>
        <w:t>y</w:t>
      </w:r>
      <w:r w:rsidR="00D136BB">
        <w:rPr>
          <w:sz w:val="24"/>
          <w:szCs w:val="24"/>
          <w:lang w:val="es-ES_tradnl" w:eastAsia="en-US"/>
        </w:rPr>
        <w:t xml:space="preserve"> </w:t>
      </w:r>
      <w:r w:rsidRPr="00031A5F">
        <w:rPr>
          <w:sz w:val="24"/>
          <w:szCs w:val="24"/>
          <w:lang w:val="es-ES_tradnl" w:eastAsia="en-US"/>
        </w:rPr>
        <w:t>Ecuador.</w:t>
      </w:r>
      <w:r w:rsidR="00D136BB">
        <w:rPr>
          <w:sz w:val="24"/>
          <w:szCs w:val="24"/>
          <w:lang w:val="es-ES_tradnl" w:eastAsia="en-US"/>
        </w:rPr>
        <w:t xml:space="preserve"> </w:t>
      </w:r>
      <w:r w:rsidRPr="00031A5F">
        <w:rPr>
          <w:sz w:val="24"/>
          <w:szCs w:val="24"/>
          <w:lang w:val="es-ES_tradnl" w:eastAsia="en-US"/>
        </w:rPr>
        <w:t>La</w:t>
      </w:r>
      <w:r w:rsidR="00D136BB">
        <w:rPr>
          <w:sz w:val="24"/>
          <w:szCs w:val="24"/>
          <w:lang w:val="es-ES_tradnl" w:eastAsia="en-US"/>
        </w:rPr>
        <w:t xml:space="preserve"> </w:t>
      </w:r>
      <w:r w:rsidRPr="00031A5F">
        <w:rPr>
          <w:sz w:val="24"/>
          <w:szCs w:val="24"/>
          <w:lang w:val="es-ES_tradnl" w:eastAsia="en-US"/>
        </w:rPr>
        <w:t>tasa</w:t>
      </w:r>
      <w:r w:rsidR="00D136BB">
        <w:rPr>
          <w:sz w:val="24"/>
          <w:szCs w:val="24"/>
          <w:lang w:val="es-ES_tradnl" w:eastAsia="en-US"/>
        </w:rPr>
        <w:t xml:space="preserve"> </w:t>
      </w:r>
      <w:r w:rsidRPr="00031A5F">
        <w:rPr>
          <w:sz w:val="24"/>
          <w:szCs w:val="24"/>
          <w:lang w:val="es-ES_tradnl" w:eastAsia="en-US"/>
        </w:rPr>
        <w:t>de</w:t>
      </w:r>
      <w:r w:rsidR="00D136BB">
        <w:rPr>
          <w:sz w:val="24"/>
          <w:szCs w:val="24"/>
          <w:lang w:val="es-ES_tradnl" w:eastAsia="en-US"/>
        </w:rPr>
        <w:t xml:space="preserve"> </w:t>
      </w:r>
      <w:r w:rsidRPr="00031A5F">
        <w:rPr>
          <w:sz w:val="24"/>
          <w:szCs w:val="24"/>
          <w:lang w:val="es-ES_tradnl" w:eastAsia="en-US"/>
        </w:rPr>
        <w:t>crecimiento</w:t>
      </w:r>
      <w:r w:rsidR="00D136BB">
        <w:rPr>
          <w:sz w:val="24"/>
          <w:szCs w:val="24"/>
          <w:lang w:val="es-ES_tradnl" w:eastAsia="en-US"/>
        </w:rPr>
        <w:t xml:space="preserve"> </w:t>
      </w:r>
      <w:r w:rsidRPr="00031A5F">
        <w:rPr>
          <w:sz w:val="24"/>
          <w:szCs w:val="24"/>
          <w:lang w:val="es-ES_tradnl" w:eastAsia="en-US"/>
        </w:rPr>
        <w:t>supera</w:t>
      </w:r>
      <w:r w:rsidR="00D136BB">
        <w:rPr>
          <w:sz w:val="24"/>
          <w:szCs w:val="24"/>
          <w:lang w:val="es-ES_tradnl" w:eastAsia="en-US"/>
        </w:rPr>
        <w:t xml:space="preserve"> </w:t>
      </w:r>
      <w:r w:rsidRPr="00031A5F">
        <w:rPr>
          <w:sz w:val="24"/>
          <w:szCs w:val="24"/>
          <w:lang w:val="es-ES_tradnl" w:eastAsia="en-US"/>
        </w:rPr>
        <w:t>el</w:t>
      </w:r>
      <w:r w:rsidR="00D136BB">
        <w:rPr>
          <w:sz w:val="24"/>
          <w:szCs w:val="24"/>
          <w:lang w:val="es-ES_tradnl" w:eastAsia="en-US"/>
        </w:rPr>
        <w:t xml:space="preserve">  </w:t>
      </w:r>
      <w:r w:rsidRPr="00031A5F">
        <w:rPr>
          <w:sz w:val="24"/>
          <w:szCs w:val="24"/>
          <w:lang w:val="es-ES_tradnl" w:eastAsia="en-US"/>
        </w:rPr>
        <w:t>doble</w:t>
      </w:r>
      <w:r w:rsidR="00D136BB">
        <w:rPr>
          <w:sz w:val="24"/>
          <w:szCs w:val="24"/>
          <w:lang w:val="es-ES_tradnl" w:eastAsia="en-US"/>
        </w:rPr>
        <w:t xml:space="preserve"> </w:t>
      </w:r>
      <w:r w:rsidRPr="00031A5F">
        <w:rPr>
          <w:sz w:val="24"/>
          <w:szCs w:val="24"/>
          <w:lang w:val="es-ES_tradnl" w:eastAsia="en-US"/>
        </w:rPr>
        <w:t>(18,5</w:t>
      </w:r>
      <w:r w:rsidR="00D136BB">
        <w:rPr>
          <w:sz w:val="24"/>
          <w:szCs w:val="24"/>
          <w:lang w:val="es-ES_tradnl" w:eastAsia="en-US"/>
        </w:rPr>
        <w:t xml:space="preserve"> </w:t>
      </w:r>
      <w:r w:rsidRPr="00031A5F">
        <w:rPr>
          <w:sz w:val="24"/>
          <w:szCs w:val="24"/>
          <w:lang w:val="es-ES_tradnl" w:eastAsia="en-US"/>
        </w:rPr>
        <w:t>por</w:t>
      </w:r>
      <w:r w:rsidR="00D136BB">
        <w:rPr>
          <w:sz w:val="24"/>
          <w:szCs w:val="24"/>
          <w:lang w:val="es-ES_tradnl" w:eastAsia="en-US"/>
        </w:rPr>
        <w:t xml:space="preserve"> </w:t>
      </w:r>
      <w:r w:rsidRPr="00031A5F">
        <w:rPr>
          <w:sz w:val="24"/>
          <w:szCs w:val="24"/>
          <w:lang w:val="es-ES_tradnl" w:eastAsia="en-US"/>
        </w:rPr>
        <w:t>ciento)</w:t>
      </w:r>
      <w:r w:rsidR="00D136BB">
        <w:rPr>
          <w:sz w:val="24"/>
          <w:szCs w:val="24"/>
          <w:lang w:val="es-ES_tradnl" w:eastAsia="en-US"/>
        </w:rPr>
        <w:t xml:space="preserve"> </w:t>
      </w:r>
      <w:r w:rsidRPr="00031A5F">
        <w:rPr>
          <w:sz w:val="24"/>
          <w:szCs w:val="24"/>
          <w:lang w:val="es-ES_tradnl" w:eastAsia="en-US"/>
        </w:rPr>
        <w:t>de</w:t>
      </w:r>
      <w:r w:rsidR="00D136BB">
        <w:rPr>
          <w:sz w:val="24"/>
          <w:szCs w:val="24"/>
          <w:lang w:val="es-ES_tradnl" w:eastAsia="en-US"/>
        </w:rPr>
        <w:t xml:space="preserve"> </w:t>
      </w:r>
      <w:r w:rsidRPr="00031A5F">
        <w:rPr>
          <w:sz w:val="24"/>
          <w:szCs w:val="24"/>
          <w:lang w:val="es-ES_tradnl" w:eastAsia="en-US"/>
        </w:rPr>
        <w:t>la</w:t>
      </w:r>
      <w:r w:rsidR="00D136BB">
        <w:rPr>
          <w:sz w:val="24"/>
          <w:szCs w:val="24"/>
          <w:lang w:val="es-ES_tradnl" w:eastAsia="en-US"/>
        </w:rPr>
        <w:t xml:space="preserve"> </w:t>
      </w:r>
      <w:r w:rsidRPr="00031A5F">
        <w:rPr>
          <w:sz w:val="24"/>
          <w:szCs w:val="24"/>
          <w:lang w:val="es-ES_tradnl" w:eastAsia="en-US"/>
        </w:rPr>
        <w:t>tasa</w:t>
      </w:r>
      <w:r w:rsidR="00D136BB">
        <w:rPr>
          <w:sz w:val="24"/>
          <w:szCs w:val="24"/>
          <w:lang w:val="es-ES_tradnl" w:eastAsia="en-US"/>
        </w:rPr>
        <w:t xml:space="preserve"> </w:t>
      </w:r>
      <w:r w:rsidRPr="00031A5F">
        <w:rPr>
          <w:sz w:val="24"/>
          <w:szCs w:val="24"/>
          <w:lang w:val="es-ES_tradnl" w:eastAsia="en-US"/>
        </w:rPr>
        <w:t>de</w:t>
      </w:r>
      <w:r w:rsidR="00D136BB">
        <w:rPr>
          <w:sz w:val="24"/>
          <w:szCs w:val="24"/>
          <w:lang w:val="es-ES_tradnl" w:eastAsia="en-US"/>
        </w:rPr>
        <w:t xml:space="preserve"> </w:t>
      </w:r>
      <w:r w:rsidRPr="00031A5F">
        <w:rPr>
          <w:sz w:val="24"/>
          <w:szCs w:val="24"/>
          <w:lang w:val="es-ES_tradnl" w:eastAsia="en-US"/>
        </w:rPr>
        <w:t>crecimiento</w:t>
      </w:r>
      <w:r w:rsidR="00D136BB">
        <w:rPr>
          <w:sz w:val="24"/>
          <w:szCs w:val="24"/>
          <w:lang w:val="es-ES_tradnl" w:eastAsia="en-US"/>
        </w:rPr>
        <w:t xml:space="preserve"> </w:t>
      </w:r>
      <w:r w:rsidRPr="00031A5F">
        <w:rPr>
          <w:sz w:val="24"/>
          <w:szCs w:val="24"/>
          <w:lang w:val="es-ES_tradnl" w:eastAsia="en-US"/>
        </w:rPr>
        <w:t>promedio</w:t>
      </w:r>
      <w:r w:rsidR="00D136BB">
        <w:rPr>
          <w:sz w:val="24"/>
          <w:szCs w:val="24"/>
          <w:lang w:val="es-ES_tradnl" w:eastAsia="en-US"/>
        </w:rPr>
        <w:t xml:space="preserve"> </w:t>
      </w:r>
      <w:r w:rsidRPr="00031A5F">
        <w:rPr>
          <w:sz w:val="24"/>
          <w:szCs w:val="24"/>
          <w:lang w:val="es-ES_tradnl" w:eastAsia="en-US"/>
        </w:rPr>
        <w:t>mundial</w:t>
      </w:r>
      <w:r w:rsidR="00D136BB">
        <w:rPr>
          <w:sz w:val="24"/>
          <w:szCs w:val="24"/>
          <w:lang w:val="es-ES_tradnl" w:eastAsia="en-US"/>
        </w:rPr>
        <w:t xml:space="preserve"> </w:t>
      </w:r>
      <w:r w:rsidRPr="00031A5F">
        <w:rPr>
          <w:sz w:val="24"/>
          <w:szCs w:val="24"/>
          <w:lang w:val="es-ES_tradnl" w:eastAsia="en-US"/>
        </w:rPr>
        <w:t>(8,2</w:t>
      </w:r>
      <w:r w:rsidR="00D136BB">
        <w:rPr>
          <w:sz w:val="24"/>
          <w:szCs w:val="24"/>
          <w:lang w:val="es-ES_tradnl" w:eastAsia="en-US"/>
        </w:rPr>
        <w:t xml:space="preserve"> </w:t>
      </w:r>
      <w:r w:rsidRPr="00031A5F">
        <w:rPr>
          <w:sz w:val="24"/>
          <w:szCs w:val="24"/>
          <w:lang w:val="es-ES_tradnl" w:eastAsia="en-US"/>
        </w:rPr>
        <w:t>por</w:t>
      </w:r>
      <w:r w:rsidR="00D136BB">
        <w:rPr>
          <w:sz w:val="24"/>
          <w:szCs w:val="24"/>
          <w:lang w:val="es-ES_tradnl" w:eastAsia="en-US"/>
        </w:rPr>
        <w:t xml:space="preserve"> </w:t>
      </w:r>
      <w:r w:rsidRPr="00031A5F">
        <w:rPr>
          <w:sz w:val="24"/>
          <w:szCs w:val="24"/>
          <w:lang w:val="es-ES_tradnl" w:eastAsia="en-US"/>
        </w:rPr>
        <w:t>ciento)</w:t>
      </w:r>
      <w:r w:rsidR="00D136BB">
        <w:rPr>
          <w:sz w:val="24"/>
          <w:szCs w:val="24"/>
          <w:lang w:val="es-ES_tradnl" w:eastAsia="en-US"/>
        </w:rPr>
        <w:t xml:space="preserve"> </w:t>
      </w:r>
      <w:r w:rsidRPr="00031A5F">
        <w:rPr>
          <w:sz w:val="24"/>
          <w:szCs w:val="24"/>
          <w:lang w:val="es-ES_tradnl" w:eastAsia="en-US"/>
        </w:rPr>
        <w:t>en</w:t>
      </w:r>
      <w:r w:rsidR="00D136BB">
        <w:rPr>
          <w:sz w:val="24"/>
          <w:szCs w:val="24"/>
          <w:lang w:val="es-ES_tradnl" w:eastAsia="en-US"/>
        </w:rPr>
        <w:t xml:space="preserve"> </w:t>
      </w:r>
      <w:r w:rsidRPr="00031A5F">
        <w:rPr>
          <w:sz w:val="24"/>
          <w:szCs w:val="24"/>
          <w:lang w:val="es-ES_tradnl" w:eastAsia="en-US"/>
        </w:rPr>
        <w:t>los</w:t>
      </w:r>
      <w:r w:rsidR="00D136BB">
        <w:rPr>
          <w:sz w:val="24"/>
          <w:szCs w:val="24"/>
          <w:lang w:val="es-ES_tradnl" w:eastAsia="en-US"/>
        </w:rPr>
        <w:t xml:space="preserve"> </w:t>
      </w:r>
      <w:r w:rsidRPr="00031A5F">
        <w:rPr>
          <w:sz w:val="24"/>
          <w:szCs w:val="24"/>
          <w:lang w:val="es-ES_tradnl" w:eastAsia="en-US"/>
        </w:rPr>
        <w:t>últimos</w:t>
      </w:r>
      <w:r w:rsidR="00D136BB">
        <w:rPr>
          <w:sz w:val="24"/>
          <w:szCs w:val="24"/>
          <w:lang w:val="es-ES_tradnl" w:eastAsia="en-US"/>
        </w:rPr>
        <w:t xml:space="preserve"> </w:t>
      </w:r>
      <w:r w:rsidRPr="00031A5F">
        <w:rPr>
          <w:sz w:val="24"/>
          <w:szCs w:val="24"/>
          <w:lang w:val="es-ES_tradnl" w:eastAsia="en-US"/>
        </w:rPr>
        <w:t>30</w:t>
      </w:r>
      <w:r w:rsidR="00D136BB">
        <w:rPr>
          <w:sz w:val="24"/>
          <w:szCs w:val="24"/>
          <w:lang w:val="es-ES_tradnl" w:eastAsia="en-US"/>
        </w:rPr>
        <w:t xml:space="preserve"> </w:t>
      </w:r>
      <w:r w:rsidRPr="00031A5F">
        <w:rPr>
          <w:sz w:val="24"/>
          <w:szCs w:val="24"/>
          <w:lang w:val="es-ES_tradnl" w:eastAsia="en-US"/>
        </w:rPr>
        <w:t>años,</w:t>
      </w:r>
      <w:r w:rsidR="00D136BB">
        <w:rPr>
          <w:sz w:val="24"/>
          <w:szCs w:val="24"/>
          <w:lang w:val="es-ES_tradnl" w:eastAsia="en-US"/>
        </w:rPr>
        <w:t xml:space="preserve"> </w:t>
      </w:r>
      <w:r w:rsidRPr="00031A5F">
        <w:rPr>
          <w:sz w:val="24"/>
          <w:szCs w:val="24"/>
          <w:lang w:val="es-ES_tradnl" w:eastAsia="en-US"/>
        </w:rPr>
        <w:t>siendo</w:t>
      </w:r>
      <w:r w:rsidR="00D136BB">
        <w:rPr>
          <w:sz w:val="24"/>
          <w:szCs w:val="24"/>
          <w:lang w:val="es-ES_tradnl" w:eastAsia="en-US"/>
        </w:rPr>
        <w:t xml:space="preserve"> </w:t>
      </w:r>
      <w:r w:rsidRPr="00031A5F">
        <w:rPr>
          <w:sz w:val="24"/>
          <w:szCs w:val="24"/>
          <w:lang w:val="es-ES_tradnl" w:eastAsia="en-US"/>
        </w:rPr>
        <w:t>las</w:t>
      </w:r>
      <w:r w:rsidR="00D136BB">
        <w:rPr>
          <w:sz w:val="24"/>
          <w:szCs w:val="24"/>
          <w:lang w:val="es-ES_tradnl" w:eastAsia="en-US"/>
        </w:rPr>
        <w:t xml:space="preserve"> </w:t>
      </w:r>
      <w:r w:rsidRPr="00031A5F">
        <w:rPr>
          <w:sz w:val="24"/>
          <w:szCs w:val="24"/>
          <w:lang w:val="es-ES_tradnl" w:eastAsia="en-US"/>
        </w:rPr>
        <w:t>especies</w:t>
      </w:r>
      <w:r w:rsidR="00D136BB">
        <w:rPr>
          <w:sz w:val="24"/>
          <w:szCs w:val="24"/>
          <w:lang w:val="es-ES_tradnl" w:eastAsia="en-US"/>
        </w:rPr>
        <w:t xml:space="preserve"> </w:t>
      </w:r>
      <w:r w:rsidRPr="00031A5F">
        <w:rPr>
          <w:sz w:val="24"/>
          <w:szCs w:val="24"/>
          <w:lang w:val="es-ES_tradnl" w:eastAsia="en-US"/>
        </w:rPr>
        <w:t>más</w:t>
      </w:r>
      <w:r w:rsidR="00D136BB">
        <w:rPr>
          <w:sz w:val="24"/>
          <w:szCs w:val="24"/>
          <w:lang w:val="es-ES_tradnl" w:eastAsia="en-US"/>
        </w:rPr>
        <w:t xml:space="preserve"> </w:t>
      </w:r>
      <w:r w:rsidRPr="00031A5F">
        <w:rPr>
          <w:sz w:val="24"/>
          <w:szCs w:val="24"/>
          <w:lang w:val="es-ES_tradnl" w:eastAsia="en-US"/>
        </w:rPr>
        <w:t>cultivadas</w:t>
      </w:r>
      <w:r w:rsidR="00D136BB">
        <w:rPr>
          <w:sz w:val="24"/>
          <w:szCs w:val="24"/>
          <w:lang w:val="es-ES_tradnl" w:eastAsia="en-US"/>
        </w:rPr>
        <w:t xml:space="preserve"> </w:t>
      </w:r>
      <w:r w:rsidRPr="00031A5F">
        <w:rPr>
          <w:sz w:val="24"/>
          <w:szCs w:val="24"/>
          <w:lang w:val="es-ES_tradnl" w:eastAsia="en-US"/>
        </w:rPr>
        <w:t>salmón</w:t>
      </w:r>
      <w:r w:rsidR="00D136BB">
        <w:rPr>
          <w:sz w:val="24"/>
          <w:szCs w:val="24"/>
          <w:lang w:val="es-ES_tradnl" w:eastAsia="en-US"/>
        </w:rPr>
        <w:t xml:space="preserve"> </w:t>
      </w:r>
      <w:r w:rsidRPr="00031A5F">
        <w:rPr>
          <w:sz w:val="24"/>
          <w:szCs w:val="24"/>
          <w:lang w:val="es-ES_tradnl" w:eastAsia="en-US"/>
        </w:rPr>
        <w:t>/</w:t>
      </w:r>
      <w:r w:rsidR="00D136BB">
        <w:rPr>
          <w:sz w:val="24"/>
          <w:szCs w:val="24"/>
          <w:lang w:val="es-ES_tradnl" w:eastAsia="en-US"/>
        </w:rPr>
        <w:t xml:space="preserve"> </w:t>
      </w:r>
      <w:r w:rsidRPr="00031A5F">
        <w:rPr>
          <w:sz w:val="24"/>
          <w:szCs w:val="24"/>
          <w:lang w:val="es-ES_tradnl" w:eastAsia="en-US"/>
        </w:rPr>
        <w:t>trucha,</w:t>
      </w:r>
      <w:r w:rsidR="00D136BB">
        <w:rPr>
          <w:sz w:val="24"/>
          <w:szCs w:val="24"/>
          <w:lang w:val="es-ES_tradnl" w:eastAsia="en-US"/>
        </w:rPr>
        <w:t xml:space="preserve"> </w:t>
      </w:r>
      <w:r w:rsidRPr="00031A5F">
        <w:rPr>
          <w:sz w:val="24"/>
          <w:szCs w:val="24"/>
          <w:lang w:val="es-ES_tradnl" w:eastAsia="en-US"/>
        </w:rPr>
        <w:t>camarón,</w:t>
      </w:r>
      <w:r w:rsidR="00D136BB">
        <w:rPr>
          <w:sz w:val="24"/>
          <w:szCs w:val="24"/>
          <w:lang w:val="es-ES_tradnl" w:eastAsia="en-US"/>
        </w:rPr>
        <w:t xml:space="preserve"> </w:t>
      </w:r>
      <w:r w:rsidRPr="00031A5F">
        <w:rPr>
          <w:sz w:val="24"/>
          <w:szCs w:val="24"/>
          <w:lang w:val="es-ES_tradnl" w:eastAsia="en-US"/>
        </w:rPr>
        <w:t>tilapia</w:t>
      </w:r>
      <w:r w:rsidR="00D136BB">
        <w:rPr>
          <w:sz w:val="24"/>
          <w:szCs w:val="24"/>
          <w:lang w:val="es-ES_tradnl" w:eastAsia="en-US"/>
        </w:rPr>
        <w:t xml:space="preserve"> </w:t>
      </w:r>
      <w:r w:rsidRPr="00031A5F">
        <w:rPr>
          <w:sz w:val="24"/>
          <w:szCs w:val="24"/>
          <w:lang w:val="es-ES_tradnl" w:eastAsia="en-US"/>
        </w:rPr>
        <w:t>y</w:t>
      </w:r>
      <w:r w:rsidR="00D136BB">
        <w:rPr>
          <w:sz w:val="24"/>
          <w:szCs w:val="24"/>
          <w:lang w:val="es-ES_tradnl" w:eastAsia="en-US"/>
        </w:rPr>
        <w:t xml:space="preserve"> </w:t>
      </w:r>
      <w:r w:rsidRPr="00031A5F">
        <w:rPr>
          <w:sz w:val="24"/>
          <w:szCs w:val="24"/>
          <w:lang w:val="es-ES_tradnl" w:eastAsia="en-US"/>
        </w:rPr>
        <w:t>mejillones</w:t>
      </w:r>
      <w:r w:rsidR="00D136BB">
        <w:rPr>
          <w:sz w:val="24"/>
          <w:szCs w:val="24"/>
          <w:lang w:val="es-ES_tradnl" w:eastAsia="en-US"/>
        </w:rPr>
        <w:t xml:space="preserve"> </w:t>
      </w:r>
      <w:r w:rsidRPr="00031A5F">
        <w:rPr>
          <w:sz w:val="24"/>
          <w:szCs w:val="24"/>
          <w:lang w:val="es-ES_tradnl" w:eastAsia="en-US"/>
        </w:rPr>
        <w:t>(FAO,</w:t>
      </w:r>
      <w:r w:rsidR="00D136BB">
        <w:rPr>
          <w:sz w:val="24"/>
          <w:szCs w:val="24"/>
          <w:lang w:val="es-ES_tradnl" w:eastAsia="en-US"/>
        </w:rPr>
        <w:t xml:space="preserve"> </w:t>
      </w:r>
      <w:r w:rsidRPr="00031A5F">
        <w:rPr>
          <w:sz w:val="24"/>
          <w:szCs w:val="24"/>
          <w:lang w:val="es-ES_tradnl" w:eastAsia="en-US"/>
        </w:rPr>
        <w:t>2018b;</w:t>
      </w:r>
      <w:r w:rsidR="00D136BB">
        <w:rPr>
          <w:sz w:val="24"/>
          <w:szCs w:val="24"/>
          <w:lang w:val="es-ES_tradnl" w:eastAsia="en-US"/>
        </w:rPr>
        <w:t xml:space="preserve"> </w:t>
      </w:r>
      <w:r w:rsidRPr="00031A5F">
        <w:rPr>
          <w:sz w:val="24"/>
          <w:szCs w:val="24"/>
          <w:lang w:val="es-ES_tradnl" w:eastAsia="en-US"/>
        </w:rPr>
        <w:t>IANAS,</w:t>
      </w:r>
      <w:r w:rsidR="00D136BB">
        <w:rPr>
          <w:sz w:val="24"/>
          <w:szCs w:val="24"/>
          <w:lang w:val="es-ES_tradnl" w:eastAsia="en-US"/>
        </w:rPr>
        <w:t xml:space="preserve"> </w:t>
      </w:r>
      <w:r w:rsidRPr="00031A5F">
        <w:rPr>
          <w:sz w:val="24"/>
          <w:szCs w:val="24"/>
          <w:lang w:val="es-ES_tradnl" w:eastAsia="en-US"/>
        </w:rPr>
        <w:t>2017).</w:t>
      </w:r>
    </w:p>
    <w:p w14:paraId="188DBBEA" w14:textId="2BEFCB77" w:rsidR="00436D72" w:rsidRPr="0075034E" w:rsidRDefault="00436D72" w:rsidP="00436D72">
      <w:pPr>
        <w:jc w:val="both"/>
        <w:rPr>
          <w:rFonts w:ascii="Times New Roman" w:hAnsi="Times New Roman" w:cs="Times New Roman"/>
          <w:bCs/>
          <w:sz w:val="24"/>
          <w:szCs w:val="24"/>
        </w:rPr>
      </w:pPr>
      <w:r w:rsidRPr="00031A5F">
        <w:rPr>
          <w:rFonts w:ascii="Times New Roman" w:hAnsi="Times New Roman" w:cs="Times New Roman"/>
          <w:sz w:val="24"/>
          <w:szCs w:val="24"/>
        </w:rPr>
        <w:t>Sin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embargo,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éxito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otras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desarrollo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apropiado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programas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estructurados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control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recrudecimiento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problemas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enfermedades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especies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cultivadas.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Nuevas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biotecnologías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están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siendo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empleadas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promover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sanidad</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sector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medio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selección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convencional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resistencia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enfermedades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caracterización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molecular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diagnóstico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diferentes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cepas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patógenos</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análisis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ofrecer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informaciones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acerca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origen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patógeno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presencia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tejidos,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animales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enteros,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hasta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mismo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moleculares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utilizadas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detectar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víricas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camarones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marinos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detección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bacterias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hongos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pescados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diversas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31A5F">
        <w:rPr>
          <w:rFonts w:ascii="Times New Roman" w:hAnsi="Times New Roman" w:cs="Times New Roman"/>
          <w:bCs/>
          <w:sz w:val="24"/>
          <w:szCs w:val="24"/>
        </w:rPr>
        <w:t>Datos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World</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Organization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for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Animal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Health</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OIE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apuntan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necesidad</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desarrollo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laboratorios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capacitados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ejecutar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tipo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servicio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establecimiento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normas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control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tránsito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organismos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productos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entre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países.</w:t>
      </w:r>
    </w:p>
    <w:p w14:paraId="106ECC23" w14:textId="3ABBE8C2" w:rsidR="00436D72" w:rsidRPr="00031A5F" w:rsidRDefault="00436D72" w:rsidP="00436D72">
      <w:pPr>
        <w:jc w:val="both"/>
        <w:rPr>
          <w:rFonts w:ascii="Times New Roman" w:hAnsi="Times New Roman" w:cs="Times New Roman"/>
          <w:bCs/>
          <w:sz w:val="24"/>
          <w:szCs w:val="24"/>
        </w:rPr>
      </w:pPr>
      <w:r w:rsidRPr="00031A5F">
        <w:rPr>
          <w:rFonts w:ascii="Times New Roman" w:hAnsi="Times New Roman" w:cs="Times New Roman"/>
          <w:bCs/>
          <w:sz w:val="24"/>
          <w:szCs w:val="24"/>
        </w:rPr>
        <w:t>Debido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relativo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menor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conocimiento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biología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organismos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patógenos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(comparados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animales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domésticos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terrestres),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sumado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hecho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cultivo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diversas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acuáticas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importancia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económica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basa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recolección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propagación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“semillas”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poblaciones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bCs/>
          <w:sz w:val="24"/>
          <w:szCs w:val="24"/>
        </w:rPr>
        <w:t>debido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deterioro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genético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pueden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sufrir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pescados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mariscos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sistemas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cultivo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intensivo,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existe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necesidad</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urgente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establecimiento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programas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monitoreo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mejoramiento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genético.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tecnologías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nucleares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ofrecen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gran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posibilidad</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aplicación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pueden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ser</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empleadas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generación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sondas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ADN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regiones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genómicas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marcación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radioactiva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w:t>
      </w:r>
      <w:r w:rsidRPr="00031A5F">
        <w:rPr>
          <w:rFonts w:ascii="Times New Roman" w:hAnsi="Times New Roman" w:cs="Times New Roman"/>
          <w:bCs/>
          <w:sz w:val="24"/>
          <w:szCs w:val="24"/>
          <w:vertAlign w:val="superscript"/>
        </w:rPr>
        <w:t>32</w:t>
      </w:r>
      <w:r w:rsidRPr="00031A5F">
        <w:rPr>
          <w:rFonts w:ascii="Times New Roman" w:hAnsi="Times New Roman" w:cs="Times New Roman"/>
          <w:bCs/>
          <w:sz w:val="24"/>
          <w:szCs w:val="24"/>
        </w:rPr>
        <w:t>P</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vertAlign w:val="superscript"/>
        </w:rPr>
        <w:t>33</w:t>
      </w:r>
      <w:r w:rsidRPr="00031A5F">
        <w:rPr>
          <w:rFonts w:ascii="Times New Roman" w:hAnsi="Times New Roman" w:cs="Times New Roman"/>
          <w:bCs/>
          <w:sz w:val="24"/>
          <w:szCs w:val="24"/>
        </w:rPr>
        <w:t>P)</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usadas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mapeo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genes.</w:t>
      </w:r>
    </w:p>
    <w:p w14:paraId="059A232D" w14:textId="4DF88212" w:rsidR="00436D72" w:rsidRPr="00031A5F" w:rsidRDefault="00436D72" w:rsidP="00436D72">
      <w:pPr>
        <w:jc w:val="both"/>
        <w:rPr>
          <w:rFonts w:ascii="Times New Roman" w:hAnsi="Times New Roman" w:cs="Times New Roman"/>
          <w:bCs/>
          <w:sz w:val="24"/>
          <w:szCs w:val="24"/>
        </w:rPr>
      </w:pP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beneficiarios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inmediatos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ese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programa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serían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habitantes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áreas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costeras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regiones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recursos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hídricos,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tendrían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disponibilidad</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servicios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monitoreo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preciso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rápido</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condiciones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sanitarias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productivas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sistemas,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hoy</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día</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inexistentes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varias</w:t>
      </w:r>
      <w:r w:rsidR="00D136BB">
        <w:rPr>
          <w:rFonts w:ascii="Times New Roman" w:hAnsi="Times New Roman" w:cs="Times New Roman"/>
          <w:bCs/>
          <w:sz w:val="24"/>
          <w:szCs w:val="24"/>
        </w:rPr>
        <w:t xml:space="preserve"> </w:t>
      </w:r>
      <w:r w:rsidRPr="00031A5F">
        <w:rPr>
          <w:rFonts w:ascii="Times New Roman" w:hAnsi="Times New Roman" w:cs="Times New Roman"/>
          <w:bCs/>
          <w:sz w:val="24"/>
          <w:szCs w:val="24"/>
        </w:rPr>
        <w:t>sub-regiones.</w:t>
      </w:r>
    </w:p>
    <w:p w14:paraId="05441B44" w14:textId="22592AAE"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Objetivo: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acuicultura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regional.</w:t>
      </w:r>
      <w:r w:rsidR="00D136BB">
        <w:rPr>
          <w:rFonts w:ascii="Times New Roman" w:hAnsi="Times New Roman" w:cs="Times New Roman"/>
          <w:sz w:val="24"/>
          <w:szCs w:val="24"/>
        </w:rPr>
        <w:t xml:space="preserve"> </w:t>
      </w:r>
    </w:p>
    <w:p w14:paraId="20D6AFBC" w14:textId="6C946DB4"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Indicador: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acuicultores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acuícolas.</w:t>
      </w:r>
      <w:r w:rsidR="00D136BB">
        <w:rPr>
          <w:rFonts w:ascii="Times New Roman" w:hAnsi="Times New Roman" w:cs="Times New Roman"/>
          <w:sz w:val="24"/>
          <w:szCs w:val="24"/>
        </w:rPr>
        <w:t xml:space="preserve"> </w:t>
      </w:r>
    </w:p>
    <w:p w14:paraId="67208354" w14:textId="77777777" w:rsidR="00436D72" w:rsidRPr="00031A5F" w:rsidRDefault="00436D72" w:rsidP="00436D72">
      <w:pPr>
        <w:jc w:val="both"/>
        <w:rPr>
          <w:rFonts w:ascii="Times New Roman" w:hAnsi="Times New Roman" w:cs="Times New Roman"/>
          <w:sz w:val="24"/>
          <w:szCs w:val="24"/>
        </w:rPr>
      </w:pPr>
    </w:p>
    <w:p w14:paraId="655B2B05" w14:textId="29D674E6" w:rsidR="00436D72" w:rsidRPr="00031A5F" w:rsidRDefault="00436D72" w:rsidP="00436D72">
      <w:pPr>
        <w:jc w:val="both"/>
        <w:rPr>
          <w:rFonts w:ascii="Times New Roman" w:hAnsi="Times New Roman" w:cs="Times New Roman"/>
          <w:b/>
          <w:sz w:val="24"/>
          <w:szCs w:val="24"/>
        </w:rPr>
      </w:pPr>
      <w:r w:rsidRPr="00031A5F">
        <w:rPr>
          <w:rFonts w:ascii="Times New Roman" w:hAnsi="Times New Roman" w:cs="Times New Roman"/>
          <w:b/>
          <w:sz w:val="24"/>
          <w:szCs w:val="24"/>
        </w:rPr>
        <w:t>A8.</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Fortalecimiento</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las</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estrategias</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control</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Pr="00031A5F">
        <w:rPr>
          <w:rFonts w:ascii="Times New Roman" w:hAnsi="Times New Roman" w:cs="Times New Roman"/>
          <w:b/>
          <w:sz w:val="24"/>
          <w:szCs w:val="24"/>
        </w:rPr>
        <w:t>mosquitos</w:t>
      </w:r>
    </w:p>
    <w:p w14:paraId="758E422B" w14:textId="40FA3471"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lastRenderedPageBreak/>
        <w:t>Justificación: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insecto</w:t>
      </w:r>
      <w:r w:rsidR="00D136BB">
        <w:rPr>
          <w:rFonts w:ascii="Times New Roman" w:hAnsi="Times New Roman" w:cs="Times New Roman"/>
          <w:sz w:val="24"/>
          <w:szCs w:val="24"/>
        </w:rPr>
        <w:t xml:space="preserve"> </w:t>
      </w:r>
      <w:r w:rsidR="007B3674">
        <w:rPr>
          <w:rFonts w:ascii="Times New Roman" w:hAnsi="Times New Roman" w:cs="Times New Roman"/>
          <w:sz w:val="24"/>
          <w:szCs w:val="24"/>
        </w:rPr>
        <w:t>trasmisor</w:t>
      </w:r>
      <w:r w:rsidR="00D136BB">
        <w:rPr>
          <w:rFonts w:ascii="Times New Roman" w:hAnsi="Times New Roman" w:cs="Times New Roman"/>
          <w:sz w:val="24"/>
          <w:szCs w:val="24"/>
        </w:rPr>
        <w:t xml:space="preserve"> </w:t>
      </w:r>
      <w:r w:rsidR="007B3674">
        <w:rPr>
          <w:rFonts w:ascii="Times New Roman" w:hAnsi="Times New Roman" w:cs="Times New Roman"/>
          <w:sz w:val="24"/>
          <w:szCs w:val="24"/>
        </w:rPr>
        <w:t>de</w:t>
      </w:r>
      <w:r w:rsidR="00D136BB">
        <w:rPr>
          <w:rFonts w:ascii="Times New Roman" w:hAnsi="Times New Roman" w:cs="Times New Roman"/>
          <w:sz w:val="24"/>
          <w:szCs w:val="24"/>
        </w:rPr>
        <w:t xml:space="preserve"> </w:t>
      </w:r>
      <w:r w:rsidR="007B3674">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peligroso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humano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fecha,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representa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700,000</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muertes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año.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Considerando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dengue,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incluir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Zika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Chikungunya),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primeros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siete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meses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contrajeron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enfermedad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723</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murieron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notorias,</w:t>
      </w:r>
      <w:r w:rsidR="00D136BB">
        <w:rPr>
          <w:rFonts w:ascii="Times New Roman" w:hAnsi="Times New Roman" w:cs="Times New Roman"/>
          <w:sz w:val="24"/>
          <w:szCs w:val="24"/>
        </w:rPr>
        <w:t xml:space="preserve"> </w:t>
      </w:r>
      <w:r w:rsidRPr="007B3674">
        <w:rPr>
          <w:rFonts w:ascii="Times New Roman" w:hAnsi="Times New Roman" w:cs="Times New Roman"/>
          <w:i/>
          <w:iCs/>
          <w:sz w:val="24"/>
          <w:szCs w:val="24"/>
        </w:rPr>
        <w:t>Aedes</w:t>
      </w:r>
      <w:r w:rsidR="00D136BB">
        <w:rPr>
          <w:rFonts w:ascii="Times New Roman" w:hAnsi="Times New Roman" w:cs="Times New Roman"/>
          <w:i/>
          <w:iCs/>
          <w:sz w:val="24"/>
          <w:szCs w:val="24"/>
        </w:rPr>
        <w:t xml:space="preserve"> </w:t>
      </w:r>
      <w:r w:rsidRPr="007B3674">
        <w:rPr>
          <w:rFonts w:ascii="Times New Roman" w:hAnsi="Times New Roman" w:cs="Times New Roman"/>
          <w:i/>
          <w:iCs/>
          <w:sz w:val="24"/>
          <w:szCs w:val="24"/>
        </w:rPr>
        <w:t>aegypti</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antropófila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invasiva,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transmite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numerosas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dengue,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chikungunya,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fiebre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amarilla,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mayaro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zika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vacunas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creciente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resistencia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insecticidas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implicaciones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pública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excesivo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químicos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enfatizan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necesidad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recurrir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estrategias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alternativas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sostenibles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p>
    <w:p w14:paraId="6D8D6647" w14:textId="11756771"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febrero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2016,</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ONU</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declaró</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infección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virus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Zika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emergencia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pública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preocupación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internacional,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ahora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conoce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Zika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desafío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largo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plazo,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implica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probable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Zika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convierta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problema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endémico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mismo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tiempo,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dengue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chikungunya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aumentando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pública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ejemplo,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incidencia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dengue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aumentó</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5</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veces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comparación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virus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transmitidos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responsables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morbilidad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causada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particularmente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dengue,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fiebre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Zika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chikungunya.</w:t>
      </w:r>
    </w:p>
    <w:p w14:paraId="649998F8" w14:textId="33B15310"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realidad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aparición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resurgimiento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arbovirales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transmiten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w:t>
      </w:r>
      <w:r w:rsidR="00D136BB">
        <w:rPr>
          <w:rFonts w:ascii="Times New Roman" w:hAnsi="Times New Roman" w:cs="Times New Roman"/>
          <w:sz w:val="24"/>
          <w:szCs w:val="24"/>
        </w:rPr>
        <w:t xml:space="preserve"> </w:t>
      </w:r>
      <w:r w:rsidRPr="007B3674">
        <w:rPr>
          <w:rFonts w:ascii="Times New Roman" w:hAnsi="Times New Roman" w:cs="Times New Roman"/>
          <w:i/>
          <w:iCs/>
          <w:sz w:val="24"/>
          <w:szCs w:val="24"/>
        </w:rPr>
        <w:t>Aedes</w:t>
      </w:r>
      <w:r w:rsidR="00D136BB">
        <w:rPr>
          <w:rFonts w:ascii="Times New Roman" w:hAnsi="Times New Roman" w:cs="Times New Roman"/>
          <w:i/>
          <w:iCs/>
          <w:sz w:val="24"/>
          <w:szCs w:val="24"/>
        </w:rPr>
        <w:t xml:space="preserve"> </w:t>
      </w:r>
      <w:r w:rsidRPr="007B3674">
        <w:rPr>
          <w:rFonts w:ascii="Times New Roman" w:hAnsi="Times New Roman" w:cs="Times New Roman"/>
          <w:i/>
          <w:iCs/>
          <w:sz w:val="24"/>
          <w:szCs w:val="24"/>
        </w:rPr>
        <w:t>aegypti</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adaptado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bien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zonas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urbanas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reproduce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fácilmente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aguas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estancadas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alrededor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hogares.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altamente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invasiva,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común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trópicos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007B3674">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subtropicales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problema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múltiples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virus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(dengue,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zika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chikungunya)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cepas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usan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vectores,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persiste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toda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carga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significativa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economía.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resistencia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insecticidas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aumenta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problema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poblaciones.</w:t>
      </w:r>
    </w:p>
    <w:p w14:paraId="738E4093" w14:textId="00CA7C37"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Existen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experiencias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vectores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mediante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inserción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innovadoras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007B3674">
        <w:rPr>
          <w:rFonts w:ascii="Times New Roman" w:hAnsi="Times New Roman" w:cs="Times New Roman"/>
          <w:sz w:val="24"/>
          <w:szCs w:val="24"/>
        </w:rPr>
        <w:t>TIE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herramienta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adicional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miembros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reducir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poblaciones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contribuyendo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poblaciones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p>
    <w:p w14:paraId="3350497B" w14:textId="70925698"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sz w:val="24"/>
          <w:szCs w:val="24"/>
        </w:rPr>
        <w:t>Dentro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herramienta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adicional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esterilización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reproductiva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machos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mediante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radiación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ionizante.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fecha,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un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método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seguro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limpio,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requieren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químicos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ni</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antibióticos.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insectos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machos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criados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masa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instalaciones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expuestos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radiaciones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ionizantes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volverlos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infértiles.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machos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estériles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compiten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machos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salvajes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hembras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salvajes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aparean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crear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descendencia,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reduciendo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gradualmente.</w:t>
      </w:r>
    </w:p>
    <w:p w14:paraId="2A1FB3C0" w14:textId="6EEFCB57" w:rsidR="00436D72" w:rsidRPr="00031A5F" w:rsidRDefault="00436D72" w:rsidP="00436D72">
      <w:pPr>
        <w:jc w:val="both"/>
        <w:rPr>
          <w:rFonts w:ascii="Times New Roman" w:hAnsi="Times New Roman" w:cs="Times New Roman"/>
          <w:sz w:val="24"/>
          <w:szCs w:val="24"/>
        </w:rPr>
      </w:pPr>
      <w:r w:rsidRPr="00031A5F">
        <w:rPr>
          <w:rFonts w:ascii="Times New Roman" w:hAnsi="Times New Roman" w:cs="Times New Roman"/>
          <w:b/>
          <w:sz w:val="24"/>
          <w:szCs w:val="24"/>
        </w:rPr>
        <w:t>Objetivo: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Crear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integrar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la</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TIE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actuales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p>
    <w:p w14:paraId="1D3F8BD8" w14:textId="1E895F17" w:rsidR="00436D72" w:rsidRDefault="00436D72" w:rsidP="002C0920">
      <w:pPr>
        <w:jc w:val="both"/>
        <w:rPr>
          <w:rFonts w:ascii="Times New Roman" w:hAnsi="Times New Roman" w:cs="Times New Roman"/>
          <w:sz w:val="24"/>
          <w:szCs w:val="24"/>
        </w:rPr>
      </w:pPr>
      <w:r w:rsidRPr="00031A5F">
        <w:rPr>
          <w:rFonts w:ascii="Times New Roman" w:hAnsi="Times New Roman" w:cs="Times New Roman"/>
          <w:b/>
          <w:sz w:val="24"/>
          <w:szCs w:val="24"/>
        </w:rPr>
        <w:t>Indicador</w:t>
      </w:r>
      <w:r w:rsidRPr="00031A5F">
        <w:rPr>
          <w:rFonts w:ascii="Times New Roman" w:hAnsi="Times New Roman" w:cs="Times New Roman"/>
          <w:sz w:val="24"/>
          <w:szCs w:val="24"/>
        </w:rPr>
        <w:t>:</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pruebas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piloto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implementadas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en</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sitios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campo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seleccionados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y</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de</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mosquitos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estériles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liberados</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31A5F">
        <w:rPr>
          <w:rFonts w:ascii="Times New Roman" w:hAnsi="Times New Roman" w:cs="Times New Roman"/>
          <w:sz w:val="24"/>
          <w:szCs w:val="24"/>
        </w:rPr>
        <w:t>año.</w:t>
      </w:r>
    </w:p>
    <w:p w14:paraId="29E48EB3" w14:textId="77777777" w:rsidR="002C0920" w:rsidRDefault="002C0920" w:rsidP="002C0920">
      <w:pPr>
        <w:jc w:val="both"/>
        <w:rPr>
          <w:rFonts w:ascii="Times New Roman" w:hAnsi="Times New Roman" w:cs="Times New Roman"/>
          <w:sz w:val="24"/>
          <w:szCs w:val="24"/>
        </w:rPr>
        <w:sectPr w:rsidR="002C0920" w:rsidSect="00853862">
          <w:pgSz w:w="12240" w:h="15840"/>
          <w:pgMar w:top="1440" w:right="1080" w:bottom="1440" w:left="1080" w:header="708" w:footer="708" w:gutter="0"/>
          <w:cols w:space="708"/>
          <w:docGrid w:linePitch="360"/>
        </w:sectPr>
      </w:pPr>
    </w:p>
    <w:p w14:paraId="6B9A9C29" w14:textId="32E7CE7E" w:rsidR="00436D72" w:rsidRPr="00EA2977" w:rsidRDefault="00627A67" w:rsidP="00436D72">
      <w:pPr>
        <w:jc w:val="both"/>
        <w:rPr>
          <w:rFonts w:ascii="Times New Roman" w:hAnsi="Times New Roman" w:cs="Times New Roman"/>
          <w:b/>
          <w:bCs/>
          <w:sz w:val="24"/>
          <w:szCs w:val="24"/>
          <w:lang w:val="es-ES"/>
        </w:rPr>
      </w:pPr>
      <w:r w:rsidRPr="00EA2977">
        <w:rPr>
          <w:rFonts w:ascii="Times New Roman" w:hAnsi="Times New Roman" w:cs="Times New Roman"/>
          <w:b/>
          <w:bCs/>
          <w:sz w:val="24"/>
          <w:szCs w:val="24"/>
          <w:lang w:val="es-ES"/>
        </w:rPr>
        <w:lastRenderedPageBreak/>
        <w:t>IV.</w:t>
      </w:r>
      <w:r w:rsidR="00D136BB">
        <w:rPr>
          <w:rFonts w:ascii="Times New Roman" w:hAnsi="Times New Roman" w:cs="Times New Roman"/>
          <w:b/>
          <w:bCs/>
          <w:sz w:val="24"/>
          <w:szCs w:val="24"/>
          <w:lang w:val="es-ES"/>
        </w:rPr>
        <w:t xml:space="preserve"> </w:t>
      </w:r>
      <w:r w:rsidR="00436D72" w:rsidRPr="00EA2977">
        <w:rPr>
          <w:rFonts w:ascii="Times New Roman" w:hAnsi="Times New Roman" w:cs="Times New Roman"/>
          <w:b/>
          <w:bCs/>
          <w:sz w:val="24"/>
          <w:szCs w:val="24"/>
          <w:lang w:val="es-ES"/>
        </w:rPr>
        <w:t>Priorización</w:t>
      </w:r>
      <w:r w:rsidR="00D136BB">
        <w:rPr>
          <w:rFonts w:ascii="Times New Roman" w:hAnsi="Times New Roman" w:cs="Times New Roman"/>
          <w:b/>
          <w:bCs/>
          <w:sz w:val="24"/>
          <w:szCs w:val="24"/>
          <w:lang w:val="es-ES"/>
        </w:rPr>
        <w:t xml:space="preserve"> </w:t>
      </w:r>
      <w:r w:rsidR="00436D72" w:rsidRPr="00EA2977">
        <w:rPr>
          <w:rFonts w:ascii="Times New Roman" w:hAnsi="Times New Roman" w:cs="Times New Roman"/>
          <w:b/>
          <w:bCs/>
          <w:sz w:val="24"/>
          <w:szCs w:val="24"/>
          <w:lang w:val="es-ES"/>
        </w:rPr>
        <w:t>de</w:t>
      </w:r>
      <w:r w:rsidR="00D136BB">
        <w:rPr>
          <w:rFonts w:ascii="Times New Roman" w:hAnsi="Times New Roman" w:cs="Times New Roman"/>
          <w:b/>
          <w:bCs/>
          <w:sz w:val="24"/>
          <w:szCs w:val="24"/>
          <w:lang w:val="es-ES"/>
        </w:rPr>
        <w:t xml:space="preserve"> </w:t>
      </w:r>
      <w:r w:rsidR="00436D72" w:rsidRPr="00EA2977">
        <w:rPr>
          <w:rFonts w:ascii="Times New Roman" w:hAnsi="Times New Roman" w:cs="Times New Roman"/>
          <w:b/>
          <w:bCs/>
          <w:sz w:val="24"/>
          <w:szCs w:val="24"/>
          <w:lang w:val="es-ES"/>
        </w:rPr>
        <w:t>las</w:t>
      </w:r>
      <w:r w:rsidR="00D136BB">
        <w:rPr>
          <w:rFonts w:ascii="Times New Roman" w:hAnsi="Times New Roman" w:cs="Times New Roman"/>
          <w:b/>
          <w:bCs/>
          <w:sz w:val="24"/>
          <w:szCs w:val="24"/>
          <w:lang w:val="es-ES"/>
        </w:rPr>
        <w:t xml:space="preserve"> </w:t>
      </w:r>
      <w:r w:rsidR="004F5016">
        <w:rPr>
          <w:rFonts w:ascii="Times New Roman" w:hAnsi="Times New Roman" w:cs="Times New Roman"/>
          <w:b/>
          <w:bCs/>
          <w:sz w:val="24"/>
          <w:szCs w:val="24"/>
          <w:lang w:val="es-ES"/>
        </w:rPr>
        <w:t>N</w:t>
      </w:r>
      <w:r w:rsidR="00436D72" w:rsidRPr="00EA2977">
        <w:rPr>
          <w:rFonts w:ascii="Times New Roman" w:hAnsi="Times New Roman" w:cs="Times New Roman"/>
          <w:b/>
          <w:bCs/>
          <w:sz w:val="24"/>
          <w:szCs w:val="24"/>
          <w:lang w:val="es-ES"/>
        </w:rPr>
        <w:t>ecesidades/Problemas</w:t>
      </w:r>
      <w:r w:rsidR="00D136BB">
        <w:rPr>
          <w:rFonts w:ascii="Times New Roman" w:hAnsi="Times New Roman" w:cs="Times New Roman"/>
          <w:b/>
          <w:bCs/>
          <w:sz w:val="24"/>
          <w:szCs w:val="24"/>
          <w:lang w:val="es-ES"/>
        </w:rPr>
        <w:t xml:space="preserve"> </w:t>
      </w:r>
      <w:r w:rsidR="00436D72" w:rsidRPr="00EA2977">
        <w:rPr>
          <w:rFonts w:ascii="Times New Roman" w:hAnsi="Times New Roman" w:cs="Times New Roman"/>
          <w:b/>
          <w:bCs/>
          <w:sz w:val="24"/>
          <w:szCs w:val="24"/>
          <w:lang w:val="es-ES"/>
        </w:rPr>
        <w:t>en</w:t>
      </w:r>
      <w:r w:rsidR="00D136BB">
        <w:rPr>
          <w:rFonts w:ascii="Times New Roman" w:hAnsi="Times New Roman" w:cs="Times New Roman"/>
          <w:b/>
          <w:bCs/>
          <w:sz w:val="24"/>
          <w:szCs w:val="24"/>
          <w:lang w:val="es-ES"/>
        </w:rPr>
        <w:t xml:space="preserve"> </w:t>
      </w:r>
      <w:r w:rsidR="00C41191">
        <w:rPr>
          <w:rFonts w:ascii="Times New Roman" w:hAnsi="Times New Roman" w:cs="Times New Roman"/>
          <w:b/>
          <w:bCs/>
          <w:sz w:val="24"/>
          <w:szCs w:val="24"/>
          <w:lang w:val="es-ES"/>
        </w:rPr>
        <w:t>Alimentación y Agricultura</w:t>
      </w:r>
      <w:r w:rsidR="006A5474">
        <w:rPr>
          <w:rFonts w:ascii="Times New Roman" w:hAnsi="Times New Roman" w:cs="Times New Roman"/>
          <w:b/>
          <w:bCs/>
          <w:sz w:val="24"/>
          <w:szCs w:val="24"/>
          <w:lang w:val="es-ES"/>
        </w:rPr>
        <w:t xml:space="preserve"> (</w:t>
      </w:r>
      <w:bookmarkStart w:id="17" w:name="_Hlk49981471"/>
      <w:r w:rsidR="006A5474" w:rsidRPr="00657951">
        <w:rPr>
          <w:rFonts w:ascii="Times New Roman" w:hAnsi="Times New Roman" w:cs="Times New Roman"/>
          <w:b/>
          <w:bCs/>
          <w:sz w:val="24"/>
          <w:szCs w:val="24"/>
          <w:lang w:val="es-ES"/>
        </w:rPr>
        <w:t xml:space="preserve">de acuerdo al enfoque metodológico </w:t>
      </w:r>
      <w:r w:rsidR="004610AE" w:rsidRPr="00657951">
        <w:rPr>
          <w:rFonts w:ascii="Times New Roman" w:hAnsi="Times New Roman" w:cs="Times New Roman"/>
          <w:b/>
          <w:bCs/>
          <w:sz w:val="24"/>
          <w:szCs w:val="24"/>
          <w:lang w:val="es-ES"/>
        </w:rPr>
        <w:t>d</w:t>
      </w:r>
      <w:r w:rsidR="006A5474" w:rsidRPr="00657951">
        <w:rPr>
          <w:rFonts w:ascii="Times New Roman" w:hAnsi="Times New Roman" w:cs="Times New Roman"/>
          <w:b/>
          <w:bCs/>
          <w:sz w:val="24"/>
          <w:szCs w:val="24"/>
          <w:lang w:val="es-ES"/>
        </w:rPr>
        <w:t>el Anexo 1</w:t>
      </w:r>
      <w:bookmarkEnd w:id="17"/>
      <w:r w:rsidR="006A5474" w:rsidRPr="00657951">
        <w:rPr>
          <w:rFonts w:ascii="Times New Roman" w:hAnsi="Times New Roman" w:cs="Times New Roman"/>
          <w:b/>
          <w:bCs/>
          <w:sz w:val="24"/>
          <w:szCs w:val="24"/>
          <w:lang w:val="es-ES"/>
        </w:rPr>
        <w:t>)</w:t>
      </w:r>
      <w:r w:rsidR="00436D72" w:rsidRPr="00657951">
        <w:rPr>
          <w:rFonts w:ascii="Times New Roman" w:hAnsi="Times New Roman" w:cs="Times New Roman"/>
          <w:b/>
          <w:bCs/>
          <w:sz w:val="24"/>
          <w:szCs w:val="24"/>
          <w:lang w:val="es-ES"/>
        </w:rPr>
        <w:t>.</w:t>
      </w:r>
    </w:p>
    <w:p w14:paraId="1A6FEA70" w14:textId="548C4AFD" w:rsidR="0064353C" w:rsidRPr="00031A5F" w:rsidRDefault="00436D72" w:rsidP="0064353C">
      <w:pPr>
        <w:jc w:val="both"/>
        <w:rPr>
          <w:rFonts w:ascii="Times New Roman" w:hAnsi="Times New Roman" w:cs="Times New Roman"/>
          <w:sz w:val="24"/>
          <w:szCs w:val="24"/>
          <w:lang w:val="es-ES"/>
        </w:rPr>
      </w:pPr>
      <w:r w:rsidRPr="00031A5F">
        <w:rPr>
          <w:rFonts w:ascii="Times New Roman" w:hAnsi="Times New Roman" w:cs="Times New Roman"/>
          <w:sz w:val="24"/>
          <w:szCs w:val="24"/>
          <w:lang w:val="es-ES"/>
        </w:rPr>
        <w:t>Tabla1.</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Priorización</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004F5016">
        <w:rPr>
          <w:rFonts w:ascii="Times New Roman" w:hAnsi="Times New Roman" w:cs="Times New Roman"/>
          <w:sz w:val="24"/>
          <w:szCs w:val="24"/>
          <w:lang w:val="es-ES"/>
        </w:rPr>
        <w:t>N</w:t>
      </w:r>
      <w:r w:rsidRPr="00031A5F">
        <w:rPr>
          <w:rFonts w:ascii="Times New Roman" w:hAnsi="Times New Roman" w:cs="Times New Roman"/>
          <w:sz w:val="24"/>
          <w:szCs w:val="24"/>
          <w:lang w:val="es-ES"/>
        </w:rPr>
        <w:t>ecesidades/Problemas</w:t>
      </w:r>
      <w:r w:rsidR="00D136BB">
        <w:rPr>
          <w:rFonts w:ascii="Times New Roman" w:hAnsi="Times New Roman" w:cs="Times New Roman"/>
          <w:sz w:val="24"/>
          <w:szCs w:val="24"/>
          <w:lang w:val="es-ES"/>
        </w:rPr>
        <w:t xml:space="preserve"> </w:t>
      </w:r>
      <w:r w:rsidRPr="00031A5F">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00C41191">
        <w:rPr>
          <w:rFonts w:ascii="Times New Roman" w:hAnsi="Times New Roman" w:cs="Times New Roman"/>
          <w:b/>
          <w:bCs/>
          <w:sz w:val="24"/>
          <w:szCs w:val="24"/>
          <w:lang w:val="es-ES"/>
        </w:rPr>
        <w:t>Alimentación y Agricultura</w:t>
      </w:r>
      <w:r w:rsidRPr="00031A5F">
        <w:rPr>
          <w:rFonts w:ascii="Times New Roman" w:hAnsi="Times New Roman" w:cs="Times New Roman"/>
          <w:sz w:val="24"/>
          <w:szCs w:val="24"/>
          <w:lang w:val="es-ES"/>
        </w:rPr>
        <w:t>.</w:t>
      </w:r>
    </w:p>
    <w:tbl>
      <w:tblPr>
        <w:tblW w:w="144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985"/>
        <w:gridCol w:w="1985"/>
        <w:gridCol w:w="2126"/>
        <w:gridCol w:w="2082"/>
        <w:gridCol w:w="2029"/>
        <w:gridCol w:w="938"/>
        <w:gridCol w:w="1614"/>
        <w:gridCol w:w="566"/>
        <w:gridCol w:w="709"/>
      </w:tblGrid>
      <w:tr w:rsidR="00FE4F5F" w:rsidRPr="0064353C" w14:paraId="7A4E10D9" w14:textId="77777777" w:rsidTr="00E34F44">
        <w:trPr>
          <w:trHeight w:val="510"/>
        </w:trPr>
        <w:tc>
          <w:tcPr>
            <w:tcW w:w="425" w:type="dxa"/>
            <w:shd w:val="clear" w:color="auto" w:fill="0070C0"/>
            <w:vAlign w:val="center"/>
          </w:tcPr>
          <w:p w14:paraId="528185F4" w14:textId="795BFD3A" w:rsidR="00FE4F5F"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P</w:t>
            </w:r>
          </w:p>
        </w:tc>
        <w:tc>
          <w:tcPr>
            <w:tcW w:w="1985" w:type="dxa"/>
            <w:shd w:val="clear" w:color="auto" w:fill="0070C0"/>
            <w:vAlign w:val="center"/>
          </w:tcPr>
          <w:p w14:paraId="4DFCD57B" w14:textId="0EB4E41C"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NECESIDAD/ PROBLEMA</w:t>
            </w:r>
          </w:p>
        </w:tc>
        <w:tc>
          <w:tcPr>
            <w:tcW w:w="1985" w:type="dxa"/>
            <w:shd w:val="clear" w:color="auto" w:fill="0070C0"/>
            <w:vAlign w:val="center"/>
            <w:hideMark/>
          </w:tcPr>
          <w:p w14:paraId="7796A27A" w14:textId="28C6EE47"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Severidad</w:t>
            </w:r>
          </w:p>
        </w:tc>
        <w:tc>
          <w:tcPr>
            <w:tcW w:w="2126" w:type="dxa"/>
            <w:shd w:val="clear" w:color="auto" w:fill="0070C0"/>
            <w:vAlign w:val="center"/>
            <w:hideMark/>
          </w:tcPr>
          <w:p w14:paraId="68E41782" w14:textId="60176292"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Tiempo</w:t>
            </w:r>
          </w:p>
        </w:tc>
        <w:tc>
          <w:tcPr>
            <w:tcW w:w="2082" w:type="dxa"/>
            <w:shd w:val="clear" w:color="auto" w:fill="0070C0"/>
            <w:vAlign w:val="center"/>
            <w:hideMark/>
          </w:tcPr>
          <w:p w14:paraId="1166B35E" w14:textId="72B386AF"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Extensión</w:t>
            </w:r>
          </w:p>
        </w:tc>
        <w:tc>
          <w:tcPr>
            <w:tcW w:w="2029" w:type="dxa"/>
            <w:shd w:val="clear" w:color="auto" w:fill="0070C0"/>
            <w:vAlign w:val="center"/>
            <w:hideMark/>
          </w:tcPr>
          <w:p w14:paraId="2BFBC829" w14:textId="5A58B65B"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Relevancia</w:t>
            </w:r>
          </w:p>
        </w:tc>
        <w:tc>
          <w:tcPr>
            <w:tcW w:w="938" w:type="dxa"/>
            <w:shd w:val="clear" w:color="auto" w:fill="0070C0"/>
            <w:vAlign w:val="center"/>
            <w:hideMark/>
          </w:tcPr>
          <w:p w14:paraId="753A8A68" w14:textId="193E469C"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Grado Total</w:t>
            </w:r>
          </w:p>
        </w:tc>
        <w:tc>
          <w:tcPr>
            <w:tcW w:w="1614" w:type="dxa"/>
            <w:shd w:val="clear" w:color="auto" w:fill="0070C0"/>
            <w:vAlign w:val="center"/>
            <w:hideMark/>
          </w:tcPr>
          <w:p w14:paraId="61DCBCDA" w14:textId="5A42603F"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Dificultad</w:t>
            </w:r>
          </w:p>
        </w:tc>
        <w:tc>
          <w:tcPr>
            <w:tcW w:w="566" w:type="dxa"/>
            <w:shd w:val="clear" w:color="auto" w:fill="0070C0"/>
            <w:vAlign w:val="center"/>
            <w:hideMark/>
          </w:tcPr>
          <w:p w14:paraId="6C45E7CF" w14:textId="4451442B"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R/D</w:t>
            </w:r>
          </w:p>
        </w:tc>
        <w:tc>
          <w:tcPr>
            <w:tcW w:w="709" w:type="dxa"/>
            <w:shd w:val="clear" w:color="auto" w:fill="0070C0"/>
            <w:vAlign w:val="center"/>
            <w:hideMark/>
          </w:tcPr>
          <w:p w14:paraId="50DAF0A0" w14:textId="2C9E6B0B" w:rsidR="00FE4F5F" w:rsidRPr="00FE4F5F" w:rsidRDefault="00FE4F5F" w:rsidP="00FE4F5F">
            <w:pPr>
              <w:spacing w:after="0"/>
              <w:jc w:val="center"/>
              <w:rPr>
                <w:rFonts w:ascii="Times New Roman" w:hAnsi="Times New Roman" w:cs="Times New Roman"/>
                <w:b/>
                <w:bCs/>
                <w:color w:val="FFFFFF" w:themeColor="background1"/>
                <w:sz w:val="20"/>
                <w:szCs w:val="20"/>
                <w:lang w:eastAsia="pt-BR"/>
              </w:rPr>
            </w:pPr>
            <w:r w:rsidRPr="00FE4F5F">
              <w:rPr>
                <w:b/>
                <w:color w:val="FFFFFF" w:themeColor="background1"/>
              </w:rPr>
              <w:t>Grado Final</w:t>
            </w:r>
          </w:p>
        </w:tc>
      </w:tr>
      <w:tr w:rsidR="00FE4F5F" w:rsidRPr="0064353C" w14:paraId="2376A31E" w14:textId="77777777" w:rsidTr="00E34F44">
        <w:trPr>
          <w:trHeight w:val="300"/>
        </w:trPr>
        <w:tc>
          <w:tcPr>
            <w:tcW w:w="425" w:type="dxa"/>
            <w:vMerge w:val="restart"/>
            <w:shd w:val="clear" w:color="auto" w:fill="0070C0"/>
            <w:vAlign w:val="center"/>
          </w:tcPr>
          <w:p w14:paraId="388327DD" w14:textId="1222DE61" w:rsidR="00FE4F5F"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1</w:t>
            </w:r>
          </w:p>
        </w:tc>
        <w:tc>
          <w:tcPr>
            <w:tcW w:w="1985" w:type="dxa"/>
            <w:vMerge w:val="restart"/>
            <w:shd w:val="clear" w:color="auto" w:fill="auto"/>
            <w:vAlign w:val="center"/>
            <w:hideMark/>
          </w:tcPr>
          <w:p w14:paraId="1A9D1D48" w14:textId="77777777" w:rsidR="00FE4F5F" w:rsidRDefault="00FE4F5F" w:rsidP="00FE4F5F">
            <w:pPr>
              <w:spacing w:after="0"/>
              <w:jc w:val="center"/>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A2</w:t>
            </w:r>
          </w:p>
          <w:p w14:paraId="18791E63"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Mejoramiento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cultivos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alimenticios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importancia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económica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diversas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condiciones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estrés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bióticos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abióticos.</w:t>
            </w:r>
          </w:p>
        </w:tc>
        <w:tc>
          <w:tcPr>
            <w:tcW w:w="1985" w:type="dxa"/>
            <w:shd w:val="clear" w:color="auto" w:fill="auto"/>
            <w:vAlign w:val="center"/>
            <w:hideMark/>
          </w:tcPr>
          <w:p w14:paraId="798F7D86"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4.81</w:t>
            </w:r>
          </w:p>
        </w:tc>
        <w:tc>
          <w:tcPr>
            <w:tcW w:w="2126" w:type="dxa"/>
            <w:shd w:val="clear" w:color="auto" w:fill="auto"/>
            <w:vAlign w:val="center"/>
            <w:hideMark/>
          </w:tcPr>
          <w:p w14:paraId="10CF7B6A"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4.63</w:t>
            </w:r>
          </w:p>
        </w:tc>
        <w:tc>
          <w:tcPr>
            <w:tcW w:w="2082" w:type="dxa"/>
            <w:shd w:val="clear" w:color="auto" w:fill="auto"/>
            <w:vAlign w:val="center"/>
            <w:hideMark/>
          </w:tcPr>
          <w:p w14:paraId="02BE3D32"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4.81</w:t>
            </w:r>
          </w:p>
        </w:tc>
        <w:tc>
          <w:tcPr>
            <w:tcW w:w="2029" w:type="dxa"/>
            <w:shd w:val="clear" w:color="auto" w:fill="auto"/>
            <w:vAlign w:val="center"/>
            <w:hideMark/>
          </w:tcPr>
          <w:p w14:paraId="573E56AB"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4.69</w:t>
            </w:r>
          </w:p>
        </w:tc>
        <w:tc>
          <w:tcPr>
            <w:tcW w:w="938" w:type="dxa"/>
            <w:shd w:val="clear" w:color="auto" w:fill="auto"/>
            <w:vAlign w:val="center"/>
            <w:hideMark/>
          </w:tcPr>
          <w:p w14:paraId="0D8FBE1C"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18.94</w:t>
            </w:r>
          </w:p>
        </w:tc>
        <w:tc>
          <w:tcPr>
            <w:tcW w:w="1614" w:type="dxa"/>
            <w:shd w:val="clear" w:color="auto" w:fill="auto"/>
            <w:vAlign w:val="center"/>
            <w:hideMark/>
          </w:tcPr>
          <w:p w14:paraId="5E7CF670"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1.56</w:t>
            </w:r>
          </w:p>
        </w:tc>
        <w:tc>
          <w:tcPr>
            <w:tcW w:w="566" w:type="dxa"/>
            <w:shd w:val="clear" w:color="auto" w:fill="auto"/>
            <w:vAlign w:val="center"/>
            <w:hideMark/>
          </w:tcPr>
          <w:p w14:paraId="7B06FE5A"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3</w:t>
            </w:r>
          </w:p>
        </w:tc>
        <w:tc>
          <w:tcPr>
            <w:tcW w:w="709" w:type="dxa"/>
            <w:shd w:val="clear" w:color="auto" w:fill="auto"/>
            <w:vAlign w:val="center"/>
            <w:hideMark/>
          </w:tcPr>
          <w:p w14:paraId="5658B077"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56.8</w:t>
            </w:r>
          </w:p>
        </w:tc>
      </w:tr>
      <w:tr w:rsidR="00FE4F5F" w:rsidRPr="0064353C" w14:paraId="519AD2A9" w14:textId="77777777" w:rsidTr="00E34F44">
        <w:trPr>
          <w:trHeight w:val="407"/>
        </w:trPr>
        <w:tc>
          <w:tcPr>
            <w:tcW w:w="425" w:type="dxa"/>
            <w:vMerge/>
            <w:vAlign w:val="center"/>
          </w:tcPr>
          <w:p w14:paraId="195C803B" w14:textId="77777777" w:rsidR="00FE4F5F" w:rsidRPr="0064353C" w:rsidRDefault="00FE4F5F" w:rsidP="00FE4F5F">
            <w:pPr>
              <w:spacing w:after="0"/>
              <w:jc w:val="center"/>
              <w:rPr>
                <w:rFonts w:ascii="Times New Roman" w:hAnsi="Times New Roman" w:cs="Times New Roman"/>
                <w:b/>
                <w:bCs/>
                <w:color w:val="FFFFFF"/>
                <w:sz w:val="20"/>
                <w:szCs w:val="20"/>
                <w:lang w:eastAsia="pt-BR"/>
              </w:rPr>
            </w:pPr>
          </w:p>
        </w:tc>
        <w:tc>
          <w:tcPr>
            <w:tcW w:w="1985" w:type="dxa"/>
            <w:vMerge/>
            <w:vAlign w:val="center"/>
            <w:hideMark/>
          </w:tcPr>
          <w:p w14:paraId="0CB0121B" w14:textId="77777777" w:rsidR="00FE4F5F" w:rsidRPr="0064353C" w:rsidRDefault="00FE4F5F" w:rsidP="00FE4F5F">
            <w:pPr>
              <w:spacing w:after="0"/>
              <w:jc w:val="center"/>
              <w:rPr>
                <w:rFonts w:ascii="Times New Roman" w:hAnsi="Times New Roman" w:cs="Times New Roman"/>
                <w:color w:val="000000"/>
                <w:sz w:val="20"/>
                <w:szCs w:val="20"/>
                <w:lang w:eastAsia="pt-BR"/>
              </w:rPr>
            </w:pPr>
          </w:p>
        </w:tc>
        <w:tc>
          <w:tcPr>
            <w:tcW w:w="1985" w:type="dxa"/>
            <w:shd w:val="clear" w:color="auto" w:fill="FFFFFF" w:themeFill="background1"/>
            <w:vAlign w:val="center"/>
            <w:hideMark/>
          </w:tcPr>
          <w:p w14:paraId="4F59D851" w14:textId="66B6258D"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tiene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respuesta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desafío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aumentar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producción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alimentos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adaptándose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cambio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climático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sin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impactar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medio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ambiente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(aumentar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rendimientos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unitarios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vegetales).</w:t>
            </w:r>
          </w:p>
        </w:tc>
        <w:tc>
          <w:tcPr>
            <w:tcW w:w="2126" w:type="dxa"/>
            <w:shd w:val="clear" w:color="auto" w:fill="FFFFFF" w:themeFill="background1"/>
            <w:vAlign w:val="center"/>
            <w:hideMark/>
          </w:tcPr>
          <w:p w14:paraId="44CC8D9E"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Mejoramiento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plantas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procesos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relativamente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lentos,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tanto,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requieren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acción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inmediata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lograr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resultados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esperados.</w:t>
            </w:r>
          </w:p>
        </w:tc>
        <w:tc>
          <w:tcPr>
            <w:tcW w:w="2082" w:type="dxa"/>
            <w:shd w:val="clear" w:color="auto" w:fill="FFFFFF" w:themeFill="background1"/>
            <w:vAlign w:val="center"/>
            <w:hideMark/>
          </w:tcPr>
          <w:p w14:paraId="7661B957"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Presenta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amplitud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regional,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particularidades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cada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subregión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(variedad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especies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vegetales).</w:t>
            </w:r>
          </w:p>
        </w:tc>
        <w:tc>
          <w:tcPr>
            <w:tcW w:w="2029" w:type="dxa"/>
            <w:shd w:val="clear" w:color="auto" w:fill="FFFFFF" w:themeFill="background1"/>
            <w:vAlign w:val="center"/>
            <w:hideMark/>
          </w:tcPr>
          <w:p w14:paraId="1E1041BB"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Además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métodos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nucleares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inducción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mutaciones,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componente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nuclear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también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participa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una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extensa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cadena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procesos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biotecnológicos.</w:t>
            </w:r>
          </w:p>
        </w:tc>
        <w:tc>
          <w:tcPr>
            <w:tcW w:w="938" w:type="dxa"/>
            <w:shd w:val="clear" w:color="auto" w:fill="FFFFFF" w:themeFill="background1"/>
            <w:vAlign w:val="center"/>
            <w:hideMark/>
          </w:tcPr>
          <w:p w14:paraId="70B677F9"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1614" w:type="dxa"/>
            <w:shd w:val="clear" w:color="auto" w:fill="FFFFFF" w:themeFill="background1"/>
            <w:vAlign w:val="center"/>
            <w:hideMark/>
          </w:tcPr>
          <w:p w14:paraId="232591E1"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t>Se</w:t>
            </w:r>
            <w:r>
              <w:rPr>
                <w:rFonts w:ascii="Times New Roman" w:hAnsi="Times New Roman"/>
                <w:color w:val="000000" w:themeColor="text1"/>
                <w:sz w:val="20"/>
              </w:rPr>
              <w:t xml:space="preserve"> </w:t>
            </w:r>
            <w:r w:rsidRPr="0064353C">
              <w:rPr>
                <w:rFonts w:ascii="Times New Roman" w:hAnsi="Times New Roman"/>
                <w:color w:val="000000" w:themeColor="text1"/>
                <w:sz w:val="20"/>
              </w:rPr>
              <w:t>requiere</w:t>
            </w:r>
            <w:r>
              <w:rPr>
                <w:rFonts w:ascii="Times New Roman" w:hAnsi="Times New Roman"/>
                <w:color w:val="000000" w:themeColor="text1"/>
                <w:sz w:val="20"/>
              </w:rPr>
              <w:t xml:space="preserve"> </w:t>
            </w:r>
            <w:r w:rsidRPr="0064353C">
              <w:rPr>
                <w:rFonts w:ascii="Times New Roman" w:hAnsi="Times New Roman"/>
                <w:color w:val="000000" w:themeColor="text1"/>
                <w:sz w:val="20"/>
              </w:rPr>
              <w:t>esfuerzo</w:t>
            </w:r>
            <w:r>
              <w:rPr>
                <w:rFonts w:ascii="Times New Roman" w:hAnsi="Times New Roman"/>
                <w:color w:val="000000" w:themeColor="text1"/>
                <w:sz w:val="20"/>
              </w:rPr>
              <w:t xml:space="preserve"> </w:t>
            </w:r>
            <w:r w:rsidRPr="0064353C">
              <w:rPr>
                <w:rFonts w:ascii="Times New Roman" w:hAnsi="Times New Roman"/>
                <w:color w:val="000000" w:themeColor="text1"/>
                <w:sz w:val="20"/>
              </w:rPr>
              <w:t>en</w:t>
            </w:r>
            <w:r>
              <w:rPr>
                <w:rFonts w:ascii="Times New Roman" w:hAnsi="Times New Roman"/>
                <w:color w:val="000000" w:themeColor="text1"/>
                <w:sz w:val="20"/>
              </w:rPr>
              <w:t xml:space="preserve"> </w:t>
            </w:r>
            <w:r w:rsidRPr="0064353C">
              <w:rPr>
                <w:rFonts w:ascii="Times New Roman" w:hAnsi="Times New Roman"/>
                <w:color w:val="000000" w:themeColor="text1"/>
                <w:sz w:val="20"/>
              </w:rPr>
              <w:t>la</w:t>
            </w:r>
            <w:r>
              <w:rPr>
                <w:rFonts w:ascii="Times New Roman" w:hAnsi="Times New Roman"/>
                <w:color w:val="000000" w:themeColor="text1"/>
                <w:sz w:val="20"/>
              </w:rPr>
              <w:t xml:space="preserve"> </w:t>
            </w:r>
            <w:r w:rsidRPr="0064353C">
              <w:rPr>
                <w:rFonts w:ascii="Times New Roman" w:hAnsi="Times New Roman"/>
                <w:color w:val="000000" w:themeColor="text1"/>
                <w:sz w:val="20"/>
              </w:rPr>
              <w:t>caracterización</w:t>
            </w:r>
            <w:r>
              <w:rPr>
                <w:rFonts w:ascii="Times New Roman" w:hAnsi="Times New Roman"/>
                <w:color w:val="000000" w:themeColor="text1"/>
                <w:sz w:val="20"/>
              </w:rPr>
              <w:t xml:space="preserve"> </w:t>
            </w:r>
            <w:r w:rsidRPr="0064353C">
              <w:rPr>
                <w:rFonts w:ascii="Times New Roman" w:hAnsi="Times New Roman"/>
                <w:color w:val="000000" w:themeColor="text1"/>
                <w:sz w:val="20"/>
              </w:rPr>
              <w:t>del</w:t>
            </w:r>
            <w:r>
              <w:rPr>
                <w:rFonts w:ascii="Times New Roman" w:hAnsi="Times New Roman"/>
                <w:color w:val="000000" w:themeColor="text1"/>
                <w:sz w:val="20"/>
              </w:rPr>
              <w:t xml:space="preserve"> </w:t>
            </w:r>
            <w:r w:rsidRPr="0064353C">
              <w:rPr>
                <w:rFonts w:ascii="Times New Roman" w:hAnsi="Times New Roman"/>
                <w:color w:val="000000" w:themeColor="text1"/>
                <w:sz w:val="20"/>
              </w:rPr>
              <w:t>germoplasma</w:t>
            </w:r>
            <w:r>
              <w:rPr>
                <w:rFonts w:ascii="Times New Roman" w:hAnsi="Times New Roman"/>
                <w:color w:val="000000" w:themeColor="text1"/>
                <w:sz w:val="20"/>
              </w:rPr>
              <w:t xml:space="preserve"> </w:t>
            </w:r>
            <w:r w:rsidRPr="0064353C">
              <w:rPr>
                <w:rFonts w:ascii="Times New Roman" w:hAnsi="Times New Roman"/>
                <w:color w:val="000000" w:themeColor="text1"/>
                <w:sz w:val="20"/>
              </w:rPr>
              <w:t>de</w:t>
            </w:r>
            <w:r>
              <w:rPr>
                <w:rFonts w:ascii="Times New Roman" w:hAnsi="Times New Roman"/>
                <w:color w:val="000000" w:themeColor="text1"/>
                <w:sz w:val="20"/>
              </w:rPr>
              <w:t xml:space="preserve"> </w:t>
            </w:r>
            <w:r w:rsidRPr="0064353C">
              <w:rPr>
                <w:rFonts w:ascii="Times New Roman" w:hAnsi="Times New Roman"/>
                <w:color w:val="000000" w:themeColor="text1"/>
                <w:sz w:val="20"/>
              </w:rPr>
              <w:t>plantas</w:t>
            </w:r>
            <w:r>
              <w:rPr>
                <w:rFonts w:ascii="Times New Roman" w:hAnsi="Times New Roman"/>
                <w:color w:val="000000" w:themeColor="text1"/>
                <w:sz w:val="20"/>
              </w:rPr>
              <w:t xml:space="preserve"> </w:t>
            </w:r>
            <w:r w:rsidRPr="0064353C">
              <w:rPr>
                <w:rFonts w:ascii="Times New Roman" w:hAnsi="Times New Roman"/>
                <w:color w:val="000000" w:themeColor="text1"/>
                <w:sz w:val="20"/>
              </w:rPr>
              <w:t>nativas.</w:t>
            </w:r>
            <w:r>
              <w:rPr>
                <w:rFonts w:ascii="Times New Roman" w:hAnsi="Times New Roman"/>
                <w:color w:val="000000" w:themeColor="text1"/>
                <w:sz w:val="20"/>
              </w:rPr>
              <w:t xml:space="preserve"> </w:t>
            </w:r>
            <w:r w:rsidRPr="0064353C">
              <w:rPr>
                <w:rFonts w:ascii="Times New Roman" w:hAnsi="Times New Roman"/>
                <w:color w:val="000000" w:themeColor="text1"/>
                <w:sz w:val="20"/>
              </w:rPr>
              <w:t>El</w:t>
            </w:r>
            <w:r>
              <w:rPr>
                <w:rFonts w:ascii="Times New Roman" w:hAnsi="Times New Roman"/>
                <w:color w:val="000000" w:themeColor="text1"/>
                <w:sz w:val="20"/>
              </w:rPr>
              <w:t xml:space="preserve"> </w:t>
            </w:r>
            <w:r w:rsidRPr="0064353C">
              <w:rPr>
                <w:rFonts w:ascii="Times New Roman" w:hAnsi="Times New Roman"/>
                <w:color w:val="000000" w:themeColor="text1"/>
                <w:sz w:val="20"/>
              </w:rPr>
              <w:t>proceso</w:t>
            </w:r>
            <w:r>
              <w:rPr>
                <w:rFonts w:ascii="Times New Roman" w:hAnsi="Times New Roman"/>
                <w:color w:val="000000" w:themeColor="text1"/>
                <w:sz w:val="20"/>
              </w:rPr>
              <w:t xml:space="preserve"> </w:t>
            </w:r>
            <w:r w:rsidRPr="0064353C">
              <w:rPr>
                <w:rFonts w:ascii="Times New Roman" w:hAnsi="Times New Roman"/>
                <w:color w:val="000000" w:themeColor="text1"/>
                <w:sz w:val="20"/>
              </w:rPr>
              <w:t>de</w:t>
            </w:r>
            <w:r>
              <w:rPr>
                <w:rFonts w:ascii="Times New Roman" w:hAnsi="Times New Roman"/>
                <w:color w:val="000000" w:themeColor="text1"/>
                <w:sz w:val="20"/>
              </w:rPr>
              <w:t xml:space="preserve"> </w:t>
            </w:r>
            <w:r w:rsidRPr="0064353C">
              <w:rPr>
                <w:rFonts w:ascii="Times New Roman" w:hAnsi="Times New Roman"/>
                <w:color w:val="000000" w:themeColor="text1"/>
                <w:sz w:val="20"/>
              </w:rPr>
              <w:t>mejoramiento</w:t>
            </w:r>
            <w:r>
              <w:rPr>
                <w:rFonts w:ascii="Times New Roman" w:hAnsi="Times New Roman"/>
                <w:color w:val="000000" w:themeColor="text1"/>
                <w:sz w:val="20"/>
              </w:rPr>
              <w:t xml:space="preserve"> </w:t>
            </w:r>
            <w:r w:rsidRPr="0064353C">
              <w:rPr>
                <w:rFonts w:ascii="Times New Roman" w:hAnsi="Times New Roman"/>
                <w:color w:val="000000" w:themeColor="text1"/>
                <w:sz w:val="20"/>
              </w:rPr>
              <w:t>de</w:t>
            </w:r>
            <w:r>
              <w:rPr>
                <w:rFonts w:ascii="Times New Roman" w:hAnsi="Times New Roman"/>
                <w:color w:val="000000" w:themeColor="text1"/>
                <w:sz w:val="20"/>
              </w:rPr>
              <w:t xml:space="preserve"> </w:t>
            </w:r>
            <w:r w:rsidRPr="0064353C">
              <w:rPr>
                <w:rFonts w:ascii="Times New Roman" w:hAnsi="Times New Roman"/>
                <w:color w:val="000000" w:themeColor="text1"/>
                <w:sz w:val="20"/>
              </w:rPr>
              <w:t>variedades</w:t>
            </w:r>
            <w:r>
              <w:rPr>
                <w:rFonts w:ascii="Times New Roman" w:hAnsi="Times New Roman"/>
                <w:color w:val="000000" w:themeColor="text1"/>
                <w:sz w:val="20"/>
              </w:rPr>
              <w:t xml:space="preserve"> </w:t>
            </w:r>
            <w:r w:rsidRPr="0064353C">
              <w:rPr>
                <w:rFonts w:ascii="Times New Roman" w:hAnsi="Times New Roman"/>
                <w:color w:val="000000" w:themeColor="text1"/>
                <w:sz w:val="20"/>
              </w:rPr>
              <w:t>es</w:t>
            </w:r>
            <w:r>
              <w:rPr>
                <w:rFonts w:ascii="Times New Roman" w:hAnsi="Times New Roman"/>
                <w:color w:val="000000" w:themeColor="text1"/>
                <w:sz w:val="20"/>
              </w:rPr>
              <w:t xml:space="preserve"> </w:t>
            </w:r>
            <w:r w:rsidRPr="0064353C">
              <w:rPr>
                <w:rFonts w:ascii="Times New Roman" w:hAnsi="Times New Roman"/>
                <w:color w:val="000000" w:themeColor="text1"/>
                <w:sz w:val="20"/>
              </w:rPr>
              <w:t>en</w:t>
            </w:r>
            <w:r>
              <w:rPr>
                <w:rFonts w:ascii="Times New Roman" w:hAnsi="Times New Roman"/>
                <w:color w:val="000000" w:themeColor="text1"/>
                <w:sz w:val="20"/>
              </w:rPr>
              <w:t xml:space="preserve"> </w:t>
            </w:r>
            <w:r w:rsidRPr="0064353C">
              <w:rPr>
                <w:rFonts w:ascii="Times New Roman" w:hAnsi="Times New Roman"/>
                <w:color w:val="000000" w:themeColor="text1"/>
                <w:sz w:val="20"/>
              </w:rPr>
              <w:t>general</w:t>
            </w:r>
            <w:r>
              <w:rPr>
                <w:rFonts w:ascii="Times New Roman" w:hAnsi="Times New Roman"/>
                <w:color w:val="000000" w:themeColor="text1"/>
                <w:sz w:val="20"/>
              </w:rPr>
              <w:t xml:space="preserve"> </w:t>
            </w:r>
            <w:r w:rsidRPr="0064353C">
              <w:rPr>
                <w:rFonts w:ascii="Times New Roman" w:hAnsi="Times New Roman"/>
                <w:color w:val="000000" w:themeColor="text1"/>
                <w:sz w:val="20"/>
              </w:rPr>
              <w:t>demorado.</w:t>
            </w:r>
          </w:p>
        </w:tc>
        <w:tc>
          <w:tcPr>
            <w:tcW w:w="566" w:type="dxa"/>
            <w:shd w:val="clear" w:color="auto" w:fill="FFFFFF" w:themeFill="background1"/>
            <w:vAlign w:val="center"/>
            <w:hideMark/>
          </w:tcPr>
          <w:p w14:paraId="735A397B"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709" w:type="dxa"/>
            <w:shd w:val="clear" w:color="auto" w:fill="FFFFFF" w:themeFill="background1"/>
            <w:vAlign w:val="center"/>
            <w:hideMark/>
          </w:tcPr>
          <w:p w14:paraId="675C0E3B"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r>
      <w:tr w:rsidR="00FE4F5F" w:rsidRPr="0064353C" w14:paraId="1C959308" w14:textId="77777777" w:rsidTr="00E34F44">
        <w:trPr>
          <w:trHeight w:val="300"/>
        </w:trPr>
        <w:tc>
          <w:tcPr>
            <w:tcW w:w="425" w:type="dxa"/>
            <w:vMerge w:val="restart"/>
            <w:shd w:val="clear" w:color="auto" w:fill="0070C0"/>
            <w:vAlign w:val="center"/>
          </w:tcPr>
          <w:p w14:paraId="721734F9" w14:textId="5EB9FC90" w:rsidR="00FE4F5F"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2</w:t>
            </w:r>
          </w:p>
        </w:tc>
        <w:tc>
          <w:tcPr>
            <w:tcW w:w="1985" w:type="dxa"/>
            <w:vMerge w:val="restart"/>
            <w:shd w:val="clear" w:color="auto" w:fill="auto"/>
            <w:vAlign w:val="center"/>
            <w:hideMark/>
          </w:tcPr>
          <w:p w14:paraId="7F583687" w14:textId="77777777" w:rsidR="00FE4F5F" w:rsidRDefault="00FE4F5F" w:rsidP="00FE4F5F">
            <w:pPr>
              <w:spacing w:after="0"/>
              <w:jc w:val="center"/>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A8</w:t>
            </w:r>
          </w:p>
          <w:p w14:paraId="7630E5D5" w14:textId="48965DD6"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Fortalecimeinto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estrategias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control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mosquitos.</w:t>
            </w:r>
          </w:p>
        </w:tc>
        <w:tc>
          <w:tcPr>
            <w:tcW w:w="1985" w:type="dxa"/>
            <w:shd w:val="clear" w:color="auto" w:fill="auto"/>
            <w:vAlign w:val="center"/>
            <w:hideMark/>
          </w:tcPr>
          <w:p w14:paraId="4CEE01E8"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4.63</w:t>
            </w:r>
          </w:p>
        </w:tc>
        <w:tc>
          <w:tcPr>
            <w:tcW w:w="2126" w:type="dxa"/>
            <w:shd w:val="clear" w:color="auto" w:fill="auto"/>
            <w:vAlign w:val="center"/>
            <w:hideMark/>
          </w:tcPr>
          <w:p w14:paraId="61CBFFEA"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4.88</w:t>
            </w:r>
          </w:p>
        </w:tc>
        <w:tc>
          <w:tcPr>
            <w:tcW w:w="2082" w:type="dxa"/>
            <w:shd w:val="clear" w:color="auto" w:fill="auto"/>
            <w:vAlign w:val="center"/>
            <w:hideMark/>
          </w:tcPr>
          <w:p w14:paraId="6A259DA8"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4.69</w:t>
            </w:r>
          </w:p>
        </w:tc>
        <w:tc>
          <w:tcPr>
            <w:tcW w:w="2029" w:type="dxa"/>
            <w:shd w:val="clear" w:color="auto" w:fill="auto"/>
            <w:vAlign w:val="center"/>
            <w:hideMark/>
          </w:tcPr>
          <w:p w14:paraId="401E1437"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4.5</w:t>
            </w:r>
          </w:p>
        </w:tc>
        <w:tc>
          <w:tcPr>
            <w:tcW w:w="938" w:type="dxa"/>
            <w:shd w:val="clear" w:color="auto" w:fill="auto"/>
            <w:vAlign w:val="center"/>
            <w:hideMark/>
          </w:tcPr>
          <w:p w14:paraId="5CFA682E"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18.7</w:t>
            </w:r>
          </w:p>
        </w:tc>
        <w:tc>
          <w:tcPr>
            <w:tcW w:w="1614" w:type="dxa"/>
            <w:shd w:val="clear" w:color="auto" w:fill="auto"/>
            <w:vAlign w:val="center"/>
            <w:hideMark/>
          </w:tcPr>
          <w:p w14:paraId="0D7BA3A0"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1.44</w:t>
            </w:r>
          </w:p>
        </w:tc>
        <w:tc>
          <w:tcPr>
            <w:tcW w:w="566" w:type="dxa"/>
            <w:shd w:val="clear" w:color="auto" w:fill="auto"/>
            <w:vAlign w:val="center"/>
            <w:hideMark/>
          </w:tcPr>
          <w:p w14:paraId="5B40EEB7"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3.12</w:t>
            </w:r>
          </w:p>
        </w:tc>
        <w:tc>
          <w:tcPr>
            <w:tcW w:w="709" w:type="dxa"/>
            <w:shd w:val="clear" w:color="auto" w:fill="auto"/>
            <w:vAlign w:val="center"/>
            <w:hideMark/>
          </w:tcPr>
          <w:p w14:paraId="6512C828"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58.43</w:t>
            </w:r>
          </w:p>
        </w:tc>
      </w:tr>
      <w:tr w:rsidR="00FE4F5F" w:rsidRPr="0064353C" w14:paraId="5127D615" w14:textId="77777777" w:rsidTr="00E34F44">
        <w:trPr>
          <w:trHeight w:val="3060"/>
        </w:trPr>
        <w:tc>
          <w:tcPr>
            <w:tcW w:w="425" w:type="dxa"/>
            <w:vMerge/>
            <w:vAlign w:val="center"/>
          </w:tcPr>
          <w:p w14:paraId="31364DFC" w14:textId="77777777" w:rsidR="00FE4F5F" w:rsidRPr="0064353C" w:rsidRDefault="00FE4F5F" w:rsidP="00FE4F5F">
            <w:pPr>
              <w:spacing w:after="0"/>
              <w:jc w:val="center"/>
              <w:rPr>
                <w:rFonts w:ascii="Times New Roman" w:hAnsi="Times New Roman" w:cs="Times New Roman"/>
                <w:b/>
                <w:bCs/>
                <w:color w:val="FFFFFF"/>
                <w:sz w:val="20"/>
                <w:szCs w:val="20"/>
                <w:lang w:eastAsia="pt-BR"/>
              </w:rPr>
            </w:pPr>
          </w:p>
        </w:tc>
        <w:tc>
          <w:tcPr>
            <w:tcW w:w="1985" w:type="dxa"/>
            <w:vMerge/>
            <w:vAlign w:val="center"/>
            <w:hideMark/>
          </w:tcPr>
          <w:p w14:paraId="0B5A793E" w14:textId="77777777" w:rsidR="00FE4F5F" w:rsidRPr="0064353C" w:rsidRDefault="00FE4F5F" w:rsidP="00FE4F5F">
            <w:pPr>
              <w:spacing w:after="0"/>
              <w:jc w:val="center"/>
              <w:rPr>
                <w:rFonts w:ascii="Times New Roman" w:hAnsi="Times New Roman" w:cs="Times New Roman"/>
                <w:color w:val="000000"/>
                <w:sz w:val="20"/>
                <w:szCs w:val="20"/>
                <w:lang w:eastAsia="pt-BR"/>
              </w:rPr>
            </w:pPr>
          </w:p>
        </w:tc>
        <w:tc>
          <w:tcPr>
            <w:tcW w:w="1985" w:type="dxa"/>
            <w:shd w:val="clear" w:color="auto" w:fill="auto"/>
            <w:vAlign w:val="center"/>
            <w:hideMark/>
          </w:tcPr>
          <w:p w14:paraId="28E9F7F2"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Considerando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solo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dengue,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(sin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incluir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Zika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Chikungunya),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primeros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siete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meses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2019,</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más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2</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millones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personas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contrajeron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enfermedad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723</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murieron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América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Latina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Caribe.</w:t>
            </w:r>
          </w:p>
        </w:tc>
        <w:tc>
          <w:tcPr>
            <w:tcW w:w="2126" w:type="dxa"/>
            <w:shd w:val="clear" w:color="auto" w:fill="auto"/>
            <w:vAlign w:val="center"/>
            <w:hideMark/>
          </w:tcPr>
          <w:p w14:paraId="32D9D023"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calentamiento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global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incremento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comercio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international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ha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favorecido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invasión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especies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Aedes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transmiten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dengue,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chikungunya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Zika,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requiere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uso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inmediato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toda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herramienta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ayude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suprimir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poblaciones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insectos,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lastRenderedPageBreak/>
              <w:t>amenazan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convertirse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endémico.</w:t>
            </w:r>
          </w:p>
        </w:tc>
        <w:tc>
          <w:tcPr>
            <w:tcW w:w="2082" w:type="dxa"/>
            <w:shd w:val="clear" w:color="auto" w:fill="auto"/>
            <w:vAlign w:val="center"/>
            <w:hideMark/>
          </w:tcPr>
          <w:p w14:paraId="6912A4A8"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lastRenderedPageBreak/>
              <w:t>Toda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América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Latina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Caribe.</w:t>
            </w:r>
          </w:p>
        </w:tc>
        <w:tc>
          <w:tcPr>
            <w:tcW w:w="2029" w:type="dxa"/>
            <w:shd w:val="clear" w:color="auto" w:fill="auto"/>
            <w:vAlign w:val="center"/>
            <w:hideMark/>
          </w:tcPr>
          <w:p w14:paraId="0B43A7FC"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falta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vacunas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impacto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salud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pública,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así</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como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creciente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resistencia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insecticidas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implicaciones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uso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irracional,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enfatizan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necesidad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alternativas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control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mosquitos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sean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sostenibles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como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Técnica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Insecto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Estéril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(TIE).</w:t>
            </w:r>
          </w:p>
        </w:tc>
        <w:tc>
          <w:tcPr>
            <w:tcW w:w="938" w:type="dxa"/>
            <w:shd w:val="clear" w:color="auto" w:fill="auto"/>
            <w:vAlign w:val="center"/>
            <w:hideMark/>
          </w:tcPr>
          <w:p w14:paraId="3D90380D"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1614" w:type="dxa"/>
            <w:shd w:val="clear" w:color="auto" w:fill="auto"/>
            <w:vAlign w:val="center"/>
            <w:hideMark/>
          </w:tcPr>
          <w:p w14:paraId="60C32BD4"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protección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salud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pública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servicio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ocasiones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difícil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financiar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instituciones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nacionales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países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desarrollado.</w:t>
            </w:r>
          </w:p>
        </w:tc>
        <w:tc>
          <w:tcPr>
            <w:tcW w:w="566" w:type="dxa"/>
            <w:shd w:val="clear" w:color="auto" w:fill="auto"/>
            <w:vAlign w:val="center"/>
            <w:hideMark/>
          </w:tcPr>
          <w:p w14:paraId="3A754D71"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709" w:type="dxa"/>
            <w:shd w:val="clear" w:color="auto" w:fill="auto"/>
            <w:vAlign w:val="center"/>
            <w:hideMark/>
          </w:tcPr>
          <w:p w14:paraId="4128B155"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r>
      <w:tr w:rsidR="00FE4F5F" w:rsidRPr="0064353C" w14:paraId="706E91F5" w14:textId="77777777" w:rsidTr="00E34F44">
        <w:trPr>
          <w:trHeight w:val="300"/>
        </w:trPr>
        <w:tc>
          <w:tcPr>
            <w:tcW w:w="425" w:type="dxa"/>
            <w:vMerge w:val="restart"/>
            <w:shd w:val="clear" w:color="auto" w:fill="0070C0"/>
            <w:vAlign w:val="center"/>
          </w:tcPr>
          <w:p w14:paraId="67926896" w14:textId="4B9AB721" w:rsidR="00FE4F5F"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3</w:t>
            </w:r>
          </w:p>
        </w:tc>
        <w:tc>
          <w:tcPr>
            <w:tcW w:w="1985" w:type="dxa"/>
            <w:vMerge w:val="restart"/>
            <w:shd w:val="clear" w:color="auto" w:fill="auto"/>
            <w:vAlign w:val="center"/>
            <w:hideMark/>
          </w:tcPr>
          <w:p w14:paraId="76C321F3" w14:textId="77777777" w:rsidR="00FE4F5F" w:rsidRDefault="00FE4F5F" w:rsidP="00FE4F5F">
            <w:pPr>
              <w:spacing w:after="0"/>
              <w:jc w:val="center"/>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A7</w:t>
            </w:r>
          </w:p>
          <w:p w14:paraId="36FA50DA"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Apoyar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iniciativas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desarrollo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acuicultura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región.</w:t>
            </w:r>
          </w:p>
        </w:tc>
        <w:tc>
          <w:tcPr>
            <w:tcW w:w="1985" w:type="dxa"/>
            <w:shd w:val="clear" w:color="auto" w:fill="auto"/>
            <w:vAlign w:val="center"/>
            <w:hideMark/>
          </w:tcPr>
          <w:p w14:paraId="3BFC927D"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4.75</w:t>
            </w:r>
          </w:p>
        </w:tc>
        <w:tc>
          <w:tcPr>
            <w:tcW w:w="2126" w:type="dxa"/>
            <w:shd w:val="clear" w:color="auto" w:fill="auto"/>
            <w:vAlign w:val="center"/>
            <w:hideMark/>
          </w:tcPr>
          <w:p w14:paraId="638C9056"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4.56</w:t>
            </w:r>
          </w:p>
        </w:tc>
        <w:tc>
          <w:tcPr>
            <w:tcW w:w="2082" w:type="dxa"/>
            <w:shd w:val="clear" w:color="auto" w:fill="auto"/>
            <w:vAlign w:val="center"/>
            <w:hideMark/>
          </w:tcPr>
          <w:p w14:paraId="228A25A9"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4.75</w:t>
            </w:r>
          </w:p>
        </w:tc>
        <w:tc>
          <w:tcPr>
            <w:tcW w:w="2029" w:type="dxa"/>
            <w:shd w:val="clear" w:color="auto" w:fill="auto"/>
            <w:vAlign w:val="center"/>
            <w:hideMark/>
          </w:tcPr>
          <w:p w14:paraId="28D385E2"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4.56</w:t>
            </w:r>
          </w:p>
        </w:tc>
        <w:tc>
          <w:tcPr>
            <w:tcW w:w="938" w:type="dxa"/>
            <w:shd w:val="clear" w:color="auto" w:fill="auto"/>
            <w:vAlign w:val="center"/>
            <w:hideMark/>
          </w:tcPr>
          <w:p w14:paraId="55C3FF80"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18.63</w:t>
            </w:r>
          </w:p>
        </w:tc>
        <w:tc>
          <w:tcPr>
            <w:tcW w:w="1614" w:type="dxa"/>
            <w:shd w:val="clear" w:color="auto" w:fill="auto"/>
            <w:vAlign w:val="center"/>
            <w:hideMark/>
          </w:tcPr>
          <w:p w14:paraId="5B2DA784"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1.75</w:t>
            </w:r>
          </w:p>
        </w:tc>
        <w:tc>
          <w:tcPr>
            <w:tcW w:w="566" w:type="dxa"/>
            <w:shd w:val="clear" w:color="auto" w:fill="auto"/>
            <w:vAlign w:val="center"/>
            <w:hideMark/>
          </w:tcPr>
          <w:p w14:paraId="018060E1"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2.60</w:t>
            </w:r>
          </w:p>
        </w:tc>
        <w:tc>
          <w:tcPr>
            <w:tcW w:w="709" w:type="dxa"/>
            <w:shd w:val="clear" w:color="auto" w:fill="auto"/>
            <w:vAlign w:val="center"/>
            <w:hideMark/>
          </w:tcPr>
          <w:p w14:paraId="351136C2"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48.54</w:t>
            </w:r>
          </w:p>
        </w:tc>
      </w:tr>
      <w:tr w:rsidR="00FE4F5F" w:rsidRPr="0064353C" w14:paraId="6704C8F2" w14:textId="77777777" w:rsidTr="00E34F44">
        <w:trPr>
          <w:trHeight w:val="2476"/>
        </w:trPr>
        <w:tc>
          <w:tcPr>
            <w:tcW w:w="425" w:type="dxa"/>
            <w:vMerge/>
            <w:vAlign w:val="center"/>
          </w:tcPr>
          <w:p w14:paraId="5CE25568" w14:textId="77777777" w:rsidR="00FE4F5F" w:rsidRPr="0064353C" w:rsidRDefault="00FE4F5F" w:rsidP="00FE4F5F">
            <w:pPr>
              <w:spacing w:after="0"/>
              <w:jc w:val="center"/>
              <w:rPr>
                <w:rFonts w:ascii="Times New Roman" w:hAnsi="Times New Roman" w:cs="Times New Roman"/>
                <w:b/>
                <w:bCs/>
                <w:color w:val="FFFFFF"/>
                <w:sz w:val="20"/>
                <w:szCs w:val="20"/>
                <w:lang w:eastAsia="pt-BR"/>
              </w:rPr>
            </w:pPr>
          </w:p>
        </w:tc>
        <w:tc>
          <w:tcPr>
            <w:tcW w:w="1985" w:type="dxa"/>
            <w:vMerge/>
            <w:vAlign w:val="center"/>
            <w:hideMark/>
          </w:tcPr>
          <w:p w14:paraId="71F36081" w14:textId="77777777" w:rsidR="00FE4F5F" w:rsidRPr="0064353C" w:rsidRDefault="00FE4F5F" w:rsidP="00FE4F5F">
            <w:pPr>
              <w:spacing w:after="0"/>
              <w:jc w:val="center"/>
              <w:rPr>
                <w:rFonts w:ascii="Times New Roman" w:hAnsi="Times New Roman" w:cs="Times New Roman"/>
                <w:color w:val="000000"/>
                <w:sz w:val="20"/>
                <w:szCs w:val="20"/>
                <w:lang w:eastAsia="pt-BR"/>
              </w:rPr>
            </w:pPr>
          </w:p>
        </w:tc>
        <w:tc>
          <w:tcPr>
            <w:tcW w:w="1985" w:type="dxa"/>
            <w:shd w:val="clear" w:color="auto" w:fill="auto"/>
            <w:vAlign w:val="center"/>
            <w:hideMark/>
          </w:tcPr>
          <w:p w14:paraId="20CA1A05"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Especies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acuícolas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abundantes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todavía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explotadas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adecuadamente.</w:t>
            </w:r>
          </w:p>
        </w:tc>
        <w:tc>
          <w:tcPr>
            <w:tcW w:w="2126" w:type="dxa"/>
            <w:shd w:val="clear" w:color="auto" w:fill="auto"/>
            <w:vAlign w:val="center"/>
            <w:hideMark/>
          </w:tcPr>
          <w:p w14:paraId="0454EDB0"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Aumento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productividad,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deterioro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genético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gravedad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epidemias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causadas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enfermedades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infecciosas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requieren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acciones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urgentes.</w:t>
            </w:r>
          </w:p>
        </w:tc>
        <w:tc>
          <w:tcPr>
            <w:tcW w:w="2082" w:type="dxa"/>
            <w:shd w:val="clear" w:color="auto" w:fill="auto"/>
            <w:vAlign w:val="center"/>
            <w:hideMark/>
          </w:tcPr>
          <w:p w14:paraId="492F316F"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Presenta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amplitud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regional,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tanto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relativo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como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cuencas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hidrográficas,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particularidades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cada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subregión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(variedad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especies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acuíferas).</w:t>
            </w:r>
          </w:p>
        </w:tc>
        <w:tc>
          <w:tcPr>
            <w:tcW w:w="2029" w:type="dxa"/>
            <w:shd w:val="clear" w:color="auto" w:fill="auto"/>
            <w:vAlign w:val="center"/>
            <w:hideMark/>
          </w:tcPr>
          <w:p w14:paraId="32884784"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componente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nuclear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participa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una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extensa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cadena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procesos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biotecnológicos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complejos.</w:t>
            </w:r>
          </w:p>
        </w:tc>
        <w:tc>
          <w:tcPr>
            <w:tcW w:w="938" w:type="dxa"/>
            <w:shd w:val="clear" w:color="auto" w:fill="auto"/>
            <w:vAlign w:val="center"/>
            <w:hideMark/>
          </w:tcPr>
          <w:p w14:paraId="312C64C7"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1614" w:type="dxa"/>
            <w:shd w:val="clear" w:color="auto" w:fill="auto"/>
            <w:vAlign w:val="center"/>
            <w:hideMark/>
          </w:tcPr>
          <w:p w14:paraId="0F22E742"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Requiere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capacitaciones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especializadas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coordinación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número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elevado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instituciones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(técnicas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empresariales).</w:t>
            </w:r>
          </w:p>
        </w:tc>
        <w:tc>
          <w:tcPr>
            <w:tcW w:w="566" w:type="dxa"/>
            <w:shd w:val="clear" w:color="auto" w:fill="auto"/>
            <w:vAlign w:val="center"/>
            <w:hideMark/>
          </w:tcPr>
          <w:p w14:paraId="490E94F6"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709" w:type="dxa"/>
            <w:shd w:val="clear" w:color="auto" w:fill="auto"/>
            <w:vAlign w:val="center"/>
            <w:hideMark/>
          </w:tcPr>
          <w:p w14:paraId="4F756DDE"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r>
      <w:tr w:rsidR="00FE4F5F" w:rsidRPr="0064353C" w14:paraId="51D232CE" w14:textId="77777777" w:rsidTr="00E34F44">
        <w:trPr>
          <w:trHeight w:val="368"/>
        </w:trPr>
        <w:tc>
          <w:tcPr>
            <w:tcW w:w="425" w:type="dxa"/>
            <w:vMerge w:val="restart"/>
            <w:shd w:val="clear" w:color="auto" w:fill="0070C0"/>
            <w:vAlign w:val="center"/>
          </w:tcPr>
          <w:p w14:paraId="1317DE6C" w14:textId="09704568" w:rsidR="00FE4F5F"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4</w:t>
            </w:r>
          </w:p>
        </w:tc>
        <w:tc>
          <w:tcPr>
            <w:tcW w:w="1985" w:type="dxa"/>
            <w:vMerge w:val="restart"/>
            <w:shd w:val="clear" w:color="auto" w:fill="auto"/>
            <w:vAlign w:val="center"/>
            <w:hideMark/>
          </w:tcPr>
          <w:p w14:paraId="15BC92C1" w14:textId="77777777" w:rsidR="00FE4F5F" w:rsidRDefault="00FE4F5F" w:rsidP="00FE4F5F">
            <w:pPr>
              <w:spacing w:after="0"/>
              <w:jc w:val="center"/>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A6</w:t>
            </w:r>
          </w:p>
          <w:p w14:paraId="7E56AE75"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Daño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causado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plagas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alimentos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animales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vegetales.</w:t>
            </w:r>
          </w:p>
        </w:tc>
        <w:tc>
          <w:tcPr>
            <w:tcW w:w="1985" w:type="dxa"/>
            <w:shd w:val="clear" w:color="auto" w:fill="auto"/>
            <w:vAlign w:val="center"/>
            <w:hideMark/>
          </w:tcPr>
          <w:p w14:paraId="5E6FAF1F"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4.38</w:t>
            </w:r>
          </w:p>
        </w:tc>
        <w:tc>
          <w:tcPr>
            <w:tcW w:w="2126" w:type="dxa"/>
            <w:shd w:val="clear" w:color="auto" w:fill="auto"/>
            <w:vAlign w:val="center"/>
            <w:hideMark/>
          </w:tcPr>
          <w:p w14:paraId="7D9E1266"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4.38</w:t>
            </w:r>
          </w:p>
        </w:tc>
        <w:tc>
          <w:tcPr>
            <w:tcW w:w="2082" w:type="dxa"/>
            <w:shd w:val="clear" w:color="auto" w:fill="auto"/>
            <w:vAlign w:val="center"/>
            <w:hideMark/>
          </w:tcPr>
          <w:p w14:paraId="3434C09A"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4.56</w:t>
            </w:r>
          </w:p>
        </w:tc>
        <w:tc>
          <w:tcPr>
            <w:tcW w:w="2029" w:type="dxa"/>
            <w:shd w:val="clear" w:color="auto" w:fill="auto"/>
            <w:vAlign w:val="center"/>
            <w:hideMark/>
          </w:tcPr>
          <w:p w14:paraId="66CD9D00"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4.38</w:t>
            </w:r>
          </w:p>
        </w:tc>
        <w:tc>
          <w:tcPr>
            <w:tcW w:w="938" w:type="dxa"/>
            <w:shd w:val="clear" w:color="auto" w:fill="auto"/>
            <w:vAlign w:val="center"/>
            <w:hideMark/>
          </w:tcPr>
          <w:p w14:paraId="790CE6A8"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17.66</w:t>
            </w:r>
          </w:p>
        </w:tc>
        <w:tc>
          <w:tcPr>
            <w:tcW w:w="1614" w:type="dxa"/>
            <w:shd w:val="clear" w:color="auto" w:fill="auto"/>
            <w:vAlign w:val="center"/>
            <w:hideMark/>
          </w:tcPr>
          <w:p w14:paraId="7EF9BD2E"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2.5</w:t>
            </w:r>
          </w:p>
        </w:tc>
        <w:tc>
          <w:tcPr>
            <w:tcW w:w="566" w:type="dxa"/>
            <w:shd w:val="clear" w:color="auto" w:fill="auto"/>
            <w:vAlign w:val="center"/>
            <w:hideMark/>
          </w:tcPr>
          <w:p w14:paraId="4DDB7B2E"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1.75</w:t>
            </w:r>
          </w:p>
        </w:tc>
        <w:tc>
          <w:tcPr>
            <w:tcW w:w="709" w:type="dxa"/>
            <w:shd w:val="clear" w:color="auto" w:fill="auto"/>
            <w:vAlign w:val="center"/>
            <w:hideMark/>
          </w:tcPr>
          <w:p w14:paraId="78117C15"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30.94</w:t>
            </w:r>
          </w:p>
        </w:tc>
      </w:tr>
      <w:tr w:rsidR="00FE4F5F" w:rsidRPr="0064353C" w14:paraId="331061CC" w14:textId="77777777" w:rsidTr="00E34F44">
        <w:trPr>
          <w:trHeight w:val="81"/>
        </w:trPr>
        <w:tc>
          <w:tcPr>
            <w:tcW w:w="425" w:type="dxa"/>
            <w:vMerge/>
            <w:vAlign w:val="center"/>
          </w:tcPr>
          <w:p w14:paraId="07F3E860" w14:textId="77777777" w:rsidR="00FE4F5F" w:rsidRPr="0064353C" w:rsidRDefault="00FE4F5F" w:rsidP="00FE4F5F">
            <w:pPr>
              <w:spacing w:after="0"/>
              <w:jc w:val="center"/>
              <w:rPr>
                <w:rFonts w:ascii="Times New Roman" w:hAnsi="Times New Roman" w:cs="Times New Roman"/>
                <w:b/>
                <w:bCs/>
                <w:color w:val="FFFFFF"/>
                <w:sz w:val="20"/>
                <w:szCs w:val="20"/>
                <w:lang w:eastAsia="pt-BR"/>
              </w:rPr>
            </w:pPr>
          </w:p>
        </w:tc>
        <w:tc>
          <w:tcPr>
            <w:tcW w:w="1985" w:type="dxa"/>
            <w:vMerge/>
            <w:vAlign w:val="center"/>
            <w:hideMark/>
          </w:tcPr>
          <w:p w14:paraId="33264EB1" w14:textId="77777777" w:rsidR="00FE4F5F" w:rsidRPr="0064353C" w:rsidRDefault="00FE4F5F" w:rsidP="00FE4F5F">
            <w:pPr>
              <w:spacing w:after="0"/>
              <w:jc w:val="center"/>
              <w:rPr>
                <w:rFonts w:ascii="Times New Roman" w:hAnsi="Times New Roman" w:cs="Times New Roman"/>
                <w:color w:val="000000"/>
                <w:sz w:val="20"/>
                <w:szCs w:val="20"/>
                <w:lang w:eastAsia="pt-BR"/>
              </w:rPr>
            </w:pPr>
          </w:p>
        </w:tc>
        <w:tc>
          <w:tcPr>
            <w:tcW w:w="1985" w:type="dxa"/>
            <w:shd w:val="clear" w:color="auto" w:fill="auto"/>
            <w:vAlign w:val="center"/>
            <w:hideMark/>
          </w:tcPr>
          <w:p w14:paraId="518DB821" w14:textId="6393A90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Pérdida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valor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económico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productos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origen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animal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vegetal,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grandes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efectos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economías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regionales.</w:t>
            </w:r>
          </w:p>
        </w:tc>
        <w:tc>
          <w:tcPr>
            <w:tcW w:w="2126" w:type="dxa"/>
            <w:shd w:val="clear" w:color="auto" w:fill="auto"/>
            <w:vAlign w:val="center"/>
            <w:hideMark/>
          </w:tcPr>
          <w:p w14:paraId="44DDA6C0"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descuido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puede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generar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aumento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aparecimiento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plagas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sorpresivamente.</w:t>
            </w:r>
          </w:p>
        </w:tc>
        <w:tc>
          <w:tcPr>
            <w:tcW w:w="2082" w:type="dxa"/>
            <w:shd w:val="clear" w:color="auto" w:fill="auto"/>
            <w:vAlign w:val="center"/>
            <w:hideMark/>
          </w:tcPr>
          <w:p w14:paraId="0652E8A6"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Plagas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presentes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toda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(excepto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Chile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moscas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fruta),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especial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aéreas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producción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frutas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hortalizas,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ganado.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Tiene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carácter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transfronterizo.</w:t>
            </w:r>
          </w:p>
        </w:tc>
        <w:tc>
          <w:tcPr>
            <w:tcW w:w="2029" w:type="dxa"/>
            <w:shd w:val="clear" w:color="auto" w:fill="auto"/>
            <w:vAlign w:val="center"/>
            <w:hideMark/>
          </w:tcPr>
          <w:p w14:paraId="35B3D410"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tecnología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nuclear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tiene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ventaja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eliminar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problema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sin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uso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agroquímicos.</w:t>
            </w:r>
          </w:p>
        </w:tc>
        <w:tc>
          <w:tcPr>
            <w:tcW w:w="938" w:type="dxa"/>
            <w:shd w:val="clear" w:color="auto" w:fill="auto"/>
            <w:vAlign w:val="center"/>
            <w:hideMark/>
          </w:tcPr>
          <w:p w14:paraId="4EDB46A6"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1614" w:type="dxa"/>
            <w:shd w:val="clear" w:color="auto" w:fill="auto"/>
            <w:vAlign w:val="center"/>
            <w:hideMark/>
          </w:tcPr>
          <w:p w14:paraId="4D322A2B"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Requiere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capacitaciones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especializadas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coordinación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número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elevado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instituciones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(técnicas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empresariales).</w:t>
            </w:r>
          </w:p>
        </w:tc>
        <w:tc>
          <w:tcPr>
            <w:tcW w:w="566" w:type="dxa"/>
            <w:shd w:val="clear" w:color="auto" w:fill="auto"/>
            <w:vAlign w:val="center"/>
            <w:hideMark/>
          </w:tcPr>
          <w:p w14:paraId="188881A0"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709" w:type="dxa"/>
            <w:shd w:val="clear" w:color="auto" w:fill="auto"/>
            <w:vAlign w:val="center"/>
            <w:hideMark/>
          </w:tcPr>
          <w:p w14:paraId="47E18DF9"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r>
      <w:tr w:rsidR="00FE4F5F" w:rsidRPr="0064353C" w14:paraId="524E31DF" w14:textId="77777777" w:rsidTr="00E34F44">
        <w:trPr>
          <w:trHeight w:val="300"/>
        </w:trPr>
        <w:tc>
          <w:tcPr>
            <w:tcW w:w="425" w:type="dxa"/>
            <w:vMerge w:val="restart"/>
            <w:shd w:val="clear" w:color="auto" w:fill="0070C0"/>
            <w:vAlign w:val="center"/>
          </w:tcPr>
          <w:p w14:paraId="1FE95629" w14:textId="33236725" w:rsidR="0064353C"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5</w:t>
            </w:r>
          </w:p>
        </w:tc>
        <w:tc>
          <w:tcPr>
            <w:tcW w:w="1985" w:type="dxa"/>
            <w:vMerge w:val="restart"/>
            <w:shd w:val="clear" w:color="auto" w:fill="auto"/>
            <w:vAlign w:val="center"/>
            <w:hideMark/>
          </w:tcPr>
          <w:p w14:paraId="52A212AF" w14:textId="77777777" w:rsidR="006F1A19" w:rsidRDefault="006F1A19" w:rsidP="00FE4F5F">
            <w:pPr>
              <w:spacing w:after="0"/>
              <w:jc w:val="center"/>
              <w:rPr>
                <w:rFonts w:ascii="Times New Roman" w:hAnsi="Times New Roman"/>
                <w:color w:val="000000" w:themeColor="text1"/>
                <w:sz w:val="20"/>
              </w:rPr>
            </w:pPr>
            <w:r>
              <w:rPr>
                <w:rFonts w:ascii="Times New Roman" w:hAnsi="Times New Roman"/>
                <w:color w:val="000000" w:themeColor="text1"/>
                <w:sz w:val="20"/>
              </w:rPr>
              <w:t>A1</w:t>
            </w:r>
          </w:p>
          <w:p w14:paraId="559B2A26" w14:textId="18132526"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lastRenderedPageBreak/>
              <w:t>Mejoramiento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prácticas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manejo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agua,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suelo,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agroquímicos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y</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biofertilizantes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(incluido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fijación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biológica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nitrógeno).</w:t>
            </w:r>
          </w:p>
        </w:tc>
        <w:tc>
          <w:tcPr>
            <w:tcW w:w="1985" w:type="dxa"/>
            <w:shd w:val="clear" w:color="auto" w:fill="auto"/>
            <w:vAlign w:val="center"/>
            <w:hideMark/>
          </w:tcPr>
          <w:p w14:paraId="3CACEA0B"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lastRenderedPageBreak/>
              <w:t>4.31</w:t>
            </w:r>
          </w:p>
        </w:tc>
        <w:tc>
          <w:tcPr>
            <w:tcW w:w="2126" w:type="dxa"/>
            <w:shd w:val="clear" w:color="auto" w:fill="auto"/>
            <w:vAlign w:val="center"/>
            <w:hideMark/>
          </w:tcPr>
          <w:p w14:paraId="509B7399"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4.5</w:t>
            </w:r>
          </w:p>
        </w:tc>
        <w:tc>
          <w:tcPr>
            <w:tcW w:w="2082" w:type="dxa"/>
            <w:shd w:val="clear" w:color="auto" w:fill="auto"/>
            <w:vAlign w:val="center"/>
            <w:hideMark/>
          </w:tcPr>
          <w:p w14:paraId="76AE98FC"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4.31</w:t>
            </w:r>
          </w:p>
        </w:tc>
        <w:tc>
          <w:tcPr>
            <w:tcW w:w="2029" w:type="dxa"/>
            <w:shd w:val="clear" w:color="auto" w:fill="auto"/>
            <w:vAlign w:val="center"/>
            <w:hideMark/>
          </w:tcPr>
          <w:p w14:paraId="232FE4AC"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4.44</w:t>
            </w:r>
          </w:p>
        </w:tc>
        <w:tc>
          <w:tcPr>
            <w:tcW w:w="938" w:type="dxa"/>
            <w:shd w:val="clear" w:color="auto" w:fill="auto"/>
            <w:vAlign w:val="center"/>
            <w:hideMark/>
          </w:tcPr>
          <w:p w14:paraId="7F646E53"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17.56</w:t>
            </w:r>
          </w:p>
        </w:tc>
        <w:tc>
          <w:tcPr>
            <w:tcW w:w="1614" w:type="dxa"/>
            <w:shd w:val="clear" w:color="auto" w:fill="auto"/>
            <w:vAlign w:val="center"/>
            <w:hideMark/>
          </w:tcPr>
          <w:p w14:paraId="4AE9702C"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1.75</w:t>
            </w:r>
          </w:p>
        </w:tc>
        <w:tc>
          <w:tcPr>
            <w:tcW w:w="566" w:type="dxa"/>
            <w:shd w:val="clear" w:color="auto" w:fill="auto"/>
            <w:vAlign w:val="center"/>
            <w:hideMark/>
          </w:tcPr>
          <w:p w14:paraId="788111EF"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2.5</w:t>
            </w:r>
          </w:p>
        </w:tc>
        <w:tc>
          <w:tcPr>
            <w:tcW w:w="709" w:type="dxa"/>
            <w:shd w:val="clear" w:color="auto" w:fill="auto"/>
            <w:vAlign w:val="center"/>
            <w:hideMark/>
          </w:tcPr>
          <w:p w14:paraId="0A9A08BF"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43.9</w:t>
            </w:r>
          </w:p>
        </w:tc>
      </w:tr>
      <w:tr w:rsidR="00FE4F5F" w:rsidRPr="0064353C" w14:paraId="4347D9AF" w14:textId="77777777" w:rsidTr="00E34F44">
        <w:trPr>
          <w:trHeight w:val="2370"/>
        </w:trPr>
        <w:tc>
          <w:tcPr>
            <w:tcW w:w="425" w:type="dxa"/>
            <w:vMerge/>
            <w:vAlign w:val="center"/>
          </w:tcPr>
          <w:p w14:paraId="1CDC117B" w14:textId="2EB39566" w:rsidR="0064353C" w:rsidRPr="0064353C" w:rsidRDefault="0064353C" w:rsidP="00FE4F5F">
            <w:pPr>
              <w:spacing w:after="0"/>
              <w:jc w:val="center"/>
              <w:rPr>
                <w:rFonts w:ascii="Times New Roman" w:hAnsi="Times New Roman" w:cs="Times New Roman"/>
                <w:b/>
                <w:bCs/>
                <w:color w:val="FFFFFF"/>
                <w:sz w:val="20"/>
                <w:szCs w:val="20"/>
                <w:lang w:eastAsia="pt-BR"/>
              </w:rPr>
            </w:pPr>
          </w:p>
        </w:tc>
        <w:tc>
          <w:tcPr>
            <w:tcW w:w="1985" w:type="dxa"/>
            <w:vMerge/>
            <w:vAlign w:val="center"/>
            <w:hideMark/>
          </w:tcPr>
          <w:p w14:paraId="41974A84" w14:textId="77777777" w:rsidR="0064353C" w:rsidRPr="0064353C" w:rsidRDefault="0064353C" w:rsidP="00FE4F5F">
            <w:pPr>
              <w:spacing w:after="0"/>
              <w:jc w:val="center"/>
              <w:rPr>
                <w:rFonts w:ascii="Times New Roman" w:hAnsi="Times New Roman" w:cs="Times New Roman"/>
                <w:color w:val="000000"/>
                <w:sz w:val="20"/>
                <w:szCs w:val="20"/>
                <w:lang w:eastAsia="pt-BR"/>
              </w:rPr>
            </w:pPr>
          </w:p>
        </w:tc>
        <w:tc>
          <w:tcPr>
            <w:tcW w:w="1985" w:type="dxa"/>
            <w:shd w:val="clear" w:color="auto" w:fill="auto"/>
            <w:vAlign w:val="center"/>
            <w:hideMark/>
          </w:tcPr>
          <w:p w14:paraId="64127195" w14:textId="3BCAA066"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presenta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suelos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agrícolas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muy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pobres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nutrientes,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además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están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sujetos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degradación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por</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manejo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inadecuado.</w:t>
            </w:r>
          </w:p>
        </w:tc>
        <w:tc>
          <w:tcPr>
            <w:tcW w:w="2126" w:type="dxa"/>
            <w:shd w:val="clear" w:color="auto" w:fill="auto"/>
            <w:vAlign w:val="center"/>
            <w:hideMark/>
          </w:tcPr>
          <w:p w14:paraId="329C53D8" w14:textId="62F4CBE8"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Demanda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mundial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por</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alimentos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requiere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urgente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desarrollo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sistemas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agrícolas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sostenibles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aumento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producción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control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degradación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tierras.</w:t>
            </w:r>
          </w:p>
        </w:tc>
        <w:tc>
          <w:tcPr>
            <w:tcW w:w="2082" w:type="dxa"/>
            <w:shd w:val="clear" w:color="auto" w:fill="auto"/>
            <w:vAlign w:val="center"/>
            <w:hideMark/>
          </w:tcPr>
          <w:p w14:paraId="324962D5" w14:textId="404307EB"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Afecta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toda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diferentes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grados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magnitud</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subregiones.</w:t>
            </w:r>
          </w:p>
        </w:tc>
        <w:tc>
          <w:tcPr>
            <w:tcW w:w="2029" w:type="dxa"/>
            <w:shd w:val="clear" w:color="auto" w:fill="auto"/>
            <w:vAlign w:val="center"/>
            <w:hideMark/>
          </w:tcPr>
          <w:p w14:paraId="4461454B" w14:textId="2CE49E3D"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Trazadores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nucleares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ayudan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evaluación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eficiencia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prácticas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agrícolas,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permitiendo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uso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racional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insumos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permiten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determinar</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extensión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degradación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tierras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monitoreo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proceso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recuperación.</w:t>
            </w:r>
          </w:p>
        </w:tc>
        <w:tc>
          <w:tcPr>
            <w:tcW w:w="938" w:type="dxa"/>
            <w:shd w:val="clear" w:color="auto" w:fill="auto"/>
            <w:vAlign w:val="center"/>
            <w:hideMark/>
          </w:tcPr>
          <w:p w14:paraId="62AC25C3"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c>
          <w:tcPr>
            <w:tcW w:w="1614" w:type="dxa"/>
            <w:shd w:val="clear" w:color="auto" w:fill="auto"/>
            <w:vAlign w:val="center"/>
            <w:hideMark/>
          </w:tcPr>
          <w:p w14:paraId="013189AD" w14:textId="5477DB05"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Existencia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metodologías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consolidadas,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pero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limitada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aplicación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debido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baja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difusión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entrenamiento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usuarios,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baja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disponibilidad</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laboratorios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funcionales.</w:t>
            </w:r>
          </w:p>
        </w:tc>
        <w:tc>
          <w:tcPr>
            <w:tcW w:w="566" w:type="dxa"/>
            <w:shd w:val="clear" w:color="auto" w:fill="auto"/>
            <w:vAlign w:val="center"/>
            <w:hideMark/>
          </w:tcPr>
          <w:p w14:paraId="647B7189"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c>
          <w:tcPr>
            <w:tcW w:w="709" w:type="dxa"/>
            <w:shd w:val="clear" w:color="auto" w:fill="auto"/>
            <w:vAlign w:val="center"/>
            <w:hideMark/>
          </w:tcPr>
          <w:p w14:paraId="6EBF7DBE"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r>
      <w:tr w:rsidR="00FE4F5F" w:rsidRPr="0064353C" w14:paraId="46C75708" w14:textId="77777777" w:rsidTr="00E34F44">
        <w:trPr>
          <w:trHeight w:val="300"/>
        </w:trPr>
        <w:tc>
          <w:tcPr>
            <w:tcW w:w="425" w:type="dxa"/>
            <w:vMerge w:val="restart"/>
            <w:shd w:val="clear" w:color="auto" w:fill="0070C0"/>
            <w:vAlign w:val="center"/>
          </w:tcPr>
          <w:p w14:paraId="4EEF47DA" w14:textId="7038D167" w:rsidR="0064353C"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6</w:t>
            </w:r>
          </w:p>
        </w:tc>
        <w:tc>
          <w:tcPr>
            <w:tcW w:w="1985" w:type="dxa"/>
            <w:vMerge w:val="restart"/>
            <w:shd w:val="clear" w:color="auto" w:fill="FFFFFF" w:themeFill="background1"/>
            <w:vAlign w:val="center"/>
            <w:hideMark/>
          </w:tcPr>
          <w:p w14:paraId="086642CF" w14:textId="77777777" w:rsidR="00FE4F5F" w:rsidRDefault="00FE4F5F" w:rsidP="00FE4F5F">
            <w:pPr>
              <w:spacing w:after="0"/>
              <w:jc w:val="center"/>
              <w:rPr>
                <w:rFonts w:ascii="Times New Roman" w:hAnsi="Times New Roman"/>
                <w:color w:val="000000" w:themeColor="text1"/>
                <w:sz w:val="20"/>
              </w:rPr>
            </w:pPr>
            <w:r>
              <w:rPr>
                <w:rFonts w:ascii="Times New Roman" w:hAnsi="Times New Roman"/>
                <w:color w:val="000000" w:themeColor="text1"/>
                <w:sz w:val="20"/>
              </w:rPr>
              <w:t>A3</w:t>
            </w:r>
          </w:p>
          <w:p w14:paraId="555789AF" w14:textId="4D259F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t>Mejoramiento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animales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reconocida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importancia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económica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y</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apoyo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iniciativas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para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mejorar</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el</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rendimiento/producción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y</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el</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potencial</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comercial</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animales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biodiversidad</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regional.</w:t>
            </w:r>
          </w:p>
        </w:tc>
        <w:tc>
          <w:tcPr>
            <w:tcW w:w="1985" w:type="dxa"/>
            <w:shd w:val="clear" w:color="auto" w:fill="FFFFFF" w:themeFill="background1"/>
            <w:vAlign w:val="center"/>
            <w:hideMark/>
          </w:tcPr>
          <w:p w14:paraId="1A49E168"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4.31</w:t>
            </w:r>
          </w:p>
        </w:tc>
        <w:tc>
          <w:tcPr>
            <w:tcW w:w="2126" w:type="dxa"/>
            <w:shd w:val="clear" w:color="auto" w:fill="FFFFFF" w:themeFill="background1"/>
            <w:vAlign w:val="center"/>
            <w:hideMark/>
          </w:tcPr>
          <w:p w14:paraId="1F591CAA"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4.62</w:t>
            </w:r>
          </w:p>
        </w:tc>
        <w:tc>
          <w:tcPr>
            <w:tcW w:w="2082" w:type="dxa"/>
            <w:shd w:val="clear" w:color="auto" w:fill="FFFFFF" w:themeFill="background1"/>
            <w:vAlign w:val="center"/>
            <w:hideMark/>
          </w:tcPr>
          <w:p w14:paraId="38AD5CFB"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4.38</w:t>
            </w:r>
          </w:p>
        </w:tc>
        <w:tc>
          <w:tcPr>
            <w:tcW w:w="2029" w:type="dxa"/>
            <w:shd w:val="clear" w:color="auto" w:fill="FFFFFF" w:themeFill="background1"/>
            <w:vAlign w:val="center"/>
            <w:hideMark/>
          </w:tcPr>
          <w:p w14:paraId="6DD4DE00"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4.25</w:t>
            </w:r>
          </w:p>
        </w:tc>
        <w:tc>
          <w:tcPr>
            <w:tcW w:w="938" w:type="dxa"/>
            <w:shd w:val="clear" w:color="auto" w:fill="FFFFFF" w:themeFill="background1"/>
            <w:vAlign w:val="center"/>
            <w:hideMark/>
          </w:tcPr>
          <w:p w14:paraId="1A559785"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17.56</w:t>
            </w:r>
          </w:p>
        </w:tc>
        <w:tc>
          <w:tcPr>
            <w:tcW w:w="1614" w:type="dxa"/>
            <w:shd w:val="clear" w:color="auto" w:fill="FFFFFF" w:themeFill="background1"/>
            <w:vAlign w:val="center"/>
            <w:hideMark/>
          </w:tcPr>
          <w:p w14:paraId="60A283FC"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2.19</w:t>
            </w:r>
          </w:p>
        </w:tc>
        <w:tc>
          <w:tcPr>
            <w:tcW w:w="566" w:type="dxa"/>
            <w:shd w:val="clear" w:color="auto" w:fill="FFFFFF" w:themeFill="background1"/>
            <w:vAlign w:val="center"/>
            <w:hideMark/>
          </w:tcPr>
          <w:p w14:paraId="55AE3D00"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1.94</w:t>
            </w:r>
          </w:p>
        </w:tc>
        <w:tc>
          <w:tcPr>
            <w:tcW w:w="709" w:type="dxa"/>
            <w:shd w:val="clear" w:color="auto" w:fill="FFFFFF" w:themeFill="background1"/>
            <w:vAlign w:val="center"/>
            <w:hideMark/>
          </w:tcPr>
          <w:p w14:paraId="18671CC4"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34.08</w:t>
            </w:r>
          </w:p>
        </w:tc>
      </w:tr>
      <w:tr w:rsidR="00FE4F5F" w:rsidRPr="0064353C" w14:paraId="2D474BED" w14:textId="77777777" w:rsidTr="00E34F44">
        <w:trPr>
          <w:trHeight w:val="1578"/>
        </w:trPr>
        <w:tc>
          <w:tcPr>
            <w:tcW w:w="425" w:type="dxa"/>
            <w:vMerge/>
            <w:vAlign w:val="center"/>
          </w:tcPr>
          <w:p w14:paraId="6862A0DA" w14:textId="561DB7EB" w:rsidR="0064353C" w:rsidRPr="0064353C" w:rsidRDefault="0064353C" w:rsidP="00FE4F5F">
            <w:pPr>
              <w:spacing w:after="0"/>
              <w:jc w:val="center"/>
              <w:rPr>
                <w:rFonts w:ascii="Times New Roman" w:hAnsi="Times New Roman" w:cs="Times New Roman"/>
                <w:b/>
                <w:bCs/>
                <w:color w:val="FFFFFF"/>
                <w:sz w:val="20"/>
                <w:szCs w:val="20"/>
                <w:lang w:eastAsia="pt-BR"/>
              </w:rPr>
            </w:pPr>
          </w:p>
        </w:tc>
        <w:tc>
          <w:tcPr>
            <w:tcW w:w="1985" w:type="dxa"/>
            <w:vMerge/>
            <w:vAlign w:val="center"/>
            <w:hideMark/>
          </w:tcPr>
          <w:p w14:paraId="2AC1A7F5" w14:textId="77777777" w:rsidR="0064353C" w:rsidRPr="0064353C" w:rsidRDefault="0064353C" w:rsidP="00FE4F5F">
            <w:pPr>
              <w:spacing w:after="0"/>
              <w:jc w:val="center"/>
              <w:rPr>
                <w:rFonts w:ascii="Times New Roman" w:hAnsi="Times New Roman" w:cs="Times New Roman"/>
                <w:color w:val="000000"/>
                <w:sz w:val="20"/>
                <w:szCs w:val="20"/>
                <w:lang w:eastAsia="pt-BR"/>
              </w:rPr>
            </w:pPr>
          </w:p>
        </w:tc>
        <w:tc>
          <w:tcPr>
            <w:tcW w:w="1985" w:type="dxa"/>
            <w:shd w:val="clear" w:color="auto" w:fill="FFFFFF" w:themeFill="background1"/>
            <w:vAlign w:val="center"/>
            <w:hideMark/>
          </w:tcPr>
          <w:p w14:paraId="625536E5" w14:textId="5AD8B4BE"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producción</w:t>
            </w:r>
            <w:r w:rsidR="00D136BB">
              <w:rPr>
                <w:rFonts w:ascii="Times New Roman" w:hAnsi="Times New Roman" w:cs="Times New Roman"/>
                <w:color w:val="000000" w:themeColor="text1"/>
                <w:sz w:val="20"/>
                <w:szCs w:val="20"/>
                <w:lang w:eastAsia="pt-BR"/>
              </w:rPr>
              <w:t xml:space="preserve"> </w:t>
            </w:r>
            <w:r w:rsidRPr="0064353C">
              <w:rPr>
                <w:rFonts w:ascii="Times New Roman" w:hAnsi="Times New Roman" w:cs="Times New Roman"/>
                <w:color w:val="000000" w:themeColor="text1"/>
                <w:sz w:val="20"/>
                <w:szCs w:val="20"/>
                <w:lang w:eastAsia="pt-BR"/>
              </w:rPr>
              <w:t>pecuaria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requiere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razas</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más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productivas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y</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eficientes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que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sea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adapten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condiciones</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climáticas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región</w:t>
            </w:r>
            <w:r w:rsidRPr="0064353C">
              <w:rPr>
                <w:rFonts w:ascii="Times New Roman" w:hAnsi="Times New Roman"/>
                <w:color w:val="000000" w:themeColor="text1"/>
                <w:sz w:val="20"/>
              </w:rPr>
              <w:t>.</w:t>
            </w:r>
          </w:p>
        </w:tc>
        <w:tc>
          <w:tcPr>
            <w:tcW w:w="2126" w:type="dxa"/>
            <w:shd w:val="clear" w:color="auto" w:fill="FFFFFF" w:themeFill="background1"/>
            <w:vAlign w:val="center"/>
            <w:hideMark/>
          </w:tcPr>
          <w:p w14:paraId="7A27E7AC" w14:textId="24C1F080"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t>El</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mejoramiento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animal</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tiene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efectos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largo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plazo,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por</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tanto,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requiere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acciones</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inmediatas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para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poder</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satisfacer</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creciente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demanda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carne.</w:t>
            </w:r>
          </w:p>
        </w:tc>
        <w:tc>
          <w:tcPr>
            <w:tcW w:w="2082" w:type="dxa"/>
            <w:shd w:val="clear" w:color="auto" w:fill="FFFFFF" w:themeFill="background1"/>
            <w:vAlign w:val="center"/>
            <w:hideMark/>
          </w:tcPr>
          <w:p w14:paraId="67EFB4AF" w14:textId="2F23AC90"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Presenta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amplitud</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regional,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particularidades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cada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subregión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(razas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especies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animales).</w:t>
            </w:r>
          </w:p>
        </w:tc>
        <w:tc>
          <w:tcPr>
            <w:tcW w:w="2029" w:type="dxa"/>
            <w:shd w:val="clear" w:color="auto" w:fill="FFFFFF" w:themeFill="background1"/>
            <w:vAlign w:val="center"/>
            <w:hideMark/>
          </w:tcPr>
          <w:p w14:paraId="71F37982" w14:textId="18863671"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t>Las</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técnicas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nucleares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participan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una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extensa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cadena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procesos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biotecnológicos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derivados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tecnología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nuclear.</w:t>
            </w:r>
          </w:p>
        </w:tc>
        <w:tc>
          <w:tcPr>
            <w:tcW w:w="938" w:type="dxa"/>
            <w:shd w:val="clear" w:color="auto" w:fill="FFFFFF" w:themeFill="background1"/>
            <w:vAlign w:val="center"/>
            <w:hideMark/>
          </w:tcPr>
          <w:p w14:paraId="24896B8F"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c>
          <w:tcPr>
            <w:tcW w:w="1614" w:type="dxa"/>
            <w:shd w:val="clear" w:color="auto" w:fill="FFFFFF" w:themeFill="background1"/>
            <w:vAlign w:val="center"/>
            <w:hideMark/>
          </w:tcPr>
          <w:p w14:paraId="46F02630" w14:textId="2A4A1F11"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t>Requiere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optimización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técnicas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integración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autoridades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competentes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los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países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para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acciones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efectivas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difusión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estas</w:t>
            </w:r>
            <w:r w:rsidR="00D136BB">
              <w:rPr>
                <w:rFonts w:ascii="Times New Roman" w:hAnsi="Times New Roman" w:cs="Times New Roman"/>
                <w:color w:val="000000" w:themeColor="text1"/>
                <w:sz w:val="20"/>
                <w:szCs w:val="20"/>
                <w:lang w:eastAsia="pt-BR"/>
              </w:rPr>
              <w:t xml:space="preserve"> </w:t>
            </w:r>
            <w:r w:rsidRPr="0064353C">
              <w:rPr>
                <w:rFonts w:ascii="Times New Roman" w:hAnsi="Times New Roman" w:cs="Times New Roman"/>
                <w:color w:val="000000" w:themeColor="text1"/>
                <w:sz w:val="20"/>
                <w:szCs w:val="20"/>
                <w:lang w:eastAsia="pt-BR"/>
              </w:rPr>
              <w:t>tecnologías</w:t>
            </w:r>
            <w:r w:rsidRPr="0064353C">
              <w:rPr>
                <w:rFonts w:ascii="Times New Roman" w:hAnsi="Times New Roman"/>
                <w:color w:val="000000" w:themeColor="text1"/>
                <w:sz w:val="20"/>
              </w:rPr>
              <w:t>.</w:t>
            </w:r>
          </w:p>
        </w:tc>
        <w:tc>
          <w:tcPr>
            <w:tcW w:w="566" w:type="dxa"/>
            <w:shd w:val="clear" w:color="auto" w:fill="FFFFFF" w:themeFill="background1"/>
            <w:vAlign w:val="center"/>
            <w:hideMark/>
          </w:tcPr>
          <w:p w14:paraId="05F5E618"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c>
          <w:tcPr>
            <w:tcW w:w="709" w:type="dxa"/>
            <w:shd w:val="clear" w:color="auto" w:fill="FFFFFF" w:themeFill="background1"/>
            <w:vAlign w:val="center"/>
            <w:hideMark/>
          </w:tcPr>
          <w:p w14:paraId="4588D45A"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r>
      <w:tr w:rsidR="00FE4F5F" w:rsidRPr="0064353C" w14:paraId="07276049" w14:textId="77777777" w:rsidTr="00E34F44">
        <w:trPr>
          <w:trHeight w:val="300"/>
        </w:trPr>
        <w:tc>
          <w:tcPr>
            <w:tcW w:w="425" w:type="dxa"/>
            <w:vMerge w:val="restart"/>
            <w:shd w:val="clear" w:color="auto" w:fill="0070C0"/>
            <w:vAlign w:val="center"/>
          </w:tcPr>
          <w:p w14:paraId="36841FCE" w14:textId="4EC649E3" w:rsidR="00FE4F5F"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7</w:t>
            </w:r>
          </w:p>
        </w:tc>
        <w:tc>
          <w:tcPr>
            <w:tcW w:w="1985" w:type="dxa"/>
            <w:vMerge w:val="restart"/>
            <w:shd w:val="clear" w:color="auto" w:fill="FFFFFF" w:themeFill="background1"/>
            <w:vAlign w:val="center"/>
            <w:hideMark/>
          </w:tcPr>
          <w:p w14:paraId="05C4FE14" w14:textId="77777777" w:rsidR="00FE4F5F" w:rsidRDefault="00FE4F5F" w:rsidP="00FE4F5F">
            <w:pPr>
              <w:spacing w:after="0"/>
              <w:jc w:val="center"/>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A5</w:t>
            </w:r>
          </w:p>
          <w:p w14:paraId="7153E961"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lastRenderedPageBreak/>
              <w:t>Disponibilidad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alimentos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origen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animal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(incluyendo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productos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derivados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acuicultura)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vegetal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cumplan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estándares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seguridad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calidad.</w:t>
            </w:r>
          </w:p>
        </w:tc>
        <w:tc>
          <w:tcPr>
            <w:tcW w:w="1985" w:type="dxa"/>
            <w:shd w:val="clear" w:color="auto" w:fill="FFFFFF" w:themeFill="background1"/>
            <w:vAlign w:val="center"/>
            <w:hideMark/>
          </w:tcPr>
          <w:p w14:paraId="3B2D1D35"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lastRenderedPageBreak/>
              <w:t>4.19</w:t>
            </w:r>
          </w:p>
        </w:tc>
        <w:tc>
          <w:tcPr>
            <w:tcW w:w="2126" w:type="dxa"/>
            <w:shd w:val="clear" w:color="auto" w:fill="FFFFFF" w:themeFill="background1"/>
            <w:vAlign w:val="center"/>
            <w:hideMark/>
          </w:tcPr>
          <w:p w14:paraId="4CC6548B"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4.19</w:t>
            </w:r>
          </w:p>
        </w:tc>
        <w:tc>
          <w:tcPr>
            <w:tcW w:w="2082" w:type="dxa"/>
            <w:shd w:val="clear" w:color="auto" w:fill="FFFFFF" w:themeFill="background1"/>
            <w:vAlign w:val="center"/>
            <w:hideMark/>
          </w:tcPr>
          <w:p w14:paraId="6FA62D9D"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4.13</w:t>
            </w:r>
          </w:p>
        </w:tc>
        <w:tc>
          <w:tcPr>
            <w:tcW w:w="2029" w:type="dxa"/>
            <w:shd w:val="clear" w:color="auto" w:fill="FFFFFF" w:themeFill="background1"/>
            <w:vAlign w:val="center"/>
            <w:hideMark/>
          </w:tcPr>
          <w:p w14:paraId="5530C710"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4.19</w:t>
            </w:r>
          </w:p>
        </w:tc>
        <w:tc>
          <w:tcPr>
            <w:tcW w:w="938" w:type="dxa"/>
            <w:shd w:val="clear" w:color="auto" w:fill="FFFFFF" w:themeFill="background1"/>
            <w:vAlign w:val="center"/>
            <w:hideMark/>
          </w:tcPr>
          <w:p w14:paraId="4B51815C"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16.7</w:t>
            </w:r>
          </w:p>
        </w:tc>
        <w:tc>
          <w:tcPr>
            <w:tcW w:w="1614" w:type="dxa"/>
            <w:shd w:val="clear" w:color="auto" w:fill="FFFFFF" w:themeFill="background1"/>
            <w:vAlign w:val="center"/>
            <w:hideMark/>
          </w:tcPr>
          <w:p w14:paraId="10DC8A61"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2.5</w:t>
            </w:r>
          </w:p>
        </w:tc>
        <w:tc>
          <w:tcPr>
            <w:tcW w:w="566" w:type="dxa"/>
            <w:shd w:val="clear" w:color="auto" w:fill="FFFFFF" w:themeFill="background1"/>
            <w:vAlign w:val="center"/>
            <w:hideMark/>
          </w:tcPr>
          <w:p w14:paraId="77B56A8D"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1.67</w:t>
            </w:r>
          </w:p>
        </w:tc>
        <w:tc>
          <w:tcPr>
            <w:tcW w:w="709" w:type="dxa"/>
            <w:shd w:val="clear" w:color="auto" w:fill="FFFFFF" w:themeFill="background1"/>
            <w:vAlign w:val="center"/>
            <w:hideMark/>
          </w:tcPr>
          <w:p w14:paraId="05C58FB9"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27.88</w:t>
            </w:r>
          </w:p>
        </w:tc>
      </w:tr>
      <w:tr w:rsidR="00FE4F5F" w:rsidRPr="0064353C" w14:paraId="26E53F30" w14:textId="77777777" w:rsidTr="00E34F44">
        <w:trPr>
          <w:trHeight w:val="3039"/>
        </w:trPr>
        <w:tc>
          <w:tcPr>
            <w:tcW w:w="425" w:type="dxa"/>
            <w:vMerge/>
            <w:vAlign w:val="center"/>
          </w:tcPr>
          <w:p w14:paraId="0CA58D37" w14:textId="77777777" w:rsidR="00FE4F5F" w:rsidRPr="0064353C" w:rsidRDefault="00FE4F5F" w:rsidP="00FE4F5F">
            <w:pPr>
              <w:spacing w:after="0"/>
              <w:jc w:val="center"/>
              <w:rPr>
                <w:rFonts w:ascii="Times New Roman" w:hAnsi="Times New Roman" w:cs="Times New Roman"/>
                <w:b/>
                <w:bCs/>
                <w:color w:val="FFFFFF"/>
                <w:sz w:val="20"/>
                <w:szCs w:val="20"/>
                <w:lang w:eastAsia="pt-BR"/>
              </w:rPr>
            </w:pPr>
          </w:p>
        </w:tc>
        <w:tc>
          <w:tcPr>
            <w:tcW w:w="1985" w:type="dxa"/>
            <w:vMerge/>
            <w:vAlign w:val="center"/>
            <w:hideMark/>
          </w:tcPr>
          <w:p w14:paraId="46272F67" w14:textId="77777777" w:rsidR="00FE4F5F" w:rsidRPr="0064353C" w:rsidRDefault="00FE4F5F" w:rsidP="00FE4F5F">
            <w:pPr>
              <w:spacing w:after="0"/>
              <w:jc w:val="center"/>
              <w:rPr>
                <w:rFonts w:ascii="Times New Roman" w:hAnsi="Times New Roman" w:cs="Times New Roman"/>
                <w:color w:val="000000"/>
                <w:sz w:val="20"/>
                <w:szCs w:val="20"/>
                <w:lang w:eastAsia="pt-BR"/>
              </w:rPr>
            </w:pPr>
          </w:p>
        </w:tc>
        <w:tc>
          <w:tcPr>
            <w:tcW w:w="1985" w:type="dxa"/>
            <w:shd w:val="clear" w:color="auto" w:fill="FFFFFF" w:themeFill="background1"/>
            <w:vAlign w:val="center"/>
            <w:hideMark/>
          </w:tcPr>
          <w:p w14:paraId="685253A3"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Además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riesgos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permanentes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salud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humana,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pérdidas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económicas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por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contaminación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alimentos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afecta</w:t>
            </w:r>
            <w:r>
              <w:rPr>
                <w:rFonts w:ascii="Times New Roman" w:hAnsi="Times New Roman" w:cs="Times New Roman"/>
                <w:color w:val="000000"/>
                <w:sz w:val="20"/>
                <w:szCs w:val="20"/>
                <w:lang w:eastAsia="pt-BR"/>
              </w:rPr>
              <w:t xml:space="preserve">n </w:t>
            </w:r>
            <w:r w:rsidRPr="0064353C">
              <w:rPr>
                <w:rFonts w:ascii="Times New Roman" w:hAnsi="Times New Roman" w:cs="Times New Roman"/>
                <w:color w:val="000000"/>
                <w:sz w:val="20"/>
                <w:szCs w:val="20"/>
                <w:lang w:eastAsia="pt-BR"/>
              </w:rPr>
              <w:t>seriamente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región.</w:t>
            </w:r>
          </w:p>
        </w:tc>
        <w:tc>
          <w:tcPr>
            <w:tcW w:w="2126" w:type="dxa"/>
            <w:shd w:val="clear" w:color="auto" w:fill="FFFFFF" w:themeFill="background1"/>
            <w:vAlign w:val="center"/>
            <w:hideMark/>
          </w:tcPr>
          <w:p w14:paraId="395F9086"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existencia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permanente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capacidad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instalada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monitorear</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contaminantes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alimentos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requerida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debido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imprevisibilidad</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ocurrencia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del</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problema.</w:t>
            </w:r>
          </w:p>
        </w:tc>
        <w:tc>
          <w:tcPr>
            <w:tcW w:w="2082" w:type="dxa"/>
            <w:shd w:val="clear" w:color="auto" w:fill="FFFFFF" w:themeFill="background1"/>
            <w:vAlign w:val="center"/>
            <w:hideMark/>
          </w:tcPr>
          <w:p w14:paraId="22382545"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Afecta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prácticamente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todos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países.</w:t>
            </w:r>
          </w:p>
        </w:tc>
        <w:tc>
          <w:tcPr>
            <w:tcW w:w="2029" w:type="dxa"/>
            <w:shd w:val="clear" w:color="auto" w:fill="FFFFFF" w:themeFill="background1"/>
            <w:vAlign w:val="center"/>
            <w:hideMark/>
          </w:tcPr>
          <w:p w14:paraId="5EFA9192"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Técnicas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nucleares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existentes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son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claves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procesos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detección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contaminantes.</w:t>
            </w:r>
          </w:p>
        </w:tc>
        <w:tc>
          <w:tcPr>
            <w:tcW w:w="938" w:type="dxa"/>
            <w:shd w:val="clear" w:color="auto" w:fill="FFFFFF" w:themeFill="background1"/>
            <w:vAlign w:val="center"/>
            <w:hideMark/>
          </w:tcPr>
          <w:p w14:paraId="4DAF6F25"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1614" w:type="dxa"/>
            <w:shd w:val="clear" w:color="auto" w:fill="FFFFFF" w:themeFill="background1"/>
            <w:vAlign w:val="center"/>
            <w:hideMark/>
          </w:tcPr>
          <w:p w14:paraId="5E47C7DD" w14:textId="77777777" w:rsidR="00FE4F5F" w:rsidRPr="0064353C" w:rsidRDefault="00FE4F5F"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Limitado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grado</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implementación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laboratorios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activos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estandarizados</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w:t>
            </w:r>
            <w:r>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región.</w:t>
            </w:r>
          </w:p>
        </w:tc>
        <w:tc>
          <w:tcPr>
            <w:tcW w:w="566" w:type="dxa"/>
            <w:shd w:val="clear" w:color="auto" w:fill="FFFFFF" w:themeFill="background1"/>
            <w:vAlign w:val="center"/>
            <w:hideMark/>
          </w:tcPr>
          <w:p w14:paraId="02CB58EF"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c>
          <w:tcPr>
            <w:tcW w:w="709" w:type="dxa"/>
            <w:shd w:val="clear" w:color="auto" w:fill="FFFFFF" w:themeFill="background1"/>
            <w:vAlign w:val="center"/>
            <w:hideMark/>
          </w:tcPr>
          <w:p w14:paraId="4E1F6EAA" w14:textId="77777777" w:rsidR="00FE4F5F" w:rsidRPr="0064353C" w:rsidRDefault="00FE4F5F" w:rsidP="00FE4F5F">
            <w:pPr>
              <w:spacing w:after="0"/>
              <w:jc w:val="center"/>
              <w:rPr>
                <w:rFonts w:ascii="Times New Roman" w:hAnsi="Times New Roman" w:cs="Times New Roman"/>
                <w:b/>
                <w:bCs/>
                <w:color w:val="000000"/>
                <w:sz w:val="20"/>
                <w:szCs w:val="20"/>
                <w:lang w:eastAsia="pt-BR"/>
              </w:rPr>
            </w:pPr>
          </w:p>
        </w:tc>
      </w:tr>
      <w:tr w:rsidR="00FE4F5F" w:rsidRPr="0064353C" w14:paraId="2D56D349" w14:textId="77777777" w:rsidTr="00E34F44">
        <w:trPr>
          <w:trHeight w:val="315"/>
        </w:trPr>
        <w:tc>
          <w:tcPr>
            <w:tcW w:w="425" w:type="dxa"/>
            <w:vMerge w:val="restart"/>
            <w:shd w:val="clear" w:color="auto" w:fill="0070C0"/>
            <w:vAlign w:val="center"/>
          </w:tcPr>
          <w:p w14:paraId="233884A9" w14:textId="280D71D7" w:rsidR="0064353C" w:rsidRPr="0064353C" w:rsidRDefault="00FE4F5F" w:rsidP="00FE4F5F">
            <w:pPr>
              <w:spacing w:after="0"/>
              <w:jc w:val="center"/>
              <w:rPr>
                <w:rFonts w:ascii="Times New Roman" w:hAnsi="Times New Roman" w:cs="Times New Roman"/>
                <w:b/>
                <w:bCs/>
                <w:color w:val="FFFFFF"/>
                <w:sz w:val="20"/>
                <w:szCs w:val="20"/>
                <w:lang w:eastAsia="pt-BR"/>
              </w:rPr>
            </w:pPr>
            <w:r>
              <w:rPr>
                <w:rFonts w:ascii="Times New Roman" w:hAnsi="Times New Roman" w:cs="Times New Roman"/>
                <w:b/>
                <w:bCs/>
                <w:color w:val="FFFFFF"/>
                <w:sz w:val="20"/>
                <w:szCs w:val="20"/>
                <w:lang w:eastAsia="pt-BR"/>
              </w:rPr>
              <w:t>8</w:t>
            </w:r>
          </w:p>
        </w:tc>
        <w:tc>
          <w:tcPr>
            <w:tcW w:w="1985" w:type="dxa"/>
            <w:vMerge w:val="restart"/>
            <w:shd w:val="clear" w:color="auto" w:fill="FFFFFF" w:themeFill="background1"/>
            <w:vAlign w:val="center"/>
            <w:hideMark/>
          </w:tcPr>
          <w:p w14:paraId="109DB6B2" w14:textId="77777777" w:rsidR="00FE4F5F" w:rsidRDefault="00FE4F5F" w:rsidP="00FE4F5F">
            <w:pPr>
              <w:spacing w:after="0"/>
              <w:jc w:val="center"/>
              <w:rPr>
                <w:rFonts w:ascii="Times New Roman" w:hAnsi="Times New Roman" w:cs="Times New Roman"/>
                <w:color w:val="000000"/>
                <w:sz w:val="20"/>
                <w:szCs w:val="20"/>
                <w:lang w:eastAsia="pt-BR"/>
              </w:rPr>
            </w:pPr>
            <w:r>
              <w:rPr>
                <w:rFonts w:ascii="Times New Roman" w:hAnsi="Times New Roman" w:cs="Times New Roman"/>
                <w:color w:val="000000"/>
                <w:sz w:val="20"/>
                <w:szCs w:val="20"/>
                <w:lang w:eastAsia="pt-BR"/>
              </w:rPr>
              <w:t xml:space="preserve">A4 </w:t>
            </w:r>
          </w:p>
          <w:p w14:paraId="4A461EC3" w14:textId="1591ACC5"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Ocurrencia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enfermedades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carácter</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transfronterizo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declaración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obligatoria,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incluyendo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aquellas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que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tienen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repercusiones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zoonóticas.</w:t>
            </w:r>
          </w:p>
        </w:tc>
        <w:tc>
          <w:tcPr>
            <w:tcW w:w="1985" w:type="dxa"/>
            <w:shd w:val="clear" w:color="auto" w:fill="FFFFFF" w:themeFill="background1"/>
            <w:vAlign w:val="center"/>
            <w:hideMark/>
          </w:tcPr>
          <w:p w14:paraId="7F16F0BC"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w:t>
            </w:r>
          </w:p>
        </w:tc>
        <w:tc>
          <w:tcPr>
            <w:tcW w:w="2126" w:type="dxa"/>
            <w:shd w:val="clear" w:color="auto" w:fill="FFFFFF" w:themeFill="background1"/>
            <w:vAlign w:val="center"/>
            <w:hideMark/>
          </w:tcPr>
          <w:p w14:paraId="2E1E4A98"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4.12</w:t>
            </w:r>
          </w:p>
        </w:tc>
        <w:tc>
          <w:tcPr>
            <w:tcW w:w="2082" w:type="dxa"/>
            <w:shd w:val="clear" w:color="auto" w:fill="FFFFFF" w:themeFill="background1"/>
            <w:vAlign w:val="center"/>
            <w:hideMark/>
          </w:tcPr>
          <w:p w14:paraId="5B206B14"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4.12</w:t>
            </w:r>
          </w:p>
        </w:tc>
        <w:tc>
          <w:tcPr>
            <w:tcW w:w="2029" w:type="dxa"/>
            <w:shd w:val="clear" w:color="auto" w:fill="FFFFFF" w:themeFill="background1"/>
            <w:vAlign w:val="center"/>
            <w:hideMark/>
          </w:tcPr>
          <w:p w14:paraId="05B8D182"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3.88</w:t>
            </w:r>
          </w:p>
        </w:tc>
        <w:tc>
          <w:tcPr>
            <w:tcW w:w="938" w:type="dxa"/>
            <w:shd w:val="clear" w:color="auto" w:fill="FFFFFF" w:themeFill="background1"/>
            <w:vAlign w:val="center"/>
            <w:hideMark/>
          </w:tcPr>
          <w:p w14:paraId="1E4A29A4"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16.12</w:t>
            </w:r>
          </w:p>
        </w:tc>
        <w:tc>
          <w:tcPr>
            <w:tcW w:w="1614" w:type="dxa"/>
            <w:shd w:val="clear" w:color="auto" w:fill="FFFFFF" w:themeFill="background1"/>
            <w:vAlign w:val="center"/>
            <w:hideMark/>
          </w:tcPr>
          <w:p w14:paraId="1E2C4203" w14:textId="7777777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2.06</w:t>
            </w:r>
          </w:p>
        </w:tc>
        <w:tc>
          <w:tcPr>
            <w:tcW w:w="566" w:type="dxa"/>
            <w:shd w:val="clear" w:color="auto" w:fill="FFFFFF" w:themeFill="background1"/>
            <w:vAlign w:val="center"/>
            <w:hideMark/>
          </w:tcPr>
          <w:p w14:paraId="22ED20DE"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1.88</w:t>
            </w:r>
          </w:p>
        </w:tc>
        <w:tc>
          <w:tcPr>
            <w:tcW w:w="709" w:type="dxa"/>
            <w:shd w:val="clear" w:color="auto" w:fill="FFFFFF" w:themeFill="background1"/>
            <w:vAlign w:val="center"/>
            <w:hideMark/>
          </w:tcPr>
          <w:p w14:paraId="7E12ABD4"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r w:rsidRPr="0064353C">
              <w:rPr>
                <w:rFonts w:ascii="Times New Roman" w:hAnsi="Times New Roman" w:cs="Times New Roman"/>
                <w:b/>
                <w:bCs/>
                <w:color w:val="000000"/>
                <w:sz w:val="20"/>
                <w:szCs w:val="20"/>
                <w:lang w:eastAsia="pt-BR"/>
              </w:rPr>
              <w:t>30.3</w:t>
            </w:r>
          </w:p>
        </w:tc>
      </w:tr>
      <w:tr w:rsidR="00FE4F5F" w:rsidRPr="0064353C" w14:paraId="3C3F86C0" w14:textId="77777777" w:rsidTr="00E34F44">
        <w:trPr>
          <w:trHeight w:val="1789"/>
        </w:trPr>
        <w:tc>
          <w:tcPr>
            <w:tcW w:w="425" w:type="dxa"/>
            <w:vMerge/>
            <w:vAlign w:val="center"/>
          </w:tcPr>
          <w:p w14:paraId="76F46751" w14:textId="0D7675D4" w:rsidR="0064353C" w:rsidRPr="0064353C" w:rsidRDefault="0064353C" w:rsidP="00FE4F5F">
            <w:pPr>
              <w:spacing w:after="0"/>
              <w:jc w:val="center"/>
              <w:rPr>
                <w:rFonts w:ascii="Times New Roman" w:hAnsi="Times New Roman" w:cs="Times New Roman"/>
                <w:b/>
                <w:bCs/>
                <w:color w:val="FFFFFF"/>
                <w:sz w:val="20"/>
                <w:szCs w:val="20"/>
                <w:lang w:eastAsia="pt-BR"/>
              </w:rPr>
            </w:pPr>
          </w:p>
        </w:tc>
        <w:tc>
          <w:tcPr>
            <w:tcW w:w="1985" w:type="dxa"/>
            <w:vMerge/>
            <w:vAlign w:val="center"/>
            <w:hideMark/>
          </w:tcPr>
          <w:p w14:paraId="192C796D" w14:textId="77777777" w:rsidR="0064353C" w:rsidRPr="0064353C" w:rsidRDefault="0064353C" w:rsidP="00FE4F5F">
            <w:pPr>
              <w:spacing w:after="0"/>
              <w:jc w:val="center"/>
              <w:rPr>
                <w:rFonts w:ascii="Times New Roman" w:hAnsi="Times New Roman" w:cs="Times New Roman"/>
                <w:color w:val="000000"/>
                <w:sz w:val="20"/>
                <w:szCs w:val="20"/>
                <w:lang w:eastAsia="pt-BR"/>
              </w:rPr>
            </w:pPr>
          </w:p>
        </w:tc>
        <w:tc>
          <w:tcPr>
            <w:tcW w:w="1985" w:type="dxa"/>
            <w:shd w:val="clear" w:color="auto" w:fill="FFFFFF" w:themeFill="background1"/>
            <w:vAlign w:val="center"/>
            <w:hideMark/>
          </w:tcPr>
          <w:p w14:paraId="5A3B0CC2" w14:textId="58F2270D"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t>Enfermedades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poseen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carácter</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emergente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y</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transfronterizo,</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con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potencial</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daños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graves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economía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y</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la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salud</w:t>
            </w:r>
            <w:r w:rsidR="00D136BB">
              <w:rPr>
                <w:rFonts w:ascii="Times New Roman" w:hAnsi="Times New Roman"/>
                <w:color w:val="000000" w:themeColor="text1"/>
                <w:sz w:val="20"/>
              </w:rPr>
              <w:t xml:space="preserve"> </w:t>
            </w:r>
            <w:r w:rsidRPr="0064353C">
              <w:rPr>
                <w:rFonts w:ascii="Times New Roman" w:hAnsi="Times New Roman" w:cs="Times New Roman"/>
                <w:color w:val="000000" w:themeColor="text1"/>
                <w:sz w:val="20"/>
                <w:szCs w:val="20"/>
                <w:lang w:eastAsia="pt-BR"/>
              </w:rPr>
              <w:t>pública</w:t>
            </w:r>
            <w:r w:rsidRPr="0064353C">
              <w:rPr>
                <w:rFonts w:ascii="Times New Roman" w:hAnsi="Times New Roman"/>
                <w:color w:val="000000" w:themeColor="text1"/>
                <w:sz w:val="20"/>
              </w:rPr>
              <w:t>.</w:t>
            </w:r>
          </w:p>
        </w:tc>
        <w:tc>
          <w:tcPr>
            <w:tcW w:w="2126" w:type="dxa"/>
            <w:shd w:val="clear" w:color="auto" w:fill="FFFFFF" w:themeFill="background1"/>
            <w:vAlign w:val="center"/>
            <w:hideMark/>
          </w:tcPr>
          <w:p w14:paraId="2665573A" w14:textId="5FD57A97"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Necesidad</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mantener</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estado</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vigilancia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constante,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coordinar</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respuestas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rápidas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efectivas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durante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epidemias.</w:t>
            </w:r>
          </w:p>
        </w:tc>
        <w:tc>
          <w:tcPr>
            <w:tcW w:w="2082" w:type="dxa"/>
            <w:shd w:val="clear" w:color="auto" w:fill="FFFFFF" w:themeFill="background1"/>
            <w:vAlign w:val="center"/>
            <w:hideMark/>
          </w:tcPr>
          <w:p w14:paraId="18D0235D" w14:textId="1FFFCCFE"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Presenta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amplitud</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regional</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y</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carácter</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transfronterizo.</w:t>
            </w:r>
          </w:p>
        </w:tc>
        <w:tc>
          <w:tcPr>
            <w:tcW w:w="2029" w:type="dxa"/>
            <w:shd w:val="clear" w:color="auto" w:fill="FFFFFF" w:themeFill="background1"/>
            <w:vAlign w:val="center"/>
            <w:hideMark/>
          </w:tcPr>
          <w:p w14:paraId="03E971B8" w14:textId="0ABF2E65"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olor w:val="000000" w:themeColor="text1"/>
                <w:sz w:val="20"/>
              </w:rPr>
              <w:t>El</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componente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nuclear</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participa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en</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una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extensa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cadena</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de</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procesos</w:t>
            </w:r>
            <w:r w:rsidR="00D136BB">
              <w:rPr>
                <w:rFonts w:ascii="Times New Roman" w:hAnsi="Times New Roman"/>
                <w:color w:val="000000" w:themeColor="text1"/>
                <w:sz w:val="20"/>
              </w:rPr>
              <w:t xml:space="preserve"> </w:t>
            </w:r>
            <w:r w:rsidRPr="0064353C">
              <w:rPr>
                <w:rFonts w:ascii="Times New Roman" w:hAnsi="Times New Roman"/>
                <w:color w:val="000000" w:themeColor="text1"/>
                <w:sz w:val="20"/>
              </w:rPr>
              <w:t>biotecnológicos.</w:t>
            </w:r>
          </w:p>
        </w:tc>
        <w:tc>
          <w:tcPr>
            <w:tcW w:w="938" w:type="dxa"/>
            <w:shd w:val="clear" w:color="auto" w:fill="FFFFFF" w:themeFill="background1"/>
            <w:vAlign w:val="center"/>
            <w:hideMark/>
          </w:tcPr>
          <w:p w14:paraId="2DBC4589"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c>
          <w:tcPr>
            <w:tcW w:w="1614" w:type="dxa"/>
            <w:shd w:val="clear" w:color="auto" w:fill="FFFFFF" w:themeFill="background1"/>
            <w:vAlign w:val="center"/>
            <w:hideMark/>
          </w:tcPr>
          <w:p w14:paraId="2AC45A42" w14:textId="07908698" w:rsidR="0064353C" w:rsidRPr="0064353C" w:rsidRDefault="0064353C" w:rsidP="00FE4F5F">
            <w:pPr>
              <w:spacing w:after="0"/>
              <w:jc w:val="center"/>
              <w:rPr>
                <w:rFonts w:ascii="Times New Roman" w:hAnsi="Times New Roman" w:cs="Times New Roman"/>
                <w:color w:val="000000"/>
                <w:sz w:val="20"/>
                <w:szCs w:val="20"/>
                <w:lang w:eastAsia="pt-BR"/>
              </w:rPr>
            </w:pPr>
            <w:r w:rsidRPr="0064353C">
              <w:rPr>
                <w:rFonts w:ascii="Times New Roman" w:hAnsi="Times New Roman" w:cs="Times New Roman"/>
                <w:color w:val="000000"/>
                <w:sz w:val="20"/>
                <w:szCs w:val="20"/>
                <w:lang w:eastAsia="pt-BR"/>
              </w:rPr>
              <w:t>Requiere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optimización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técnicas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integración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autoridades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competentes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los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países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para</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acciones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efectivas</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situación</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de</w:t>
            </w:r>
            <w:r w:rsidR="00D136BB">
              <w:rPr>
                <w:rFonts w:ascii="Times New Roman" w:hAnsi="Times New Roman" w:cs="Times New Roman"/>
                <w:color w:val="000000"/>
                <w:sz w:val="20"/>
                <w:szCs w:val="20"/>
                <w:lang w:eastAsia="pt-BR"/>
              </w:rPr>
              <w:t xml:space="preserve"> </w:t>
            </w:r>
            <w:r w:rsidRPr="0064353C">
              <w:rPr>
                <w:rFonts w:ascii="Times New Roman" w:hAnsi="Times New Roman" w:cs="Times New Roman"/>
                <w:color w:val="000000"/>
                <w:sz w:val="20"/>
                <w:szCs w:val="20"/>
                <w:lang w:eastAsia="pt-BR"/>
              </w:rPr>
              <w:t>epidemia.</w:t>
            </w:r>
          </w:p>
        </w:tc>
        <w:tc>
          <w:tcPr>
            <w:tcW w:w="566" w:type="dxa"/>
            <w:shd w:val="clear" w:color="auto" w:fill="FFFFFF" w:themeFill="background1"/>
            <w:vAlign w:val="center"/>
            <w:hideMark/>
          </w:tcPr>
          <w:p w14:paraId="49C76660"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c>
          <w:tcPr>
            <w:tcW w:w="709" w:type="dxa"/>
            <w:shd w:val="clear" w:color="auto" w:fill="FFFFFF" w:themeFill="background1"/>
            <w:vAlign w:val="center"/>
            <w:hideMark/>
          </w:tcPr>
          <w:p w14:paraId="01AF46E6" w14:textId="77777777" w:rsidR="0064353C" w:rsidRPr="0064353C" w:rsidRDefault="0064353C" w:rsidP="00FE4F5F">
            <w:pPr>
              <w:spacing w:after="0"/>
              <w:jc w:val="center"/>
              <w:rPr>
                <w:rFonts w:ascii="Times New Roman" w:hAnsi="Times New Roman" w:cs="Times New Roman"/>
                <w:b/>
                <w:bCs/>
                <w:color w:val="000000"/>
                <w:sz w:val="20"/>
                <w:szCs w:val="20"/>
                <w:lang w:eastAsia="pt-BR"/>
              </w:rPr>
            </w:pPr>
          </w:p>
        </w:tc>
      </w:tr>
    </w:tbl>
    <w:p w14:paraId="1CE2C996" w14:textId="7BDE610D" w:rsidR="0064353C" w:rsidRDefault="0064353C" w:rsidP="0064353C">
      <w:pPr>
        <w:rPr>
          <w:b/>
          <w:color w:val="000000"/>
        </w:rPr>
      </w:pPr>
    </w:p>
    <w:p w14:paraId="1D3E382B" w14:textId="62D89C15" w:rsidR="006F1A19" w:rsidRDefault="006F1A19" w:rsidP="006F1A19">
      <w:pPr>
        <w:jc w:val="center"/>
        <w:rPr>
          <w:b/>
          <w:color w:val="000000"/>
        </w:rPr>
      </w:pPr>
      <w:r>
        <w:rPr>
          <w:b/>
          <w:noProof/>
          <w:color w:val="000000"/>
          <w:lang w:val="pt-BR" w:eastAsia="pt-BR"/>
        </w:rPr>
        <w:lastRenderedPageBreak/>
        <w:drawing>
          <wp:inline distT="0" distB="0" distL="0" distR="0" wp14:anchorId="7A2186CC" wp14:editId="480DC096">
            <wp:extent cx="5857875" cy="2926767"/>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6474" cy="2931063"/>
                    </a:xfrm>
                    <a:prstGeom prst="rect">
                      <a:avLst/>
                    </a:prstGeom>
                    <a:noFill/>
                  </pic:spPr>
                </pic:pic>
              </a:graphicData>
            </a:graphic>
          </wp:inline>
        </w:drawing>
      </w:r>
    </w:p>
    <w:p w14:paraId="4B78FF13" w14:textId="77777777" w:rsidR="006F1A19" w:rsidRPr="0064353C" w:rsidRDefault="006F1A19" w:rsidP="0064353C">
      <w:pPr>
        <w:rPr>
          <w:b/>
          <w:color w:val="000000"/>
        </w:rPr>
      </w:pPr>
    </w:p>
    <w:p w14:paraId="435C46AD" w14:textId="77777777" w:rsidR="0064353C" w:rsidRDefault="0064353C" w:rsidP="0064353C">
      <w:pPr>
        <w:jc w:val="both"/>
        <w:rPr>
          <w:b/>
          <w:color w:val="000000"/>
        </w:rPr>
        <w:sectPr w:rsidR="0064353C" w:rsidSect="002C0920">
          <w:headerReference w:type="default" r:id="rId13"/>
          <w:footerReference w:type="first" r:id="rId14"/>
          <w:pgSz w:w="15840" w:h="12240" w:orient="landscape"/>
          <w:pgMar w:top="1077" w:right="1440" w:bottom="1077" w:left="1440" w:header="708" w:footer="708" w:gutter="0"/>
          <w:cols w:space="708"/>
          <w:docGrid w:linePitch="360"/>
        </w:sectPr>
      </w:pPr>
    </w:p>
    <w:p w14:paraId="461023C1" w14:textId="77777777" w:rsidR="0064353C" w:rsidRDefault="0064353C" w:rsidP="0064353C">
      <w:pPr>
        <w:jc w:val="both"/>
        <w:rPr>
          <w:b/>
          <w:color w:val="000000"/>
        </w:rPr>
      </w:pPr>
    </w:p>
    <w:p w14:paraId="2BD942E9" w14:textId="77777777" w:rsidR="00436D72" w:rsidRDefault="00436D72" w:rsidP="00436D72">
      <w:pPr>
        <w:jc w:val="both"/>
        <w:rPr>
          <w:b/>
          <w:color w:val="000000"/>
        </w:rPr>
      </w:pPr>
    </w:p>
    <w:p w14:paraId="48E8BFFB" w14:textId="77777777" w:rsidR="00853862" w:rsidRDefault="00853862" w:rsidP="00436D72">
      <w:pPr>
        <w:jc w:val="both"/>
        <w:rPr>
          <w:b/>
          <w:color w:val="000000"/>
        </w:rPr>
      </w:pPr>
    </w:p>
    <w:p w14:paraId="2419EA22" w14:textId="77777777" w:rsidR="00853862" w:rsidRDefault="00853862" w:rsidP="00436D72">
      <w:pPr>
        <w:jc w:val="both"/>
        <w:rPr>
          <w:b/>
          <w:color w:val="000000"/>
        </w:rPr>
      </w:pPr>
    </w:p>
    <w:p w14:paraId="1137EE0D" w14:textId="77777777" w:rsidR="00853862" w:rsidRDefault="00853862" w:rsidP="00436D72">
      <w:pPr>
        <w:jc w:val="both"/>
        <w:rPr>
          <w:b/>
          <w:color w:val="000000"/>
        </w:rPr>
      </w:pPr>
    </w:p>
    <w:p w14:paraId="29B41814" w14:textId="77777777" w:rsidR="00853862" w:rsidRDefault="00853862" w:rsidP="00436D72">
      <w:pPr>
        <w:jc w:val="both"/>
        <w:rPr>
          <w:b/>
          <w:color w:val="000000"/>
        </w:rPr>
      </w:pPr>
    </w:p>
    <w:p w14:paraId="7D0C894F" w14:textId="77777777" w:rsidR="00853862" w:rsidRDefault="00853862" w:rsidP="00436D72">
      <w:pPr>
        <w:jc w:val="both"/>
        <w:rPr>
          <w:b/>
          <w:color w:val="000000"/>
        </w:rPr>
      </w:pPr>
    </w:p>
    <w:p w14:paraId="64FC97EE" w14:textId="77777777" w:rsidR="00853862" w:rsidRDefault="00853862" w:rsidP="00436D72">
      <w:pPr>
        <w:jc w:val="both"/>
        <w:rPr>
          <w:b/>
          <w:color w:val="000000"/>
        </w:rPr>
      </w:pPr>
    </w:p>
    <w:p w14:paraId="495D6598" w14:textId="182A0598" w:rsidR="005D0292" w:rsidRPr="003719F8" w:rsidRDefault="00D136BB" w:rsidP="005D0292">
      <w:pPr>
        <w:overflowPunct w:val="0"/>
        <w:autoSpaceDE w:val="0"/>
        <w:autoSpaceDN w:val="0"/>
        <w:adjustRightInd w:val="0"/>
        <w:spacing w:before="2835" w:after="360" w:line="240" w:lineRule="auto"/>
        <w:textAlignment w:val="baseline"/>
        <w:rPr>
          <w:rFonts w:ascii="Times New Roman" w:eastAsia="Times New Roman" w:hAnsi="Times New Roman" w:cs="Times New Roman"/>
          <w:b/>
          <w:bCs/>
          <w:i/>
          <w:sz w:val="60"/>
          <w:szCs w:val="32"/>
          <w:lang w:val="es-ES"/>
        </w:rPr>
      </w:pPr>
      <w:r>
        <w:rPr>
          <w:b/>
          <w:color w:val="000000"/>
        </w:rPr>
        <w:t xml:space="preserve">                                   </w:t>
      </w:r>
      <w:bookmarkStart w:id="18" w:name="_Hlk31655000"/>
      <w:r>
        <w:rPr>
          <w:b/>
          <w:color w:val="000000"/>
        </w:rPr>
        <w:t xml:space="preserve">                  </w:t>
      </w:r>
      <w:r w:rsidR="005D0292" w:rsidRPr="00031A5F">
        <w:rPr>
          <w:rFonts w:ascii="Times New Roman" w:eastAsia="Times New Roman" w:hAnsi="Times New Roman" w:cs="Times New Roman"/>
          <w:b/>
          <w:bCs/>
          <w:i/>
          <w:color w:val="95B3D7" w:themeColor="accent1" w:themeTint="99"/>
          <w:sz w:val="60"/>
          <w:szCs w:val="32"/>
          <w:lang w:val="es-ES"/>
        </w:rPr>
        <w:t>SALUD</w:t>
      </w:r>
      <w:r>
        <w:rPr>
          <w:rFonts w:ascii="Times New Roman" w:eastAsia="Times New Roman" w:hAnsi="Times New Roman" w:cs="Times New Roman"/>
          <w:b/>
          <w:bCs/>
          <w:i/>
          <w:color w:val="95B3D7" w:themeColor="accent1" w:themeTint="99"/>
          <w:sz w:val="60"/>
          <w:szCs w:val="32"/>
          <w:lang w:val="es-ES"/>
        </w:rPr>
        <w:t xml:space="preserve"> </w:t>
      </w:r>
      <w:r w:rsidR="005D0292" w:rsidRPr="00031A5F">
        <w:rPr>
          <w:rFonts w:ascii="Times New Roman" w:eastAsia="Times New Roman" w:hAnsi="Times New Roman" w:cs="Times New Roman"/>
          <w:b/>
          <w:bCs/>
          <w:i/>
          <w:color w:val="95B3D7" w:themeColor="accent1" w:themeTint="99"/>
          <w:sz w:val="60"/>
          <w:szCs w:val="32"/>
          <w:lang w:val="es-ES"/>
        </w:rPr>
        <w:t>HUMANA</w:t>
      </w:r>
      <w:bookmarkEnd w:id="18"/>
    </w:p>
    <w:p w14:paraId="1F0F53C9" w14:textId="77777777" w:rsidR="00853862" w:rsidRDefault="00853862" w:rsidP="00436D72">
      <w:pPr>
        <w:jc w:val="both"/>
        <w:rPr>
          <w:b/>
          <w:color w:val="000000"/>
        </w:rPr>
      </w:pPr>
    </w:p>
    <w:p w14:paraId="2A0DF826" w14:textId="77777777" w:rsidR="005D0292" w:rsidRPr="003D4FB2" w:rsidRDefault="00853862" w:rsidP="005D0292">
      <w:pPr>
        <w:rPr>
          <w:b/>
          <w:color w:val="000000"/>
        </w:rPr>
      </w:pPr>
      <w:r>
        <w:rPr>
          <w:b/>
          <w:color w:val="000000"/>
        </w:rPr>
        <w:br w:type="page"/>
      </w:r>
    </w:p>
    <w:p w14:paraId="74F59122" w14:textId="73D34D90" w:rsidR="00D532E8" w:rsidRPr="00031A5F" w:rsidRDefault="00D532E8" w:rsidP="00D532E8">
      <w:pPr>
        <w:pStyle w:val="BodyText"/>
        <w:spacing w:line="276" w:lineRule="auto"/>
        <w:rPr>
          <w:b/>
          <w:bCs/>
          <w:szCs w:val="24"/>
          <w:lang w:val="es-MX"/>
        </w:rPr>
      </w:pPr>
      <w:r w:rsidRPr="00031A5F">
        <w:rPr>
          <w:b/>
          <w:bCs/>
          <w:szCs w:val="24"/>
          <w:lang w:val="es-MX"/>
        </w:rPr>
        <w:lastRenderedPageBreak/>
        <w:t>I.</w:t>
      </w:r>
      <w:r w:rsidR="00D136BB">
        <w:rPr>
          <w:b/>
          <w:bCs/>
          <w:szCs w:val="24"/>
          <w:lang w:val="es-MX"/>
        </w:rPr>
        <w:t xml:space="preserve"> </w:t>
      </w:r>
      <w:r w:rsidRPr="00031A5F">
        <w:rPr>
          <w:b/>
          <w:bCs/>
          <w:szCs w:val="24"/>
          <w:lang w:val="es-MX"/>
        </w:rPr>
        <w:t>Análisis</w:t>
      </w:r>
      <w:r w:rsidR="00D136BB">
        <w:rPr>
          <w:b/>
          <w:bCs/>
          <w:szCs w:val="24"/>
          <w:lang w:val="es-MX"/>
        </w:rPr>
        <w:t xml:space="preserve"> </w:t>
      </w:r>
      <w:r>
        <w:rPr>
          <w:b/>
          <w:bCs/>
          <w:szCs w:val="24"/>
          <w:lang w:val="es-MX"/>
        </w:rPr>
        <w:t>G</w:t>
      </w:r>
      <w:r w:rsidRPr="00031A5F">
        <w:rPr>
          <w:b/>
          <w:bCs/>
          <w:szCs w:val="24"/>
          <w:lang w:val="es-MX"/>
        </w:rPr>
        <w:t>eneral</w:t>
      </w:r>
      <w:r w:rsidR="00D136BB">
        <w:rPr>
          <w:b/>
          <w:bCs/>
          <w:szCs w:val="24"/>
          <w:lang w:val="es-MX"/>
        </w:rPr>
        <w:t xml:space="preserve"> </w:t>
      </w:r>
      <w:r w:rsidRPr="00031A5F">
        <w:rPr>
          <w:b/>
          <w:bCs/>
          <w:szCs w:val="24"/>
          <w:lang w:val="es-MX"/>
        </w:rPr>
        <w:t>de</w:t>
      </w:r>
      <w:r w:rsidR="00D136BB">
        <w:rPr>
          <w:b/>
          <w:bCs/>
          <w:szCs w:val="24"/>
          <w:lang w:val="es-MX"/>
        </w:rPr>
        <w:t xml:space="preserve"> </w:t>
      </w:r>
      <w:r w:rsidRPr="00031A5F">
        <w:rPr>
          <w:b/>
          <w:bCs/>
          <w:szCs w:val="24"/>
          <w:lang w:val="es-MX"/>
        </w:rPr>
        <w:t>la</w:t>
      </w:r>
      <w:r w:rsidR="00D136BB">
        <w:rPr>
          <w:b/>
          <w:bCs/>
          <w:szCs w:val="24"/>
          <w:lang w:val="es-MX"/>
        </w:rPr>
        <w:t xml:space="preserve"> </w:t>
      </w:r>
      <w:r>
        <w:rPr>
          <w:b/>
          <w:bCs/>
          <w:szCs w:val="24"/>
          <w:lang w:val="es-MX"/>
        </w:rPr>
        <w:t>S</w:t>
      </w:r>
      <w:r w:rsidRPr="00031A5F">
        <w:rPr>
          <w:b/>
          <w:bCs/>
          <w:szCs w:val="24"/>
          <w:lang w:val="es-MX"/>
        </w:rPr>
        <w:t>ituación</w:t>
      </w:r>
      <w:r w:rsidR="00D136BB">
        <w:rPr>
          <w:b/>
          <w:bCs/>
          <w:szCs w:val="24"/>
          <w:lang w:val="es-MX"/>
        </w:rPr>
        <w:t xml:space="preserve"> </w:t>
      </w:r>
      <w:r>
        <w:rPr>
          <w:b/>
          <w:bCs/>
          <w:szCs w:val="24"/>
          <w:lang w:val="es-MX"/>
        </w:rPr>
        <w:t>R</w:t>
      </w:r>
      <w:r w:rsidRPr="00031A5F">
        <w:rPr>
          <w:b/>
          <w:bCs/>
          <w:szCs w:val="24"/>
          <w:lang w:val="es-MX"/>
        </w:rPr>
        <w:t>egional.</w:t>
      </w:r>
    </w:p>
    <w:p w14:paraId="0BCDC28F" w14:textId="77777777" w:rsidR="005D0292" w:rsidRPr="007A03A6" w:rsidRDefault="005D0292" w:rsidP="005D0292">
      <w:pPr>
        <w:jc w:val="both"/>
        <w:rPr>
          <w:rFonts w:ascii="Times New Roman" w:hAnsi="Times New Roman" w:cs="Times New Roman"/>
          <w:b/>
          <w:sz w:val="24"/>
          <w:szCs w:val="24"/>
        </w:rPr>
      </w:pPr>
      <w:r w:rsidRPr="007A03A6">
        <w:rPr>
          <w:rFonts w:ascii="Times New Roman" w:hAnsi="Times New Roman" w:cs="Times New Roman"/>
          <w:b/>
          <w:sz w:val="24"/>
          <w:szCs w:val="24"/>
        </w:rPr>
        <w:t>Epidemiología</w:t>
      </w:r>
    </w:p>
    <w:p w14:paraId="6FADAF81" w14:textId="75628651"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experimentando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impresionante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demográfico.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comienzos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siglo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pasado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hasta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aumentado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000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7</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000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cifra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alcance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000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finales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presente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siglo.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sustanciales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tienen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nuevos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diversos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patrones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fecundidad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(incluida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maternidad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adolescencia),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migración,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urbanización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envejecimiento.</w:t>
      </w:r>
      <w:r w:rsidR="00D136BB">
        <w:rPr>
          <w:rFonts w:ascii="Times New Roman" w:hAnsi="Times New Roman" w:cs="Times New Roman"/>
          <w:sz w:val="24"/>
          <w:szCs w:val="24"/>
        </w:rPr>
        <w:t xml:space="preserve"> </w:t>
      </w:r>
    </w:p>
    <w:p w14:paraId="7532D39B" w14:textId="2466FA87"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situación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general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analizada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Organización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Panamericana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(OPS),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publicación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2017.</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2015</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vivían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7</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300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992,2</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(13,5%</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términos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subregión,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había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357,8</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habitantes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634,4</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(36,1%</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63,9%</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continental,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respectivamente).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últimos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cinco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incorporó</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27,5</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10,8</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Norte.</w:t>
      </w:r>
      <w:r w:rsidR="00D136BB">
        <w:rPr>
          <w:rFonts w:ascii="Times New Roman" w:hAnsi="Times New Roman" w:cs="Times New Roman"/>
          <w:sz w:val="24"/>
          <w:szCs w:val="24"/>
        </w:rPr>
        <w:t xml:space="preserve"> </w:t>
      </w:r>
    </w:p>
    <w:p w14:paraId="39ECE94E" w14:textId="5A9FE035"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aspectos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distintivos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distribución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urbanización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megalópolis.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continente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proporción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urbana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elevada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estimada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82%</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ciudades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México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D.F.</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São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Paulo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alrededor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habitantes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p>
    <w:p w14:paraId="50BF22E3" w14:textId="37E8CE30"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fecundidad,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migración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elementos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básicos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lugar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tamaño,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estructura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distribución,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constituyen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impulsores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demográfico.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fecundidad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hijos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esperanza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76</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w:t>
      </w:r>
    </w:p>
    <w:p w14:paraId="4FAA383A" w14:textId="573D338A"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cuanto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distribución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sexo,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aunque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joven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(0-19</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predominado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hasta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momento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principios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tercera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década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siglo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grupo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constituya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adulta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joven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(20-39</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2045</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pasará</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adulta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(40-59</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después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adulta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(60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(3).</w:t>
      </w:r>
      <w:r w:rsidR="00D136BB">
        <w:rPr>
          <w:rFonts w:ascii="Times New Roman" w:hAnsi="Times New Roman" w:cs="Times New Roman"/>
          <w:sz w:val="24"/>
          <w:szCs w:val="24"/>
        </w:rPr>
        <w:t xml:space="preserve"> </w:t>
      </w:r>
    </w:p>
    <w:p w14:paraId="503BFA23" w14:textId="22A1AE73"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Otra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pauta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envejecimiento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corresponde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diferencial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sexo.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2015,</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60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existían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83</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hombres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80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62</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hombres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proporción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elevada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adultas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registra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particularidad,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llamada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corrientemente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«feminización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envejecimiento»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tiene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implicaciones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importantes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políticas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públicas,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referidas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p>
    <w:p w14:paraId="27F7EE3A" w14:textId="1988E918"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demográficos,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evolución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factores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conductuales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económicos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conducido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reemplacen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coexistan,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carga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(4,5).</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transición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epidemiológica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explica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comportamiento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heterogéneo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(4-6),</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donde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doble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carga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lastRenderedPageBreak/>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común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representa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extraordinario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costo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(4).</w:t>
      </w:r>
      <w:r w:rsidR="00D136BB">
        <w:rPr>
          <w:rFonts w:ascii="Times New Roman" w:hAnsi="Times New Roman" w:cs="Times New Roman"/>
          <w:sz w:val="24"/>
          <w:szCs w:val="24"/>
        </w:rPr>
        <w:t xml:space="preserve"> </w:t>
      </w:r>
    </w:p>
    <w:p w14:paraId="6D7AF4EB" w14:textId="1ABF381D"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presenta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disparidades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socioeconómicas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dentro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traducido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elevada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incluidas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cardiovasculares,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diabetes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(4).</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inversión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tendencias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quizá</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enfrenta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mejor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oportunidad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alcanzar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Objetivo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(ODS)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3:</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Garantizar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promover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bienestar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(7).</w:t>
      </w:r>
    </w:p>
    <w:p w14:paraId="2112D103" w14:textId="5AE6DACD"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envejecimiento,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globalización,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urbanización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obesidad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inactividad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llevado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cardiovasculares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principal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causa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muerte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(4,9,10).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Constituyen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primera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causa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muerte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(33.7%</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muertes).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2016,</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según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datos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OPS,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defunción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cardiovasculares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000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habitantes,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estandarizadas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fueron: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150.7</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185.2</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hombres)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121.6</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defunción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000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habitantes,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estandarizadas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fueron: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105.7</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122.4</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hombres)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93.5</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cerebrovasculares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38.1</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hombres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29.9</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w:t>
      </w:r>
    </w:p>
    <w:p w14:paraId="69E91A75" w14:textId="098C990C"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Según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Organización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(OMS),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representa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tercio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carga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(11).</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neoplasias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malignas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conjunto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constituyen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segunda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causa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muerte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Américas.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principales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próstata,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pulmón,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colorrectal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estómago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hombres,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mientras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cervical,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pulmón,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colorrectal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estómago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frecuentes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(12).</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ajustadas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100.000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habitantes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hombres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pulmón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22.9</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14.3,</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colorrectal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10.7</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8.</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próstata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15.4</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14.5.</w:t>
      </w:r>
      <w:r w:rsidR="00D136BB">
        <w:rPr>
          <w:rFonts w:ascii="Times New Roman" w:hAnsi="Times New Roman" w:cs="Times New Roman"/>
          <w:sz w:val="24"/>
          <w:szCs w:val="24"/>
        </w:rPr>
        <w:t xml:space="preserve"> </w:t>
      </w:r>
    </w:p>
    <w:p w14:paraId="2EA8E773" w14:textId="6340FFD5"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mantiene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rápido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desfavorable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hábitos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consumo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impacta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amplios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sectores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especialmente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aquellos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menores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ingresos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baja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escolaridad.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elevado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consumo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procesados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densidad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calórica,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grasas,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azúcares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asociado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disminución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significativa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ingestión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frutas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verduras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reducción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actividad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provocado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alarmante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epidemia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sobrepeso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obesidad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(13,14).</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estima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50-60%</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adultos,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7-12%</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niños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menores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cinco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tercio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adolescentes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tienen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sobrepeso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obesos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cifras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aumento.</w:t>
      </w:r>
      <w:r w:rsidR="00D136BB">
        <w:rPr>
          <w:rFonts w:ascii="Times New Roman" w:hAnsi="Times New Roman" w:cs="Times New Roman"/>
          <w:sz w:val="24"/>
          <w:szCs w:val="24"/>
        </w:rPr>
        <w:t xml:space="preserve"> </w:t>
      </w:r>
    </w:p>
    <w:p w14:paraId="20C404AA" w14:textId="7F230DB1" w:rsidR="005D0292" w:rsidRPr="007A03A6" w:rsidRDefault="005D0292" w:rsidP="005D0292">
      <w:pPr>
        <w:jc w:val="both"/>
        <w:rPr>
          <w:rFonts w:ascii="Times New Roman" w:hAnsi="Times New Roman" w:cs="Times New Roman"/>
          <w:b/>
          <w:sz w:val="24"/>
          <w:szCs w:val="24"/>
        </w:rPr>
      </w:pPr>
      <w:r w:rsidRPr="007A03A6">
        <w:rPr>
          <w:rFonts w:ascii="Times New Roman" w:hAnsi="Times New Roman" w:cs="Times New Roman"/>
          <w:b/>
          <w:sz w:val="24"/>
          <w:szCs w:val="24"/>
        </w:rPr>
        <w:t>Tecnología</w:t>
      </w:r>
      <w:r w:rsidR="00D136BB">
        <w:rPr>
          <w:rFonts w:ascii="Times New Roman" w:hAnsi="Times New Roman" w:cs="Times New Roman"/>
          <w:b/>
          <w:sz w:val="24"/>
          <w:szCs w:val="24"/>
        </w:rPr>
        <w:t xml:space="preserve"> </w:t>
      </w:r>
      <w:r w:rsidRPr="007A03A6">
        <w:rPr>
          <w:rFonts w:ascii="Times New Roman" w:hAnsi="Times New Roman" w:cs="Times New Roman"/>
          <w:b/>
          <w:sz w:val="24"/>
          <w:szCs w:val="24"/>
        </w:rPr>
        <w:t>y</w:t>
      </w:r>
      <w:r w:rsidR="00D136BB">
        <w:rPr>
          <w:rFonts w:ascii="Times New Roman" w:hAnsi="Times New Roman" w:cs="Times New Roman"/>
          <w:b/>
          <w:sz w:val="24"/>
          <w:szCs w:val="24"/>
        </w:rPr>
        <w:t xml:space="preserve"> </w:t>
      </w:r>
      <w:r w:rsidRPr="007A03A6">
        <w:rPr>
          <w:rFonts w:ascii="Times New Roman" w:hAnsi="Times New Roman" w:cs="Times New Roman"/>
          <w:b/>
          <w:sz w:val="24"/>
          <w:szCs w:val="24"/>
        </w:rPr>
        <w:t>recursos</w:t>
      </w:r>
      <w:r w:rsidR="00D136BB">
        <w:rPr>
          <w:rFonts w:ascii="Times New Roman" w:hAnsi="Times New Roman" w:cs="Times New Roman"/>
          <w:b/>
          <w:sz w:val="24"/>
          <w:szCs w:val="24"/>
        </w:rPr>
        <w:t xml:space="preserve"> </w:t>
      </w:r>
      <w:r w:rsidRPr="007A03A6">
        <w:rPr>
          <w:rFonts w:ascii="Times New Roman" w:hAnsi="Times New Roman" w:cs="Times New Roman"/>
          <w:b/>
          <w:sz w:val="24"/>
          <w:szCs w:val="24"/>
        </w:rPr>
        <w:t>humanos</w:t>
      </w:r>
      <w:r w:rsidR="00D136BB">
        <w:rPr>
          <w:rFonts w:ascii="Times New Roman" w:hAnsi="Times New Roman" w:cs="Times New Roman"/>
          <w:b/>
          <w:sz w:val="24"/>
          <w:szCs w:val="24"/>
        </w:rPr>
        <w:t xml:space="preserve"> </w:t>
      </w:r>
      <w:r w:rsidRPr="007A03A6">
        <w:rPr>
          <w:rFonts w:ascii="Times New Roman" w:hAnsi="Times New Roman" w:cs="Times New Roman"/>
          <w:b/>
          <w:sz w:val="24"/>
          <w:szCs w:val="24"/>
        </w:rPr>
        <w:t>existentes</w:t>
      </w:r>
    </w:p>
    <w:p w14:paraId="1AF3B817" w14:textId="71E37E0F"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enfrentar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situación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epidemiológica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marco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Acuerdo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ARCAL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promoción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aplicación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dispone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siguientes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tecnológicos:</w:t>
      </w:r>
    </w:p>
    <w:p w14:paraId="12EA0507" w14:textId="5BC32F00" w:rsidR="005D0292" w:rsidRPr="006C45C9" w:rsidRDefault="005D0292" w:rsidP="005D0292">
      <w:pPr>
        <w:jc w:val="both"/>
        <w:rPr>
          <w:rFonts w:ascii="Times New Roman" w:hAnsi="Times New Roman" w:cs="Times New Roman"/>
          <w:b/>
          <w:sz w:val="24"/>
          <w:szCs w:val="24"/>
          <w:lang w:val="en-US"/>
        </w:rPr>
      </w:pPr>
      <w:r w:rsidRPr="006C45C9">
        <w:rPr>
          <w:rFonts w:ascii="Times New Roman" w:hAnsi="Times New Roman" w:cs="Times New Roman"/>
          <w:b/>
          <w:sz w:val="24"/>
          <w:szCs w:val="24"/>
          <w:lang w:val="en-US"/>
        </w:rPr>
        <w:t>Equipos</w:t>
      </w:r>
      <w:r w:rsidR="00D136BB">
        <w:rPr>
          <w:rFonts w:ascii="Times New Roman" w:hAnsi="Times New Roman" w:cs="Times New Roman"/>
          <w:b/>
          <w:sz w:val="24"/>
          <w:szCs w:val="24"/>
          <w:lang w:val="en-US"/>
        </w:rPr>
        <w:t xml:space="preserve"> </w:t>
      </w:r>
      <w:r w:rsidRPr="006C45C9">
        <w:rPr>
          <w:rFonts w:ascii="Times New Roman" w:hAnsi="Times New Roman" w:cs="Times New Roman"/>
          <w:b/>
          <w:sz w:val="24"/>
          <w:szCs w:val="24"/>
          <w:lang w:val="en-US"/>
        </w:rPr>
        <w:t>de</w:t>
      </w:r>
      <w:r w:rsidR="00D136BB">
        <w:rPr>
          <w:rFonts w:ascii="Times New Roman" w:hAnsi="Times New Roman" w:cs="Times New Roman"/>
          <w:b/>
          <w:sz w:val="24"/>
          <w:szCs w:val="24"/>
          <w:lang w:val="en-US"/>
        </w:rPr>
        <w:t xml:space="preserve"> </w:t>
      </w:r>
      <w:r w:rsidRPr="006C45C9">
        <w:rPr>
          <w:rFonts w:ascii="Times New Roman" w:hAnsi="Times New Roman" w:cs="Times New Roman"/>
          <w:b/>
          <w:sz w:val="24"/>
          <w:szCs w:val="24"/>
          <w:lang w:val="en-US"/>
        </w:rPr>
        <w:t>Medicina</w:t>
      </w:r>
      <w:r w:rsidR="00D136BB">
        <w:rPr>
          <w:rFonts w:ascii="Times New Roman" w:hAnsi="Times New Roman" w:cs="Times New Roman"/>
          <w:b/>
          <w:sz w:val="24"/>
          <w:szCs w:val="24"/>
          <w:lang w:val="en-US"/>
        </w:rPr>
        <w:t xml:space="preserve"> </w:t>
      </w:r>
      <w:r w:rsidRPr="006C45C9">
        <w:rPr>
          <w:rFonts w:ascii="Times New Roman" w:hAnsi="Times New Roman" w:cs="Times New Roman"/>
          <w:b/>
          <w:sz w:val="24"/>
          <w:szCs w:val="24"/>
          <w:lang w:val="en-US"/>
        </w:rPr>
        <w:t>nuclear:</w:t>
      </w:r>
    </w:p>
    <w:p w14:paraId="36CF99A3" w14:textId="3152C16D" w:rsidR="005D0292" w:rsidRPr="006C45C9" w:rsidRDefault="005D0292" w:rsidP="005D0292">
      <w:pPr>
        <w:jc w:val="both"/>
        <w:rPr>
          <w:rFonts w:ascii="Times New Roman" w:hAnsi="Times New Roman" w:cs="Times New Roman"/>
          <w:sz w:val="24"/>
          <w:szCs w:val="24"/>
          <w:lang w:val="en-US"/>
        </w:rPr>
      </w:pPr>
      <w:r w:rsidRPr="006C45C9">
        <w:rPr>
          <w:rFonts w:ascii="Times New Roman" w:hAnsi="Times New Roman" w:cs="Times New Roman"/>
          <w:sz w:val="24"/>
          <w:szCs w:val="24"/>
          <w:lang w:val="en-US"/>
        </w:rPr>
        <w:lastRenderedPageBreak/>
        <w:t>Gamma</w:t>
      </w:r>
      <w:r w:rsidR="00D136BB">
        <w:rPr>
          <w:rFonts w:ascii="Times New Roman" w:hAnsi="Times New Roman" w:cs="Times New Roman"/>
          <w:sz w:val="24"/>
          <w:szCs w:val="24"/>
          <w:lang w:val="en-US"/>
        </w:rPr>
        <w:t xml:space="preserve"> </w:t>
      </w:r>
      <w:r w:rsidRPr="006C45C9">
        <w:rPr>
          <w:rFonts w:ascii="Times New Roman" w:hAnsi="Times New Roman" w:cs="Times New Roman"/>
          <w:sz w:val="24"/>
          <w:szCs w:val="24"/>
          <w:lang w:val="en-US"/>
        </w:rPr>
        <w:t>cámara</w:t>
      </w:r>
      <w:r w:rsidR="00D136BB">
        <w:rPr>
          <w:rFonts w:ascii="Times New Roman" w:hAnsi="Times New Roman" w:cs="Times New Roman"/>
          <w:sz w:val="24"/>
          <w:szCs w:val="24"/>
          <w:lang w:val="en-US"/>
        </w:rPr>
        <w:t xml:space="preserve"> </w:t>
      </w:r>
      <w:r w:rsidRPr="006C45C9">
        <w:rPr>
          <w:rFonts w:ascii="Times New Roman" w:hAnsi="Times New Roman" w:cs="Times New Roman"/>
          <w:sz w:val="24"/>
          <w:szCs w:val="24"/>
          <w:lang w:val="en-US"/>
        </w:rPr>
        <w:t>planares:</w:t>
      </w:r>
      <w:r w:rsidR="00D136BB">
        <w:rPr>
          <w:rFonts w:ascii="Times New Roman" w:hAnsi="Times New Roman" w:cs="Times New Roman"/>
          <w:sz w:val="24"/>
          <w:szCs w:val="24"/>
          <w:lang w:val="en-US"/>
        </w:rPr>
        <w:t xml:space="preserve"> </w:t>
      </w:r>
      <w:r w:rsidRPr="006C45C9">
        <w:rPr>
          <w:rFonts w:ascii="Times New Roman" w:hAnsi="Times New Roman" w:cs="Times New Roman"/>
          <w:sz w:val="24"/>
          <w:szCs w:val="24"/>
          <w:lang w:val="en-US"/>
        </w:rPr>
        <w:t>265</w:t>
      </w:r>
    </w:p>
    <w:p w14:paraId="5545CF9D" w14:textId="4EE2F413" w:rsidR="005D0292" w:rsidRPr="007A03A6" w:rsidRDefault="005D0292" w:rsidP="005D0292">
      <w:pPr>
        <w:jc w:val="both"/>
        <w:rPr>
          <w:rFonts w:ascii="Times New Roman" w:hAnsi="Times New Roman" w:cs="Times New Roman"/>
          <w:sz w:val="24"/>
          <w:szCs w:val="24"/>
          <w:lang w:val="en-US"/>
        </w:rPr>
      </w:pPr>
      <w:r w:rsidRPr="007A03A6">
        <w:rPr>
          <w:rFonts w:ascii="Times New Roman" w:hAnsi="Times New Roman" w:cs="Times New Roman"/>
          <w:sz w:val="24"/>
          <w:szCs w:val="24"/>
          <w:lang w:val="en-US"/>
        </w:rPr>
        <w:t>SPECT:</w:t>
      </w:r>
      <w:r w:rsidR="00D136BB">
        <w:rPr>
          <w:rFonts w:ascii="Times New Roman" w:hAnsi="Times New Roman" w:cs="Times New Roman"/>
          <w:sz w:val="24"/>
          <w:szCs w:val="24"/>
          <w:lang w:val="en-US"/>
        </w:rPr>
        <w:t xml:space="preserve"> </w:t>
      </w:r>
      <w:r w:rsidRPr="007A03A6">
        <w:rPr>
          <w:rFonts w:ascii="Times New Roman" w:hAnsi="Times New Roman" w:cs="Times New Roman"/>
          <w:sz w:val="24"/>
          <w:szCs w:val="24"/>
          <w:lang w:val="en-US"/>
        </w:rPr>
        <w:t>1</w:t>
      </w:r>
      <w:r w:rsidR="00D136BB">
        <w:rPr>
          <w:rFonts w:ascii="Times New Roman" w:hAnsi="Times New Roman" w:cs="Times New Roman"/>
          <w:sz w:val="24"/>
          <w:szCs w:val="24"/>
          <w:lang w:val="en-US"/>
        </w:rPr>
        <w:t xml:space="preserve"> </w:t>
      </w:r>
      <w:r w:rsidRPr="007A03A6">
        <w:rPr>
          <w:rFonts w:ascii="Times New Roman" w:hAnsi="Times New Roman" w:cs="Times New Roman"/>
          <w:sz w:val="24"/>
          <w:szCs w:val="24"/>
          <w:lang w:val="en-US"/>
        </w:rPr>
        <w:t>840</w:t>
      </w:r>
    </w:p>
    <w:p w14:paraId="723AAC39" w14:textId="4CEF5C18" w:rsidR="005D0292" w:rsidRPr="007A03A6" w:rsidRDefault="005D0292" w:rsidP="005D0292">
      <w:pPr>
        <w:jc w:val="both"/>
        <w:rPr>
          <w:rFonts w:ascii="Times New Roman" w:hAnsi="Times New Roman" w:cs="Times New Roman"/>
          <w:sz w:val="24"/>
          <w:szCs w:val="24"/>
          <w:lang w:val="en-US"/>
        </w:rPr>
      </w:pPr>
      <w:r w:rsidRPr="007A03A6">
        <w:rPr>
          <w:rFonts w:ascii="Times New Roman" w:hAnsi="Times New Roman" w:cs="Times New Roman"/>
          <w:sz w:val="24"/>
          <w:szCs w:val="24"/>
          <w:lang w:val="en-US"/>
        </w:rPr>
        <w:t>SPECT-CT:</w:t>
      </w:r>
      <w:r w:rsidR="00D136BB">
        <w:rPr>
          <w:rFonts w:ascii="Times New Roman" w:hAnsi="Times New Roman" w:cs="Times New Roman"/>
          <w:sz w:val="24"/>
          <w:szCs w:val="24"/>
          <w:lang w:val="en-US"/>
        </w:rPr>
        <w:t xml:space="preserve"> </w:t>
      </w:r>
      <w:r w:rsidRPr="007A03A6">
        <w:rPr>
          <w:rFonts w:ascii="Times New Roman" w:hAnsi="Times New Roman" w:cs="Times New Roman"/>
          <w:sz w:val="24"/>
          <w:szCs w:val="24"/>
          <w:lang w:val="en-US"/>
        </w:rPr>
        <w:t>165</w:t>
      </w:r>
    </w:p>
    <w:p w14:paraId="4FEE0004" w14:textId="24785EE6" w:rsidR="005D0292" w:rsidRPr="007A03A6" w:rsidRDefault="005D0292" w:rsidP="005D0292">
      <w:pPr>
        <w:jc w:val="both"/>
        <w:rPr>
          <w:rFonts w:ascii="Times New Roman" w:hAnsi="Times New Roman" w:cs="Times New Roman"/>
          <w:sz w:val="24"/>
          <w:szCs w:val="24"/>
          <w:lang w:val="en-US"/>
        </w:rPr>
      </w:pPr>
      <w:r w:rsidRPr="007A03A6">
        <w:rPr>
          <w:rFonts w:ascii="Times New Roman" w:hAnsi="Times New Roman" w:cs="Times New Roman"/>
          <w:sz w:val="24"/>
          <w:szCs w:val="24"/>
          <w:lang w:val="en-US"/>
        </w:rPr>
        <w:t>PET/PET-CT:</w:t>
      </w:r>
      <w:r w:rsidR="00D136BB">
        <w:rPr>
          <w:rFonts w:ascii="Times New Roman" w:hAnsi="Times New Roman" w:cs="Times New Roman"/>
          <w:sz w:val="24"/>
          <w:szCs w:val="24"/>
          <w:lang w:val="en-US"/>
        </w:rPr>
        <w:t xml:space="preserve"> </w:t>
      </w:r>
      <w:r w:rsidRPr="007A03A6">
        <w:rPr>
          <w:rFonts w:ascii="Times New Roman" w:hAnsi="Times New Roman" w:cs="Times New Roman"/>
          <w:sz w:val="24"/>
          <w:szCs w:val="24"/>
          <w:lang w:val="en-US"/>
        </w:rPr>
        <w:t>309</w:t>
      </w:r>
    </w:p>
    <w:p w14:paraId="78837649" w14:textId="1FCA96F0" w:rsidR="005D0292" w:rsidRPr="007A03A6" w:rsidRDefault="005D0292" w:rsidP="005D0292">
      <w:pPr>
        <w:jc w:val="both"/>
        <w:rPr>
          <w:rFonts w:ascii="Times New Roman" w:hAnsi="Times New Roman" w:cs="Times New Roman"/>
          <w:sz w:val="24"/>
          <w:szCs w:val="24"/>
          <w:lang w:val="es-ES"/>
        </w:rPr>
      </w:pPr>
      <w:r w:rsidRPr="007A03A6">
        <w:rPr>
          <w:rFonts w:ascii="Times New Roman" w:hAnsi="Times New Roman" w:cs="Times New Roman"/>
          <w:sz w:val="24"/>
          <w:szCs w:val="24"/>
          <w:lang w:val="es-ES"/>
        </w:rPr>
        <w:t>PET-MRI:</w:t>
      </w:r>
      <w:r w:rsidR="00D136BB">
        <w:rPr>
          <w:rFonts w:ascii="Times New Roman" w:hAnsi="Times New Roman" w:cs="Times New Roman"/>
          <w:sz w:val="24"/>
          <w:szCs w:val="24"/>
          <w:lang w:val="es-ES"/>
        </w:rPr>
        <w:t xml:space="preserve"> </w:t>
      </w:r>
      <w:r w:rsidRPr="007A03A6">
        <w:rPr>
          <w:rFonts w:ascii="Times New Roman" w:hAnsi="Times New Roman" w:cs="Times New Roman"/>
          <w:sz w:val="24"/>
          <w:szCs w:val="24"/>
          <w:lang w:val="es-ES"/>
        </w:rPr>
        <w:t>4</w:t>
      </w:r>
    </w:p>
    <w:p w14:paraId="665DD0BE" w14:textId="2ACE9A87" w:rsidR="005D0292" w:rsidRPr="007A03A6" w:rsidRDefault="005D0292" w:rsidP="005D0292">
      <w:pPr>
        <w:pStyle w:val="BodyText"/>
        <w:rPr>
          <w:szCs w:val="24"/>
          <w:lang w:val="es-ES"/>
        </w:rPr>
      </w:pPr>
      <w:r w:rsidRPr="007A03A6">
        <w:rPr>
          <w:szCs w:val="24"/>
          <w:lang w:val="es-ES"/>
        </w:rPr>
        <w:t>Ciclotrones:</w:t>
      </w:r>
      <w:r w:rsidR="00D136BB">
        <w:rPr>
          <w:szCs w:val="24"/>
          <w:lang w:val="es-ES"/>
        </w:rPr>
        <w:t xml:space="preserve"> </w:t>
      </w:r>
      <w:r w:rsidRPr="007A03A6">
        <w:rPr>
          <w:szCs w:val="24"/>
          <w:lang w:val="es-ES"/>
        </w:rPr>
        <w:t>49</w:t>
      </w:r>
    </w:p>
    <w:p w14:paraId="381DFD8A" w14:textId="3E822F85" w:rsidR="005D0292" w:rsidRPr="007A03A6" w:rsidRDefault="005D0292" w:rsidP="005D0292">
      <w:pPr>
        <w:pStyle w:val="BodyText"/>
        <w:rPr>
          <w:b/>
          <w:szCs w:val="24"/>
          <w:lang w:val="es-ES"/>
        </w:rPr>
      </w:pPr>
      <w:r w:rsidRPr="007A03A6">
        <w:rPr>
          <w:b/>
          <w:szCs w:val="24"/>
          <w:lang w:val="es-ES"/>
        </w:rPr>
        <w:t>Equipos</w:t>
      </w:r>
      <w:r w:rsidR="00D136BB">
        <w:rPr>
          <w:b/>
          <w:szCs w:val="24"/>
          <w:lang w:val="es-ES"/>
        </w:rPr>
        <w:t xml:space="preserve"> </w:t>
      </w:r>
      <w:r w:rsidRPr="007A03A6">
        <w:rPr>
          <w:b/>
          <w:szCs w:val="24"/>
          <w:lang w:val="es-ES"/>
        </w:rPr>
        <w:t>de</w:t>
      </w:r>
      <w:r w:rsidR="00D136BB">
        <w:rPr>
          <w:b/>
          <w:szCs w:val="24"/>
          <w:lang w:val="es-ES"/>
        </w:rPr>
        <w:t xml:space="preserve"> </w:t>
      </w:r>
      <w:r w:rsidRPr="007A03A6">
        <w:rPr>
          <w:b/>
          <w:szCs w:val="24"/>
          <w:lang w:val="es-ES"/>
        </w:rPr>
        <w:t>Radioterapia:</w:t>
      </w:r>
      <w:r w:rsidR="00D136BB">
        <w:rPr>
          <w:b/>
          <w:szCs w:val="24"/>
          <w:lang w:val="es-ES"/>
        </w:rPr>
        <w:t xml:space="preserve"> </w:t>
      </w:r>
    </w:p>
    <w:p w14:paraId="71945BEA" w14:textId="14B8092A" w:rsidR="005D0292" w:rsidRPr="007A03A6" w:rsidRDefault="005D0292" w:rsidP="005D0292">
      <w:pPr>
        <w:pStyle w:val="BodyText"/>
        <w:rPr>
          <w:szCs w:val="24"/>
          <w:lang w:val="es-ES"/>
        </w:rPr>
      </w:pPr>
      <w:r w:rsidRPr="007A03A6">
        <w:rPr>
          <w:szCs w:val="24"/>
          <w:lang w:val="es-ES"/>
        </w:rPr>
        <w:t>Cobaltos:</w:t>
      </w:r>
      <w:r w:rsidR="00D136BB">
        <w:rPr>
          <w:szCs w:val="24"/>
          <w:lang w:val="es-ES"/>
        </w:rPr>
        <w:t xml:space="preserve"> </w:t>
      </w:r>
      <w:r w:rsidRPr="007A03A6">
        <w:rPr>
          <w:szCs w:val="24"/>
          <w:lang w:val="es-ES"/>
        </w:rPr>
        <w:t>190</w:t>
      </w:r>
    </w:p>
    <w:p w14:paraId="63971678" w14:textId="4609F91C" w:rsidR="005D0292" w:rsidRPr="007A03A6" w:rsidRDefault="005D0292" w:rsidP="005D0292">
      <w:pPr>
        <w:pStyle w:val="BodyText"/>
        <w:rPr>
          <w:szCs w:val="24"/>
          <w:lang w:val="es-ES"/>
        </w:rPr>
      </w:pPr>
      <w:r w:rsidRPr="007A03A6">
        <w:rPr>
          <w:szCs w:val="24"/>
          <w:lang w:val="es-ES"/>
        </w:rPr>
        <w:t>Aceleradores</w:t>
      </w:r>
      <w:r w:rsidR="00D136BB">
        <w:rPr>
          <w:szCs w:val="24"/>
          <w:lang w:val="es-ES"/>
        </w:rPr>
        <w:t xml:space="preserve"> </w:t>
      </w:r>
      <w:r w:rsidRPr="007A03A6">
        <w:rPr>
          <w:szCs w:val="24"/>
          <w:lang w:val="es-ES"/>
        </w:rPr>
        <w:t>lineales:</w:t>
      </w:r>
      <w:r w:rsidR="00D136BB">
        <w:rPr>
          <w:szCs w:val="24"/>
          <w:lang w:val="es-ES"/>
        </w:rPr>
        <w:t xml:space="preserve"> </w:t>
      </w:r>
      <w:r w:rsidRPr="007A03A6">
        <w:rPr>
          <w:szCs w:val="24"/>
          <w:lang w:val="es-ES"/>
        </w:rPr>
        <w:t>878</w:t>
      </w:r>
    </w:p>
    <w:p w14:paraId="3645DA2D" w14:textId="20FBD982" w:rsidR="005D0292" w:rsidRPr="007A03A6" w:rsidRDefault="005D0292" w:rsidP="005D0292">
      <w:pPr>
        <w:pStyle w:val="BodyText"/>
        <w:rPr>
          <w:szCs w:val="24"/>
          <w:lang w:val="es-ES"/>
        </w:rPr>
      </w:pPr>
      <w:r w:rsidRPr="007A03A6">
        <w:rPr>
          <w:szCs w:val="24"/>
          <w:lang w:val="es-ES"/>
        </w:rPr>
        <w:t>Simuladores</w:t>
      </w:r>
      <w:r w:rsidR="00D136BB">
        <w:rPr>
          <w:szCs w:val="24"/>
          <w:lang w:val="es-ES"/>
        </w:rPr>
        <w:t xml:space="preserve"> </w:t>
      </w:r>
      <w:r w:rsidRPr="007A03A6">
        <w:rPr>
          <w:szCs w:val="24"/>
          <w:lang w:val="es-ES"/>
        </w:rPr>
        <w:t>3D:</w:t>
      </w:r>
      <w:r w:rsidR="00D136BB">
        <w:rPr>
          <w:szCs w:val="24"/>
          <w:lang w:val="es-ES"/>
        </w:rPr>
        <w:t xml:space="preserve"> </w:t>
      </w:r>
      <w:r w:rsidRPr="007A03A6">
        <w:rPr>
          <w:szCs w:val="24"/>
          <w:lang w:val="es-ES"/>
        </w:rPr>
        <w:t>159</w:t>
      </w:r>
    </w:p>
    <w:p w14:paraId="30CFCF5C" w14:textId="5EA19787" w:rsidR="005D0292" w:rsidRPr="007A03A6" w:rsidRDefault="005D0292" w:rsidP="005D0292">
      <w:pPr>
        <w:pStyle w:val="BodyText"/>
        <w:rPr>
          <w:szCs w:val="24"/>
          <w:lang w:val="es-ES"/>
        </w:rPr>
      </w:pPr>
      <w:r w:rsidRPr="007A03A6">
        <w:rPr>
          <w:szCs w:val="24"/>
          <w:lang w:val="es-ES"/>
        </w:rPr>
        <w:t>Braquiterapia</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baja</w:t>
      </w:r>
      <w:r w:rsidR="00D136BB">
        <w:rPr>
          <w:szCs w:val="24"/>
          <w:lang w:val="es-ES"/>
        </w:rPr>
        <w:t xml:space="preserve"> </w:t>
      </w:r>
      <w:r w:rsidRPr="007A03A6">
        <w:rPr>
          <w:szCs w:val="24"/>
          <w:lang w:val="es-ES"/>
        </w:rPr>
        <w:t>tasa</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dosis:</w:t>
      </w:r>
      <w:r w:rsidR="00D136BB">
        <w:rPr>
          <w:szCs w:val="24"/>
          <w:lang w:val="es-ES"/>
        </w:rPr>
        <w:t xml:space="preserve"> </w:t>
      </w:r>
      <w:r w:rsidRPr="007A03A6">
        <w:rPr>
          <w:szCs w:val="24"/>
          <w:lang w:val="es-ES"/>
        </w:rPr>
        <w:t>287</w:t>
      </w:r>
    </w:p>
    <w:p w14:paraId="2F52BC30" w14:textId="53279E34" w:rsidR="005D0292" w:rsidRPr="007A03A6" w:rsidRDefault="005D0292" w:rsidP="005D0292">
      <w:pPr>
        <w:pStyle w:val="BodyText"/>
        <w:rPr>
          <w:szCs w:val="24"/>
          <w:lang w:val="es-ES"/>
        </w:rPr>
      </w:pPr>
      <w:r w:rsidRPr="007A03A6">
        <w:rPr>
          <w:szCs w:val="24"/>
          <w:lang w:val="es-ES"/>
        </w:rPr>
        <w:t>Braquiterapia</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alta</w:t>
      </w:r>
      <w:r w:rsidR="00D136BB">
        <w:rPr>
          <w:szCs w:val="24"/>
          <w:lang w:val="es-ES"/>
        </w:rPr>
        <w:t xml:space="preserve"> </w:t>
      </w:r>
      <w:r w:rsidRPr="007A03A6">
        <w:rPr>
          <w:szCs w:val="24"/>
          <w:lang w:val="es-ES"/>
        </w:rPr>
        <w:t>tasa</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dosis:</w:t>
      </w:r>
      <w:r w:rsidR="00D136BB">
        <w:rPr>
          <w:szCs w:val="24"/>
          <w:lang w:val="es-ES"/>
        </w:rPr>
        <w:t xml:space="preserve"> </w:t>
      </w:r>
      <w:r w:rsidRPr="007A03A6">
        <w:rPr>
          <w:szCs w:val="24"/>
          <w:lang w:val="es-ES"/>
        </w:rPr>
        <w:t>83</w:t>
      </w:r>
    </w:p>
    <w:p w14:paraId="140A4705" w14:textId="383DB659" w:rsidR="005D0292" w:rsidRPr="007A03A6" w:rsidRDefault="005D0292" w:rsidP="005D0292">
      <w:pPr>
        <w:pStyle w:val="BodyText"/>
        <w:rPr>
          <w:szCs w:val="24"/>
          <w:lang w:val="es-ES"/>
        </w:rPr>
      </w:pPr>
      <w:r w:rsidRPr="007A03A6">
        <w:rPr>
          <w:szCs w:val="24"/>
          <w:lang w:val="es-ES"/>
        </w:rPr>
        <w:t>En</w:t>
      </w:r>
      <w:r w:rsidR="00D136BB">
        <w:rPr>
          <w:szCs w:val="24"/>
          <w:lang w:val="es-ES"/>
        </w:rPr>
        <w:t xml:space="preserve"> </w:t>
      </w:r>
      <w:r w:rsidRPr="007A03A6">
        <w:rPr>
          <w:szCs w:val="24"/>
          <w:lang w:val="es-ES"/>
        </w:rPr>
        <w:t>cuanto</w:t>
      </w:r>
      <w:r w:rsidR="00D136BB">
        <w:rPr>
          <w:szCs w:val="24"/>
          <w:lang w:val="es-ES"/>
        </w:rPr>
        <w:t xml:space="preserve"> </w:t>
      </w:r>
      <w:r w:rsidRPr="007A03A6">
        <w:rPr>
          <w:szCs w:val="24"/>
          <w:lang w:val="es-ES"/>
        </w:rPr>
        <w:t>a</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situación</w:t>
      </w:r>
      <w:r w:rsidR="00D136BB">
        <w:rPr>
          <w:szCs w:val="24"/>
          <w:lang w:val="es-ES"/>
        </w:rPr>
        <w:t xml:space="preserve"> </w:t>
      </w:r>
      <w:r w:rsidRPr="007A03A6">
        <w:rPr>
          <w:szCs w:val="24"/>
          <w:lang w:val="es-ES"/>
        </w:rPr>
        <w:t>regional</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radiofarmacia</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relación</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producción</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radioisótopos</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radiofármacos,</w:t>
      </w:r>
      <w:r w:rsidR="00D136BB">
        <w:rPr>
          <w:szCs w:val="24"/>
          <w:lang w:val="es-ES"/>
        </w:rPr>
        <w:t xml:space="preserve"> </w:t>
      </w:r>
      <w:r w:rsidRPr="007A03A6">
        <w:rPr>
          <w:szCs w:val="24"/>
          <w:lang w:val="es-ES"/>
        </w:rPr>
        <w:t>esta</w:t>
      </w:r>
      <w:r w:rsidR="00D136BB">
        <w:rPr>
          <w:szCs w:val="24"/>
          <w:lang w:val="es-ES"/>
        </w:rPr>
        <w:t xml:space="preserve"> </w:t>
      </w:r>
      <w:r w:rsidRPr="007A03A6">
        <w:rPr>
          <w:szCs w:val="24"/>
          <w:lang w:val="es-ES"/>
        </w:rPr>
        <w:t>sigue</w:t>
      </w:r>
      <w:r w:rsidR="00D136BB">
        <w:rPr>
          <w:szCs w:val="24"/>
          <w:lang w:val="es-ES"/>
        </w:rPr>
        <w:t xml:space="preserve"> </w:t>
      </w:r>
      <w:r w:rsidRPr="007A03A6">
        <w:rPr>
          <w:szCs w:val="24"/>
          <w:lang w:val="es-ES"/>
        </w:rPr>
        <w:t>siendo</w:t>
      </w:r>
      <w:r w:rsidR="00D136BB">
        <w:rPr>
          <w:szCs w:val="24"/>
          <w:lang w:val="es-ES"/>
        </w:rPr>
        <w:t xml:space="preserve"> </w:t>
      </w:r>
      <w:r w:rsidRPr="007A03A6">
        <w:rPr>
          <w:szCs w:val="24"/>
          <w:lang w:val="es-ES"/>
        </w:rPr>
        <w:t>muy</w:t>
      </w:r>
      <w:r w:rsidR="00D136BB">
        <w:rPr>
          <w:szCs w:val="24"/>
          <w:lang w:val="es-ES"/>
        </w:rPr>
        <w:t xml:space="preserve"> </w:t>
      </w:r>
      <w:r w:rsidRPr="007A03A6">
        <w:rPr>
          <w:szCs w:val="24"/>
          <w:lang w:val="es-ES"/>
        </w:rPr>
        <w:t>heterogénea.</w:t>
      </w:r>
      <w:r w:rsidR="00D136BB">
        <w:rPr>
          <w:szCs w:val="24"/>
          <w:lang w:val="es-ES"/>
        </w:rPr>
        <w:t xml:space="preserve"> </w:t>
      </w:r>
      <w:r w:rsidRPr="007A03A6">
        <w:rPr>
          <w:szCs w:val="24"/>
          <w:lang w:val="es-ES"/>
        </w:rPr>
        <w:t>Países</w:t>
      </w:r>
      <w:r w:rsidR="00D136BB">
        <w:rPr>
          <w:szCs w:val="24"/>
          <w:lang w:val="es-ES"/>
        </w:rPr>
        <w:t xml:space="preserve"> </w:t>
      </w:r>
      <w:r w:rsidRPr="007A03A6">
        <w:rPr>
          <w:szCs w:val="24"/>
          <w:lang w:val="es-ES"/>
        </w:rPr>
        <w:t>como</w:t>
      </w:r>
      <w:r w:rsidR="00D136BB">
        <w:rPr>
          <w:szCs w:val="24"/>
          <w:lang w:val="es-ES"/>
        </w:rPr>
        <w:t xml:space="preserve"> </w:t>
      </w:r>
      <w:r w:rsidRPr="007A03A6">
        <w:rPr>
          <w:szCs w:val="24"/>
          <w:lang w:val="es-ES"/>
        </w:rPr>
        <w:t>Argentina,</w:t>
      </w:r>
      <w:r w:rsidR="00D136BB">
        <w:rPr>
          <w:szCs w:val="24"/>
          <w:lang w:val="es-ES"/>
        </w:rPr>
        <w:t xml:space="preserve"> </w:t>
      </w:r>
      <w:r w:rsidRPr="007A03A6">
        <w:rPr>
          <w:szCs w:val="24"/>
          <w:lang w:val="es-ES"/>
        </w:rPr>
        <w:t>Brasil,</w:t>
      </w:r>
      <w:r w:rsidR="00D136BB">
        <w:rPr>
          <w:szCs w:val="24"/>
          <w:lang w:val="es-ES"/>
        </w:rPr>
        <w:t xml:space="preserve"> </w:t>
      </w:r>
      <w:r w:rsidRPr="007A03A6">
        <w:rPr>
          <w:szCs w:val="24"/>
          <w:lang w:val="es-ES"/>
        </w:rPr>
        <w:t>Perú</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México,</w:t>
      </w:r>
      <w:r w:rsidR="00D136BB">
        <w:rPr>
          <w:szCs w:val="24"/>
          <w:lang w:val="es-ES"/>
        </w:rPr>
        <w:t xml:space="preserve"> </w:t>
      </w:r>
      <w:r w:rsidRPr="007A03A6">
        <w:rPr>
          <w:szCs w:val="24"/>
          <w:lang w:val="es-ES"/>
        </w:rPr>
        <w:t>cuentan</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reactores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investigación</w:t>
      </w:r>
      <w:r w:rsidR="00D136BB">
        <w:rPr>
          <w:szCs w:val="24"/>
          <w:lang w:val="es-ES"/>
        </w:rPr>
        <w:t xml:space="preserve"> </w:t>
      </w:r>
      <w:r w:rsidRPr="007A03A6">
        <w:rPr>
          <w:szCs w:val="24"/>
          <w:lang w:val="es-ES"/>
        </w:rPr>
        <w:t>que</w:t>
      </w:r>
      <w:r w:rsidR="00D136BB">
        <w:rPr>
          <w:szCs w:val="24"/>
          <w:lang w:val="es-ES"/>
        </w:rPr>
        <w:t xml:space="preserve"> </w:t>
      </w:r>
      <w:r w:rsidRPr="007A03A6">
        <w:rPr>
          <w:szCs w:val="24"/>
          <w:lang w:val="es-ES"/>
        </w:rPr>
        <w:t>permiten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producción</w:t>
      </w:r>
      <w:r w:rsidR="00D136BB">
        <w:rPr>
          <w:szCs w:val="24"/>
          <w:lang w:val="es-ES"/>
        </w:rPr>
        <w:t xml:space="preserve"> </w:t>
      </w:r>
      <w:r w:rsidRPr="007A03A6">
        <w:rPr>
          <w:szCs w:val="24"/>
          <w:lang w:val="es-ES"/>
        </w:rPr>
        <w:t>nacional</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radionúclidos</w:t>
      </w:r>
      <w:r w:rsidR="00D136BB">
        <w:rPr>
          <w:szCs w:val="24"/>
          <w:lang w:val="es-ES"/>
        </w:rPr>
        <w:t xml:space="preserve"> </w:t>
      </w:r>
      <w:r w:rsidRPr="007A03A6">
        <w:rPr>
          <w:szCs w:val="24"/>
          <w:lang w:val="es-ES"/>
        </w:rPr>
        <w:t>para</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preparación</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radiofármacos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uso</w:t>
      </w:r>
      <w:r w:rsidR="00D136BB">
        <w:rPr>
          <w:szCs w:val="24"/>
          <w:lang w:val="es-ES"/>
        </w:rPr>
        <w:t xml:space="preserve"> </w:t>
      </w:r>
      <w:r w:rsidRPr="007A03A6">
        <w:rPr>
          <w:szCs w:val="24"/>
          <w:lang w:val="es-ES"/>
        </w:rPr>
        <w:t>diagnóstico</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terapéutico.</w:t>
      </w:r>
      <w:r w:rsidR="00D136BB">
        <w:rPr>
          <w:szCs w:val="24"/>
          <w:lang w:val="es-ES"/>
        </w:rPr>
        <w:t xml:space="preserve"> </w:t>
      </w:r>
      <w:r w:rsidRPr="007A03A6">
        <w:rPr>
          <w:szCs w:val="24"/>
          <w:lang w:val="es-ES"/>
        </w:rPr>
        <w:t>Sólo</w:t>
      </w:r>
      <w:r w:rsidR="00D136BB">
        <w:rPr>
          <w:szCs w:val="24"/>
          <w:lang w:val="es-ES"/>
        </w:rPr>
        <w:t xml:space="preserve"> </w:t>
      </w:r>
      <w:r w:rsidRPr="007A03A6">
        <w:rPr>
          <w:szCs w:val="24"/>
          <w:lang w:val="es-ES"/>
        </w:rPr>
        <w:t>4</w:t>
      </w:r>
      <w:r w:rsidR="00D136BB">
        <w:rPr>
          <w:szCs w:val="24"/>
          <w:lang w:val="es-ES"/>
        </w:rPr>
        <w:t xml:space="preserve"> </w:t>
      </w:r>
      <w:r w:rsidRPr="007A03A6">
        <w:rPr>
          <w:szCs w:val="24"/>
          <w:lang w:val="es-ES"/>
        </w:rPr>
        <w:t>países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región,</w:t>
      </w:r>
      <w:r w:rsidR="00D136BB">
        <w:rPr>
          <w:szCs w:val="24"/>
          <w:lang w:val="es-ES"/>
        </w:rPr>
        <w:t xml:space="preserve"> </w:t>
      </w:r>
      <w:r w:rsidRPr="007A03A6">
        <w:rPr>
          <w:szCs w:val="24"/>
          <w:lang w:val="es-ES"/>
        </w:rPr>
        <w:t>Argentina,</w:t>
      </w:r>
      <w:r w:rsidR="00D136BB">
        <w:rPr>
          <w:szCs w:val="24"/>
          <w:lang w:val="es-ES"/>
        </w:rPr>
        <w:t xml:space="preserve"> </w:t>
      </w:r>
      <w:r w:rsidRPr="007A03A6">
        <w:rPr>
          <w:szCs w:val="24"/>
          <w:lang w:val="es-ES"/>
        </w:rPr>
        <w:t>Brasil,</w:t>
      </w:r>
      <w:r w:rsidR="00D136BB">
        <w:rPr>
          <w:szCs w:val="24"/>
          <w:lang w:val="es-ES"/>
        </w:rPr>
        <w:t xml:space="preserve"> </w:t>
      </w:r>
      <w:r w:rsidRPr="007A03A6">
        <w:rPr>
          <w:szCs w:val="24"/>
          <w:lang w:val="es-ES"/>
        </w:rPr>
        <w:t>Cuba</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México,</w:t>
      </w:r>
      <w:r w:rsidR="00D136BB">
        <w:rPr>
          <w:szCs w:val="24"/>
          <w:lang w:val="es-ES"/>
        </w:rPr>
        <w:t xml:space="preserve"> </w:t>
      </w:r>
      <w:r w:rsidRPr="007A03A6">
        <w:rPr>
          <w:szCs w:val="24"/>
          <w:lang w:val="es-ES"/>
        </w:rPr>
        <w:t>producen</w:t>
      </w:r>
      <w:r w:rsidR="00D136BB">
        <w:rPr>
          <w:szCs w:val="24"/>
          <w:lang w:val="es-ES"/>
        </w:rPr>
        <w:t xml:space="preserve"> </w:t>
      </w:r>
      <w:r w:rsidRPr="007A03A6">
        <w:rPr>
          <w:szCs w:val="24"/>
          <w:lang w:val="es-ES"/>
        </w:rPr>
        <w:t>generadores</w:t>
      </w:r>
      <w:r w:rsidR="00D136BB">
        <w:rPr>
          <w:szCs w:val="24"/>
          <w:lang w:val="es-ES"/>
        </w:rPr>
        <w:t xml:space="preserve"> </w:t>
      </w:r>
      <w:r w:rsidRPr="007A03A6">
        <w:rPr>
          <w:szCs w:val="24"/>
          <w:lang w:val="es-ES"/>
        </w:rPr>
        <w:t>de</w:t>
      </w:r>
      <w:r w:rsidR="00D136BB">
        <w:rPr>
          <w:szCs w:val="24"/>
          <w:lang w:val="es-ES"/>
        </w:rPr>
        <w:t xml:space="preserve"> </w:t>
      </w:r>
      <w:r w:rsidRPr="007A03A6">
        <w:rPr>
          <w:szCs w:val="24"/>
          <w:vertAlign w:val="superscript"/>
          <w:lang w:val="es-ES"/>
        </w:rPr>
        <w:t>99</w:t>
      </w:r>
      <w:r w:rsidRPr="007A03A6">
        <w:rPr>
          <w:szCs w:val="24"/>
          <w:lang w:val="es-ES"/>
        </w:rPr>
        <w:t>Mo/</w:t>
      </w:r>
      <w:r w:rsidRPr="007A03A6">
        <w:rPr>
          <w:szCs w:val="24"/>
          <w:vertAlign w:val="superscript"/>
          <w:lang w:val="es-ES"/>
        </w:rPr>
        <w:t>99m</w:t>
      </w:r>
      <w:r w:rsidRPr="007A03A6">
        <w:rPr>
          <w:szCs w:val="24"/>
          <w:lang w:val="es-ES"/>
        </w:rPr>
        <w:t>Tc,</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demás</w:t>
      </w:r>
      <w:r w:rsidR="00D136BB">
        <w:rPr>
          <w:szCs w:val="24"/>
          <w:lang w:val="es-ES"/>
        </w:rPr>
        <w:t xml:space="preserve"> </w:t>
      </w:r>
      <w:r w:rsidRPr="007A03A6">
        <w:rPr>
          <w:szCs w:val="24"/>
          <w:lang w:val="es-ES"/>
        </w:rPr>
        <w:t>deben</w:t>
      </w:r>
      <w:r w:rsidR="00D136BB">
        <w:rPr>
          <w:szCs w:val="24"/>
          <w:lang w:val="es-ES"/>
        </w:rPr>
        <w:t xml:space="preserve"> </w:t>
      </w:r>
      <w:r w:rsidRPr="007A03A6">
        <w:rPr>
          <w:szCs w:val="24"/>
          <w:lang w:val="es-ES"/>
        </w:rPr>
        <w:t>importarlos.</w:t>
      </w:r>
      <w:r w:rsidR="00D136BB">
        <w:rPr>
          <w:szCs w:val="24"/>
          <w:lang w:val="es-ES"/>
        </w:rPr>
        <w:t xml:space="preserve"> </w:t>
      </w:r>
      <w:r w:rsidRPr="007A03A6">
        <w:rPr>
          <w:szCs w:val="24"/>
          <w:lang w:val="es-ES"/>
        </w:rPr>
        <w:t>A</w:t>
      </w:r>
      <w:r w:rsidR="00D136BB">
        <w:rPr>
          <w:szCs w:val="24"/>
          <w:lang w:val="es-ES"/>
        </w:rPr>
        <w:t xml:space="preserve"> </w:t>
      </w:r>
      <w:r w:rsidRPr="007A03A6">
        <w:rPr>
          <w:szCs w:val="24"/>
          <w:lang w:val="es-ES"/>
        </w:rPr>
        <w:t>nivel</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producción</w:t>
      </w:r>
      <w:r w:rsidR="00D136BB">
        <w:rPr>
          <w:szCs w:val="24"/>
          <w:lang w:val="es-ES"/>
        </w:rPr>
        <w:t xml:space="preserve"> </w:t>
      </w:r>
      <w:r w:rsidRPr="007A03A6">
        <w:rPr>
          <w:szCs w:val="24"/>
          <w:lang w:val="es-ES"/>
        </w:rPr>
        <w:t>nacional</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juegos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reactivos</w:t>
      </w:r>
      <w:r w:rsidR="00D136BB">
        <w:rPr>
          <w:szCs w:val="24"/>
          <w:lang w:val="es-ES"/>
        </w:rPr>
        <w:t xml:space="preserve"> </w:t>
      </w:r>
      <w:r w:rsidRPr="007A03A6">
        <w:rPr>
          <w:szCs w:val="24"/>
          <w:lang w:val="es-ES"/>
        </w:rPr>
        <w:t>para</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preparación</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radiofármacos</w:t>
      </w:r>
      <w:r w:rsidR="00D136BB">
        <w:rPr>
          <w:szCs w:val="24"/>
          <w:lang w:val="es-ES"/>
        </w:rPr>
        <w:t xml:space="preserve"> </w:t>
      </w:r>
      <w:r w:rsidRPr="007A03A6">
        <w:rPr>
          <w:szCs w:val="24"/>
          <w:lang w:val="es-ES"/>
        </w:rPr>
        <w:t>para</w:t>
      </w:r>
      <w:r w:rsidR="00D136BB">
        <w:rPr>
          <w:szCs w:val="24"/>
          <w:lang w:val="es-ES"/>
        </w:rPr>
        <w:t xml:space="preserve"> </w:t>
      </w:r>
      <w:r w:rsidRPr="007A03A6">
        <w:rPr>
          <w:szCs w:val="24"/>
          <w:lang w:val="es-ES"/>
        </w:rPr>
        <w:t>diagnóstico,</w:t>
      </w:r>
      <w:r w:rsidR="00D136BB">
        <w:rPr>
          <w:szCs w:val="24"/>
          <w:lang w:val="es-ES"/>
        </w:rPr>
        <w:t xml:space="preserve"> </w:t>
      </w:r>
      <w:r w:rsidRPr="007A03A6">
        <w:rPr>
          <w:szCs w:val="24"/>
          <w:lang w:val="es-ES"/>
        </w:rPr>
        <w:t>sólo</w:t>
      </w:r>
      <w:r w:rsidR="00D136BB">
        <w:rPr>
          <w:szCs w:val="24"/>
          <w:lang w:val="es-ES"/>
        </w:rPr>
        <w:t xml:space="preserve"> </w:t>
      </w:r>
      <w:r w:rsidRPr="007A03A6">
        <w:rPr>
          <w:szCs w:val="24"/>
          <w:lang w:val="es-ES"/>
        </w:rPr>
        <w:t>Argentina,</w:t>
      </w:r>
      <w:r w:rsidR="00D136BB">
        <w:rPr>
          <w:szCs w:val="24"/>
          <w:lang w:val="es-ES"/>
        </w:rPr>
        <w:t xml:space="preserve"> </w:t>
      </w:r>
      <w:r w:rsidRPr="007A03A6">
        <w:rPr>
          <w:szCs w:val="24"/>
          <w:lang w:val="es-ES"/>
        </w:rPr>
        <w:t>Brasil,</w:t>
      </w:r>
      <w:r w:rsidR="00D136BB">
        <w:rPr>
          <w:szCs w:val="24"/>
          <w:lang w:val="es-ES"/>
        </w:rPr>
        <w:t xml:space="preserve"> </w:t>
      </w:r>
      <w:r w:rsidRPr="007A03A6">
        <w:rPr>
          <w:szCs w:val="24"/>
          <w:lang w:val="es-ES"/>
        </w:rPr>
        <w:t>Chile</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Uruguay</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realizan.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mayoría</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países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región</w:t>
      </w:r>
      <w:r w:rsidR="00D136BB">
        <w:rPr>
          <w:szCs w:val="24"/>
          <w:lang w:val="es-ES"/>
        </w:rPr>
        <w:t xml:space="preserve"> </w:t>
      </w:r>
      <w:r w:rsidRPr="007A03A6">
        <w:rPr>
          <w:szCs w:val="24"/>
          <w:lang w:val="es-ES"/>
        </w:rPr>
        <w:t>tienen</w:t>
      </w:r>
      <w:r w:rsidR="00D136BB">
        <w:rPr>
          <w:szCs w:val="24"/>
          <w:lang w:val="es-ES"/>
        </w:rPr>
        <w:t xml:space="preserve"> </w:t>
      </w:r>
      <w:r w:rsidRPr="007A03A6">
        <w:rPr>
          <w:szCs w:val="24"/>
          <w:lang w:val="es-ES"/>
        </w:rPr>
        <w:t>niveles</w:t>
      </w:r>
      <w:r w:rsidR="00D136BB">
        <w:rPr>
          <w:szCs w:val="24"/>
          <w:lang w:val="es-ES"/>
        </w:rPr>
        <w:t xml:space="preserve"> </w:t>
      </w:r>
      <w:r w:rsidRPr="007A03A6">
        <w:rPr>
          <w:szCs w:val="24"/>
          <w:lang w:val="es-ES"/>
        </w:rPr>
        <w:t>operacionales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radiofarmacia</w:t>
      </w:r>
      <w:r w:rsidR="00D136BB">
        <w:rPr>
          <w:szCs w:val="24"/>
          <w:lang w:val="es-ES"/>
        </w:rPr>
        <w:t xml:space="preserve"> </w:t>
      </w:r>
      <w:r w:rsidRPr="007A03A6">
        <w:rPr>
          <w:szCs w:val="24"/>
          <w:lang w:val="es-ES"/>
        </w:rPr>
        <w:t>1</w:t>
      </w:r>
      <w:r w:rsidR="00D136BB">
        <w:rPr>
          <w:szCs w:val="24"/>
          <w:lang w:val="es-ES"/>
        </w:rPr>
        <w:t xml:space="preserve"> </w:t>
      </w:r>
      <w:r w:rsidRPr="007A03A6">
        <w:rPr>
          <w:szCs w:val="24"/>
          <w:lang w:val="es-ES"/>
        </w:rPr>
        <w:t>ó</w:t>
      </w:r>
      <w:r w:rsidR="00D136BB">
        <w:rPr>
          <w:szCs w:val="24"/>
          <w:lang w:val="es-ES"/>
        </w:rPr>
        <w:t xml:space="preserve"> </w:t>
      </w:r>
      <w:r w:rsidRPr="007A03A6">
        <w:rPr>
          <w:szCs w:val="24"/>
          <w:lang w:val="es-ES"/>
        </w:rPr>
        <w:t>2,</w:t>
      </w:r>
      <w:r w:rsidR="00D136BB">
        <w:rPr>
          <w:szCs w:val="24"/>
          <w:lang w:val="es-ES"/>
        </w:rPr>
        <w:t xml:space="preserve"> </w:t>
      </w:r>
      <w:r w:rsidRPr="007A03A6">
        <w:rPr>
          <w:szCs w:val="24"/>
          <w:lang w:val="es-ES"/>
        </w:rPr>
        <w:t>según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clasificación</w:t>
      </w:r>
      <w:r w:rsidR="00D136BB">
        <w:rPr>
          <w:szCs w:val="24"/>
          <w:lang w:val="es-ES"/>
        </w:rPr>
        <w:t xml:space="preserve"> </w:t>
      </w:r>
      <w:r w:rsidRPr="007A03A6">
        <w:rPr>
          <w:szCs w:val="24"/>
          <w:lang w:val="es-ES"/>
        </w:rPr>
        <w:t>del</w:t>
      </w:r>
      <w:r w:rsidR="00D136BB">
        <w:rPr>
          <w:szCs w:val="24"/>
          <w:lang w:val="es-ES"/>
        </w:rPr>
        <w:t xml:space="preserve"> </w:t>
      </w:r>
      <w:r w:rsidRPr="007A03A6">
        <w:rPr>
          <w:szCs w:val="24"/>
          <w:lang w:val="es-ES"/>
        </w:rPr>
        <w:t>OIEA</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guía</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operación</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radiofarmacia</w:t>
      </w:r>
      <w:r w:rsidR="00D136BB">
        <w:rPr>
          <w:szCs w:val="24"/>
          <w:lang w:val="es-ES"/>
        </w:rPr>
        <w:t xml:space="preserve"> </w:t>
      </w:r>
      <w:r w:rsidRPr="007A03A6">
        <w:rPr>
          <w:szCs w:val="24"/>
          <w:lang w:val="es-ES"/>
        </w:rPr>
        <w:t>hospitalaria.</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terapia</w:t>
      </w:r>
      <w:r w:rsidR="00D136BB">
        <w:rPr>
          <w:szCs w:val="24"/>
          <w:lang w:val="es-ES"/>
        </w:rPr>
        <w:t xml:space="preserve"> </w:t>
      </w:r>
      <w:r w:rsidRPr="007A03A6">
        <w:rPr>
          <w:szCs w:val="24"/>
          <w:lang w:val="es-ES"/>
        </w:rPr>
        <w:t>son</w:t>
      </w:r>
      <w:r w:rsidR="00D136BB">
        <w:rPr>
          <w:szCs w:val="24"/>
          <w:lang w:val="es-ES"/>
        </w:rPr>
        <w:t xml:space="preserve"> </w:t>
      </w:r>
      <w:r w:rsidRPr="007A03A6">
        <w:rPr>
          <w:szCs w:val="24"/>
          <w:lang w:val="es-ES"/>
        </w:rPr>
        <w:t>importados</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su</w:t>
      </w:r>
      <w:r w:rsidR="00D136BB">
        <w:rPr>
          <w:szCs w:val="24"/>
          <w:lang w:val="es-ES"/>
        </w:rPr>
        <w:t xml:space="preserve"> </w:t>
      </w:r>
      <w:r w:rsidRPr="007A03A6">
        <w:rPr>
          <w:szCs w:val="24"/>
          <w:lang w:val="es-ES"/>
        </w:rPr>
        <w:t>totalidad</w:t>
      </w:r>
      <w:r w:rsidR="00D136BB">
        <w:rPr>
          <w:szCs w:val="24"/>
          <w:lang w:val="es-ES"/>
        </w:rPr>
        <w:t xml:space="preserve"> </w:t>
      </w:r>
      <w:r w:rsidRPr="007A03A6">
        <w:rPr>
          <w:szCs w:val="24"/>
          <w:lang w:val="es-ES"/>
        </w:rPr>
        <w:t>a</w:t>
      </w:r>
      <w:r w:rsidR="00D136BB">
        <w:rPr>
          <w:szCs w:val="24"/>
          <w:lang w:val="es-ES"/>
        </w:rPr>
        <w:t xml:space="preserve"> </w:t>
      </w:r>
      <w:r w:rsidRPr="007A03A6">
        <w:rPr>
          <w:szCs w:val="24"/>
          <w:lang w:val="es-ES"/>
        </w:rPr>
        <w:t>excepción</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I-131</w:t>
      </w:r>
      <w:r w:rsidR="00D136BB">
        <w:rPr>
          <w:szCs w:val="24"/>
          <w:lang w:val="es-ES"/>
        </w:rPr>
        <w:t xml:space="preserve"> </w:t>
      </w:r>
      <w:r w:rsidRPr="007A03A6">
        <w:rPr>
          <w:szCs w:val="24"/>
          <w:lang w:val="es-ES"/>
        </w:rPr>
        <w:t>que</w:t>
      </w:r>
      <w:r w:rsidR="00D136BB">
        <w:rPr>
          <w:szCs w:val="24"/>
          <w:lang w:val="es-ES"/>
        </w:rPr>
        <w:t xml:space="preserve"> </w:t>
      </w:r>
      <w:r w:rsidRPr="007A03A6">
        <w:rPr>
          <w:szCs w:val="24"/>
          <w:lang w:val="es-ES"/>
        </w:rPr>
        <w:t>se</w:t>
      </w:r>
      <w:r w:rsidR="00D136BB">
        <w:rPr>
          <w:szCs w:val="24"/>
          <w:lang w:val="es-ES"/>
        </w:rPr>
        <w:t xml:space="preserve"> </w:t>
      </w:r>
      <w:r w:rsidRPr="007A03A6">
        <w:rPr>
          <w:szCs w:val="24"/>
          <w:lang w:val="es-ES"/>
        </w:rPr>
        <w:t>produce</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Argentina</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Brasil.</w:t>
      </w:r>
    </w:p>
    <w:p w14:paraId="69534C87" w14:textId="0448E8F8" w:rsidR="005D0292" w:rsidRPr="006C45C9" w:rsidRDefault="005D0292" w:rsidP="005D0292">
      <w:pPr>
        <w:pStyle w:val="BodyText"/>
        <w:rPr>
          <w:b/>
          <w:szCs w:val="24"/>
          <w:lang w:val="pt-BR"/>
        </w:rPr>
      </w:pPr>
      <w:r w:rsidRPr="006C45C9">
        <w:rPr>
          <w:b/>
          <w:szCs w:val="24"/>
          <w:lang w:val="pt-BR"/>
        </w:rPr>
        <w:t>Recurso</w:t>
      </w:r>
      <w:r w:rsidR="00D136BB">
        <w:rPr>
          <w:b/>
          <w:szCs w:val="24"/>
          <w:lang w:val="pt-BR"/>
        </w:rPr>
        <w:t xml:space="preserve"> </w:t>
      </w:r>
      <w:r w:rsidRPr="006C45C9">
        <w:rPr>
          <w:b/>
          <w:szCs w:val="24"/>
          <w:lang w:val="pt-BR"/>
        </w:rPr>
        <w:t>humano:</w:t>
      </w:r>
      <w:r w:rsidR="00D136BB">
        <w:rPr>
          <w:b/>
          <w:szCs w:val="24"/>
          <w:lang w:val="pt-BR"/>
        </w:rPr>
        <w:t xml:space="preserve"> </w:t>
      </w:r>
    </w:p>
    <w:p w14:paraId="3BABBC59" w14:textId="3A119922" w:rsidR="005D0292" w:rsidRPr="006C45C9" w:rsidRDefault="005D0292" w:rsidP="005D0292">
      <w:pPr>
        <w:pStyle w:val="BodyText"/>
        <w:rPr>
          <w:szCs w:val="24"/>
          <w:lang w:val="pt-BR"/>
        </w:rPr>
      </w:pPr>
      <w:r w:rsidRPr="006C45C9">
        <w:rPr>
          <w:szCs w:val="24"/>
          <w:lang w:val="pt-BR"/>
        </w:rPr>
        <w:t>Médicos</w:t>
      </w:r>
      <w:r w:rsidR="00D136BB">
        <w:rPr>
          <w:szCs w:val="24"/>
          <w:lang w:val="pt-BR"/>
        </w:rPr>
        <w:t xml:space="preserve"> </w:t>
      </w:r>
      <w:r w:rsidRPr="006C45C9">
        <w:rPr>
          <w:szCs w:val="24"/>
          <w:lang w:val="pt-BR"/>
        </w:rPr>
        <w:t>nucleares:</w:t>
      </w:r>
      <w:r w:rsidR="00D136BB">
        <w:rPr>
          <w:szCs w:val="24"/>
          <w:lang w:val="pt-BR"/>
        </w:rPr>
        <w:t xml:space="preserve"> </w:t>
      </w:r>
      <w:r w:rsidRPr="006C45C9">
        <w:rPr>
          <w:szCs w:val="24"/>
          <w:lang w:val="pt-BR"/>
        </w:rPr>
        <w:t>2</w:t>
      </w:r>
      <w:r w:rsidR="00D136BB">
        <w:rPr>
          <w:szCs w:val="24"/>
          <w:lang w:val="pt-BR"/>
        </w:rPr>
        <w:t xml:space="preserve"> </w:t>
      </w:r>
      <w:r w:rsidRPr="006C45C9">
        <w:rPr>
          <w:szCs w:val="24"/>
          <w:lang w:val="pt-BR"/>
        </w:rPr>
        <w:t>063</w:t>
      </w:r>
    </w:p>
    <w:p w14:paraId="46656BFD" w14:textId="7C425263" w:rsidR="005D0292" w:rsidRPr="006C45C9" w:rsidRDefault="005D0292" w:rsidP="005D0292">
      <w:pPr>
        <w:pStyle w:val="BodyText"/>
        <w:rPr>
          <w:szCs w:val="24"/>
          <w:lang w:val="pt-BR"/>
        </w:rPr>
      </w:pPr>
      <w:r w:rsidRPr="006C45C9">
        <w:rPr>
          <w:szCs w:val="24"/>
          <w:lang w:val="pt-BR"/>
        </w:rPr>
        <w:t>Físicos</w:t>
      </w:r>
      <w:r w:rsidR="00D136BB">
        <w:rPr>
          <w:szCs w:val="24"/>
          <w:lang w:val="pt-BR"/>
        </w:rPr>
        <w:t xml:space="preserve"> </w:t>
      </w:r>
      <w:r w:rsidRPr="006C45C9">
        <w:rPr>
          <w:szCs w:val="24"/>
          <w:lang w:val="pt-BR"/>
        </w:rPr>
        <w:t>médicos</w:t>
      </w:r>
      <w:r w:rsidR="00D136BB">
        <w:rPr>
          <w:szCs w:val="24"/>
          <w:lang w:val="pt-BR"/>
        </w:rPr>
        <w:t xml:space="preserve"> </w:t>
      </w:r>
      <w:r w:rsidRPr="006C45C9">
        <w:rPr>
          <w:szCs w:val="24"/>
          <w:lang w:val="pt-BR"/>
        </w:rPr>
        <w:t>de</w:t>
      </w:r>
      <w:r w:rsidR="00D136BB">
        <w:rPr>
          <w:szCs w:val="24"/>
          <w:lang w:val="pt-BR"/>
        </w:rPr>
        <w:t xml:space="preserve"> </w:t>
      </w:r>
      <w:r w:rsidRPr="006C45C9">
        <w:rPr>
          <w:szCs w:val="24"/>
          <w:lang w:val="pt-BR"/>
        </w:rPr>
        <w:t>medicina</w:t>
      </w:r>
      <w:r w:rsidR="00D136BB">
        <w:rPr>
          <w:szCs w:val="24"/>
          <w:lang w:val="pt-BR"/>
        </w:rPr>
        <w:t xml:space="preserve"> </w:t>
      </w:r>
      <w:r w:rsidRPr="006C45C9">
        <w:rPr>
          <w:szCs w:val="24"/>
          <w:lang w:val="pt-BR"/>
        </w:rPr>
        <w:t>nuclear:</w:t>
      </w:r>
      <w:r w:rsidR="00D136BB">
        <w:rPr>
          <w:szCs w:val="24"/>
          <w:lang w:val="pt-BR"/>
        </w:rPr>
        <w:t xml:space="preserve"> </w:t>
      </w:r>
      <w:r w:rsidRPr="006C45C9">
        <w:rPr>
          <w:szCs w:val="24"/>
          <w:lang w:val="pt-BR"/>
        </w:rPr>
        <w:t>158</w:t>
      </w:r>
    </w:p>
    <w:p w14:paraId="3BEC9197" w14:textId="499EEE3B" w:rsidR="005D0292" w:rsidRPr="006C45C9" w:rsidRDefault="005D0292" w:rsidP="005D0292">
      <w:pPr>
        <w:pStyle w:val="BodyText"/>
        <w:rPr>
          <w:szCs w:val="24"/>
          <w:lang w:val="pt-BR"/>
        </w:rPr>
      </w:pPr>
      <w:r w:rsidRPr="006C45C9">
        <w:rPr>
          <w:szCs w:val="24"/>
          <w:lang w:val="pt-BR"/>
        </w:rPr>
        <w:t>Radiofarmacéuticos:</w:t>
      </w:r>
      <w:r w:rsidR="00D136BB">
        <w:rPr>
          <w:szCs w:val="24"/>
          <w:lang w:val="pt-BR"/>
        </w:rPr>
        <w:t xml:space="preserve"> </w:t>
      </w:r>
      <w:r w:rsidRPr="006C45C9">
        <w:rPr>
          <w:szCs w:val="24"/>
          <w:lang w:val="pt-BR"/>
        </w:rPr>
        <w:t>93</w:t>
      </w:r>
    </w:p>
    <w:p w14:paraId="7D9A2F09" w14:textId="47D293E9" w:rsidR="005D0292" w:rsidRPr="006C45C9" w:rsidRDefault="005D0292" w:rsidP="005D0292">
      <w:pPr>
        <w:pStyle w:val="BodyText"/>
        <w:rPr>
          <w:szCs w:val="24"/>
          <w:lang w:val="pt-BR"/>
        </w:rPr>
      </w:pPr>
      <w:r w:rsidRPr="006C45C9">
        <w:rPr>
          <w:szCs w:val="24"/>
          <w:lang w:val="pt-BR"/>
        </w:rPr>
        <w:t>Tecnólogos:</w:t>
      </w:r>
      <w:r w:rsidR="00D136BB">
        <w:rPr>
          <w:szCs w:val="24"/>
          <w:lang w:val="pt-BR"/>
        </w:rPr>
        <w:t xml:space="preserve"> </w:t>
      </w:r>
      <w:r w:rsidRPr="006C45C9">
        <w:rPr>
          <w:szCs w:val="24"/>
          <w:lang w:val="pt-BR"/>
        </w:rPr>
        <w:t>2</w:t>
      </w:r>
      <w:r w:rsidR="00D136BB">
        <w:rPr>
          <w:szCs w:val="24"/>
          <w:lang w:val="pt-BR"/>
        </w:rPr>
        <w:t xml:space="preserve"> </w:t>
      </w:r>
      <w:r w:rsidRPr="006C45C9">
        <w:rPr>
          <w:szCs w:val="24"/>
          <w:lang w:val="pt-BR"/>
        </w:rPr>
        <w:t>062</w:t>
      </w:r>
    </w:p>
    <w:p w14:paraId="1F0B5CAA" w14:textId="1CF1E8C1" w:rsidR="005D0292" w:rsidRPr="006C45C9" w:rsidRDefault="005D0292" w:rsidP="005D0292">
      <w:pPr>
        <w:pStyle w:val="BodyText"/>
        <w:rPr>
          <w:szCs w:val="24"/>
          <w:lang w:val="pt-BR"/>
        </w:rPr>
      </w:pPr>
      <w:r w:rsidRPr="006C45C9">
        <w:rPr>
          <w:szCs w:val="24"/>
          <w:lang w:val="pt-BR"/>
        </w:rPr>
        <w:t>Médicos</w:t>
      </w:r>
      <w:r w:rsidR="00D136BB">
        <w:rPr>
          <w:szCs w:val="24"/>
          <w:lang w:val="pt-BR"/>
        </w:rPr>
        <w:t xml:space="preserve"> </w:t>
      </w:r>
      <w:r w:rsidRPr="006C45C9">
        <w:rPr>
          <w:szCs w:val="24"/>
          <w:lang w:val="pt-BR"/>
        </w:rPr>
        <w:t>radiooncólogos</w:t>
      </w:r>
    </w:p>
    <w:p w14:paraId="11EEAAEB" w14:textId="1D77D73E" w:rsidR="005D0292" w:rsidRPr="006C45C9" w:rsidRDefault="005D0292" w:rsidP="005D0292">
      <w:pPr>
        <w:pStyle w:val="BodyText"/>
        <w:rPr>
          <w:szCs w:val="24"/>
          <w:lang w:val="pt-BR"/>
        </w:rPr>
      </w:pPr>
      <w:r w:rsidRPr="006C45C9">
        <w:rPr>
          <w:szCs w:val="24"/>
          <w:lang w:val="pt-BR"/>
        </w:rPr>
        <w:t>Físicos</w:t>
      </w:r>
      <w:r w:rsidR="00D136BB">
        <w:rPr>
          <w:szCs w:val="24"/>
          <w:lang w:val="pt-BR"/>
        </w:rPr>
        <w:t xml:space="preserve"> </w:t>
      </w:r>
      <w:r w:rsidRPr="006C45C9">
        <w:rPr>
          <w:szCs w:val="24"/>
          <w:lang w:val="pt-BR"/>
        </w:rPr>
        <w:t>médicos</w:t>
      </w:r>
      <w:r w:rsidR="00D136BB">
        <w:rPr>
          <w:szCs w:val="24"/>
          <w:lang w:val="pt-BR"/>
        </w:rPr>
        <w:t xml:space="preserve"> </w:t>
      </w:r>
      <w:r w:rsidRPr="006C45C9">
        <w:rPr>
          <w:szCs w:val="24"/>
          <w:lang w:val="pt-BR"/>
        </w:rPr>
        <w:t>de</w:t>
      </w:r>
      <w:r w:rsidR="00D136BB">
        <w:rPr>
          <w:szCs w:val="24"/>
          <w:lang w:val="pt-BR"/>
        </w:rPr>
        <w:t xml:space="preserve"> </w:t>
      </w:r>
      <w:r w:rsidRPr="006C45C9">
        <w:rPr>
          <w:szCs w:val="24"/>
          <w:lang w:val="pt-BR"/>
        </w:rPr>
        <w:t>radioterapia</w:t>
      </w:r>
    </w:p>
    <w:p w14:paraId="0C1FC5F4" w14:textId="77777777" w:rsidR="005D0292" w:rsidRPr="006C45C9" w:rsidRDefault="005D0292" w:rsidP="005D0292">
      <w:pPr>
        <w:pStyle w:val="BodyText"/>
        <w:rPr>
          <w:szCs w:val="24"/>
          <w:lang w:val="pt-BR"/>
        </w:rPr>
      </w:pPr>
      <w:r w:rsidRPr="006C45C9">
        <w:rPr>
          <w:szCs w:val="24"/>
          <w:lang w:val="pt-BR"/>
        </w:rPr>
        <w:lastRenderedPageBreak/>
        <w:t>Tecnólogos</w:t>
      </w:r>
    </w:p>
    <w:p w14:paraId="39F9C72E" w14:textId="3F0EDE74" w:rsidR="005D0292" w:rsidRPr="006C45C9" w:rsidRDefault="005D0292" w:rsidP="005D0292">
      <w:pPr>
        <w:pStyle w:val="BodyText"/>
        <w:rPr>
          <w:szCs w:val="24"/>
          <w:lang w:val="pt-BR"/>
        </w:rPr>
      </w:pPr>
      <w:r w:rsidRPr="006C45C9">
        <w:rPr>
          <w:szCs w:val="24"/>
          <w:lang w:val="pt-BR"/>
        </w:rPr>
        <w:t>Enfermeros</w:t>
      </w:r>
      <w:r w:rsidR="00D136BB">
        <w:rPr>
          <w:szCs w:val="24"/>
          <w:lang w:val="pt-BR"/>
        </w:rPr>
        <w:t xml:space="preserve"> </w:t>
      </w:r>
    </w:p>
    <w:p w14:paraId="3E5B09A0" w14:textId="26580670" w:rsidR="005D0292" w:rsidRPr="007A03A6" w:rsidRDefault="005D0292" w:rsidP="005D0292">
      <w:pPr>
        <w:pStyle w:val="BodyText"/>
        <w:rPr>
          <w:szCs w:val="24"/>
          <w:lang w:val="es-ES"/>
        </w:rPr>
      </w:pPr>
      <w:r w:rsidRPr="007A03A6">
        <w:rPr>
          <w:szCs w:val="24"/>
          <w:lang w:val="es-ES"/>
        </w:rPr>
        <w:t>La</w:t>
      </w:r>
      <w:r w:rsidR="00D136BB">
        <w:rPr>
          <w:szCs w:val="24"/>
          <w:lang w:val="es-ES"/>
        </w:rPr>
        <w:t xml:space="preserve"> </w:t>
      </w:r>
      <w:r w:rsidRPr="007A03A6">
        <w:rPr>
          <w:szCs w:val="24"/>
          <w:lang w:val="es-ES"/>
        </w:rPr>
        <w:t>radioterapia</w:t>
      </w:r>
      <w:r w:rsidR="00D136BB">
        <w:rPr>
          <w:szCs w:val="24"/>
          <w:lang w:val="es-ES"/>
        </w:rPr>
        <w:t xml:space="preserve"> </w:t>
      </w:r>
      <w:r w:rsidRPr="007A03A6">
        <w:rPr>
          <w:szCs w:val="24"/>
          <w:lang w:val="es-ES"/>
        </w:rPr>
        <w:t>es</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terapéutica</w:t>
      </w:r>
      <w:r w:rsidR="00D136BB">
        <w:rPr>
          <w:szCs w:val="24"/>
          <w:lang w:val="es-ES"/>
        </w:rPr>
        <w:t xml:space="preserve"> </w:t>
      </w:r>
      <w:r w:rsidRPr="007A03A6">
        <w:rPr>
          <w:szCs w:val="24"/>
          <w:lang w:val="es-ES"/>
        </w:rPr>
        <w:t>no</w:t>
      </w:r>
      <w:r w:rsidR="00D136BB">
        <w:rPr>
          <w:szCs w:val="24"/>
          <w:lang w:val="es-ES"/>
        </w:rPr>
        <w:t xml:space="preserve"> </w:t>
      </w:r>
      <w:r w:rsidRPr="007A03A6">
        <w:rPr>
          <w:szCs w:val="24"/>
          <w:lang w:val="es-ES"/>
        </w:rPr>
        <w:t>quirúrgica</w:t>
      </w:r>
      <w:r w:rsidR="00D136BB">
        <w:rPr>
          <w:szCs w:val="24"/>
          <w:lang w:val="es-ES"/>
        </w:rPr>
        <w:t xml:space="preserve"> </w:t>
      </w:r>
      <w:r w:rsidRPr="007A03A6">
        <w:rPr>
          <w:szCs w:val="24"/>
          <w:lang w:val="es-ES"/>
        </w:rPr>
        <w:t>que</w:t>
      </w:r>
      <w:r w:rsidR="00D136BB">
        <w:rPr>
          <w:szCs w:val="24"/>
          <w:lang w:val="es-ES"/>
        </w:rPr>
        <w:t xml:space="preserve"> </w:t>
      </w:r>
      <w:r w:rsidRPr="007A03A6">
        <w:rPr>
          <w:szCs w:val="24"/>
          <w:lang w:val="es-ES"/>
        </w:rPr>
        <w:t>obtiene</w:t>
      </w:r>
      <w:r w:rsidR="00D136BB">
        <w:rPr>
          <w:szCs w:val="24"/>
          <w:lang w:val="es-ES"/>
        </w:rPr>
        <w:t xml:space="preserve"> </w:t>
      </w:r>
      <w:r w:rsidRPr="007A03A6">
        <w:rPr>
          <w:szCs w:val="24"/>
          <w:lang w:val="es-ES"/>
        </w:rPr>
        <w:t>más</w:t>
      </w:r>
      <w:r w:rsidR="00D136BB">
        <w:rPr>
          <w:szCs w:val="24"/>
          <w:lang w:val="es-ES"/>
        </w:rPr>
        <w:t xml:space="preserve"> </w:t>
      </w:r>
      <w:r w:rsidRPr="007A03A6">
        <w:rPr>
          <w:szCs w:val="24"/>
          <w:lang w:val="es-ES"/>
        </w:rPr>
        <w:t>curaciones</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cáncer</w:t>
      </w:r>
      <w:r w:rsidR="00D136BB">
        <w:rPr>
          <w:szCs w:val="24"/>
          <w:lang w:val="es-ES"/>
        </w:rPr>
        <w:t xml:space="preserve"> </w:t>
      </w:r>
      <w:r w:rsidRPr="007A03A6">
        <w:rPr>
          <w:szCs w:val="24"/>
          <w:lang w:val="es-ES"/>
        </w:rPr>
        <w:t>(cirugía</w:t>
      </w:r>
      <w:r w:rsidR="00D136BB">
        <w:rPr>
          <w:szCs w:val="24"/>
          <w:lang w:val="es-ES"/>
        </w:rPr>
        <w:t xml:space="preserve"> </w:t>
      </w:r>
      <w:r w:rsidRPr="007A03A6">
        <w:rPr>
          <w:szCs w:val="24"/>
          <w:lang w:val="es-ES"/>
        </w:rPr>
        <w:t>49%,</w:t>
      </w:r>
      <w:r w:rsidR="00D136BB">
        <w:rPr>
          <w:szCs w:val="24"/>
          <w:lang w:val="es-ES"/>
        </w:rPr>
        <w:t xml:space="preserve"> </w:t>
      </w:r>
      <w:r w:rsidRPr="007A03A6">
        <w:rPr>
          <w:szCs w:val="24"/>
          <w:lang w:val="es-ES"/>
        </w:rPr>
        <w:t>radioterapia</w:t>
      </w:r>
      <w:r w:rsidR="00D136BB">
        <w:rPr>
          <w:szCs w:val="24"/>
          <w:lang w:val="es-ES"/>
        </w:rPr>
        <w:t xml:space="preserve"> </w:t>
      </w:r>
      <w:r w:rsidRPr="007A03A6">
        <w:rPr>
          <w:szCs w:val="24"/>
          <w:lang w:val="es-ES"/>
        </w:rPr>
        <w:t>40%</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quimioterapia</w:t>
      </w:r>
      <w:r w:rsidR="00D136BB">
        <w:rPr>
          <w:szCs w:val="24"/>
          <w:lang w:val="es-ES"/>
        </w:rPr>
        <w:t xml:space="preserve"> </w:t>
      </w:r>
      <w:r w:rsidRPr="007A03A6">
        <w:rPr>
          <w:szCs w:val="24"/>
          <w:lang w:val="es-ES"/>
        </w:rPr>
        <w:t>11%).</w:t>
      </w:r>
      <w:r w:rsidR="00D136BB">
        <w:rPr>
          <w:szCs w:val="24"/>
          <w:lang w:val="es-ES"/>
        </w:rPr>
        <w:t xml:space="preserve"> </w:t>
      </w:r>
      <w:r w:rsidRPr="007A03A6">
        <w:rPr>
          <w:szCs w:val="24"/>
          <w:lang w:val="es-ES"/>
        </w:rPr>
        <w:t>Se</w:t>
      </w:r>
      <w:r w:rsidR="00D136BB">
        <w:rPr>
          <w:szCs w:val="24"/>
          <w:lang w:val="es-ES"/>
        </w:rPr>
        <w:t xml:space="preserve"> </w:t>
      </w:r>
      <w:r w:rsidRPr="007A03A6">
        <w:rPr>
          <w:szCs w:val="24"/>
          <w:lang w:val="es-ES"/>
        </w:rPr>
        <w:t>utiliza</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fines</w:t>
      </w:r>
      <w:r w:rsidR="00D136BB">
        <w:rPr>
          <w:szCs w:val="24"/>
          <w:lang w:val="es-ES"/>
        </w:rPr>
        <w:t xml:space="preserve"> </w:t>
      </w:r>
      <w:r w:rsidRPr="007A03A6">
        <w:rPr>
          <w:szCs w:val="24"/>
          <w:lang w:val="es-ES"/>
        </w:rPr>
        <w:t>curativos</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60%</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pacientes</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es</w:t>
      </w:r>
      <w:r w:rsidR="00D136BB">
        <w:rPr>
          <w:szCs w:val="24"/>
          <w:lang w:val="es-ES"/>
        </w:rPr>
        <w:t xml:space="preserve"> </w:t>
      </w:r>
      <w:r w:rsidRPr="007A03A6">
        <w:rPr>
          <w:szCs w:val="24"/>
          <w:lang w:val="es-ES"/>
        </w:rPr>
        <w:t>cada</w:t>
      </w:r>
      <w:r w:rsidR="00D136BB">
        <w:rPr>
          <w:szCs w:val="24"/>
          <w:lang w:val="es-ES"/>
        </w:rPr>
        <w:t xml:space="preserve"> </w:t>
      </w:r>
      <w:r w:rsidRPr="007A03A6">
        <w:rPr>
          <w:szCs w:val="24"/>
          <w:lang w:val="es-ES"/>
        </w:rPr>
        <w:t>vez</w:t>
      </w:r>
      <w:r w:rsidR="00D136BB">
        <w:rPr>
          <w:szCs w:val="24"/>
          <w:lang w:val="es-ES"/>
        </w:rPr>
        <w:t xml:space="preserve"> </w:t>
      </w:r>
      <w:r w:rsidRPr="007A03A6">
        <w:rPr>
          <w:szCs w:val="24"/>
          <w:lang w:val="es-ES"/>
        </w:rPr>
        <w:t>más</w:t>
      </w:r>
      <w:r w:rsidR="00D136BB">
        <w:rPr>
          <w:szCs w:val="24"/>
          <w:lang w:val="es-ES"/>
        </w:rPr>
        <w:t xml:space="preserve"> </w:t>
      </w:r>
      <w:r w:rsidRPr="007A03A6">
        <w:rPr>
          <w:szCs w:val="24"/>
          <w:lang w:val="es-ES"/>
        </w:rPr>
        <w:t>eficaz</w:t>
      </w:r>
      <w:r w:rsidR="00D136BB">
        <w:rPr>
          <w:szCs w:val="24"/>
          <w:lang w:val="es-ES"/>
        </w:rPr>
        <w:t xml:space="preserve"> </w:t>
      </w:r>
      <w:r w:rsidRPr="007A03A6">
        <w:rPr>
          <w:szCs w:val="24"/>
          <w:lang w:val="es-ES"/>
        </w:rPr>
        <w:t>al</w:t>
      </w:r>
      <w:r w:rsidR="00D136BB">
        <w:rPr>
          <w:szCs w:val="24"/>
          <w:lang w:val="es-ES"/>
        </w:rPr>
        <w:t xml:space="preserve"> </w:t>
      </w:r>
      <w:r w:rsidRPr="007A03A6">
        <w:rPr>
          <w:szCs w:val="24"/>
          <w:lang w:val="es-ES"/>
        </w:rPr>
        <w:t>combinarse</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cirugía</w:t>
      </w:r>
      <w:r w:rsidR="00D136BB">
        <w:rPr>
          <w:szCs w:val="24"/>
          <w:lang w:val="es-ES"/>
        </w:rPr>
        <w:t xml:space="preserve"> </w:t>
      </w:r>
      <w:r w:rsidRPr="007A03A6">
        <w:rPr>
          <w:szCs w:val="24"/>
          <w:lang w:val="es-ES"/>
        </w:rPr>
        <w:t>y/o</w:t>
      </w:r>
      <w:r w:rsidR="00D136BB">
        <w:rPr>
          <w:szCs w:val="24"/>
          <w:lang w:val="es-ES"/>
        </w:rPr>
        <w:t xml:space="preserve"> </w:t>
      </w:r>
      <w:r w:rsidRPr="007A03A6">
        <w:rPr>
          <w:szCs w:val="24"/>
          <w:lang w:val="es-ES"/>
        </w:rPr>
        <w:t>quimioterapia</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últimamente</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terapias</w:t>
      </w:r>
      <w:r w:rsidR="00D136BB">
        <w:rPr>
          <w:szCs w:val="24"/>
          <w:lang w:val="es-ES"/>
        </w:rPr>
        <w:t xml:space="preserve"> </w:t>
      </w:r>
      <w:r w:rsidRPr="007A03A6">
        <w:rPr>
          <w:szCs w:val="24"/>
          <w:lang w:val="es-ES"/>
        </w:rPr>
        <w:t>biológicas.</w:t>
      </w:r>
      <w:r w:rsidR="00D136BB">
        <w:rPr>
          <w:szCs w:val="24"/>
          <w:lang w:val="es-ES"/>
        </w:rPr>
        <w:t xml:space="preserve"> </w:t>
      </w:r>
      <w:r w:rsidRPr="007A03A6">
        <w:rPr>
          <w:szCs w:val="24"/>
          <w:lang w:val="es-ES"/>
        </w:rPr>
        <w:t>Es</w:t>
      </w:r>
      <w:r w:rsidR="00D136BB">
        <w:rPr>
          <w:szCs w:val="24"/>
          <w:lang w:val="es-ES"/>
        </w:rPr>
        <w:t xml:space="preserve"> </w:t>
      </w:r>
      <w:r w:rsidRPr="007A03A6">
        <w:rPr>
          <w:szCs w:val="24"/>
          <w:lang w:val="es-ES"/>
        </w:rPr>
        <w:t>una</w:t>
      </w:r>
      <w:r w:rsidR="00D136BB">
        <w:rPr>
          <w:szCs w:val="24"/>
          <w:lang w:val="es-ES"/>
        </w:rPr>
        <w:t xml:space="preserve"> </w:t>
      </w:r>
      <w:r w:rsidRPr="007A03A6">
        <w:rPr>
          <w:szCs w:val="24"/>
          <w:lang w:val="es-ES"/>
        </w:rPr>
        <w:t>efectiva</w:t>
      </w:r>
      <w:r w:rsidR="00D136BB">
        <w:rPr>
          <w:szCs w:val="24"/>
          <w:lang w:val="es-ES"/>
        </w:rPr>
        <w:t xml:space="preserve"> </w:t>
      </w:r>
      <w:r w:rsidRPr="007A03A6">
        <w:rPr>
          <w:szCs w:val="24"/>
          <w:lang w:val="es-ES"/>
        </w:rPr>
        <w:t>opción</w:t>
      </w:r>
      <w:r w:rsidR="00D136BB">
        <w:rPr>
          <w:szCs w:val="24"/>
          <w:lang w:val="es-ES"/>
        </w:rPr>
        <w:t xml:space="preserve"> </w:t>
      </w:r>
      <w:r w:rsidRPr="007A03A6">
        <w:rPr>
          <w:szCs w:val="24"/>
          <w:lang w:val="es-ES"/>
        </w:rPr>
        <w:t>para</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paliación</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control</w:t>
      </w:r>
      <w:r w:rsidR="00D136BB">
        <w:rPr>
          <w:szCs w:val="24"/>
          <w:lang w:val="es-ES"/>
        </w:rPr>
        <w:t xml:space="preserve"> </w:t>
      </w:r>
      <w:r w:rsidRPr="007A03A6">
        <w:rPr>
          <w:szCs w:val="24"/>
          <w:lang w:val="es-ES"/>
        </w:rPr>
        <w:t>sintomático</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el</w:t>
      </w:r>
      <w:r w:rsidR="00D136BB">
        <w:rPr>
          <w:szCs w:val="24"/>
          <w:lang w:val="es-ES"/>
        </w:rPr>
        <w:t xml:space="preserve"> </w:t>
      </w:r>
      <w:r w:rsidRPr="007A03A6">
        <w:rPr>
          <w:szCs w:val="24"/>
          <w:lang w:val="es-ES"/>
        </w:rPr>
        <w:t>cáncer</w:t>
      </w:r>
      <w:r w:rsidR="00D136BB">
        <w:rPr>
          <w:szCs w:val="24"/>
          <w:lang w:val="es-ES"/>
        </w:rPr>
        <w:t xml:space="preserve"> </w:t>
      </w:r>
      <w:r w:rsidRPr="007A03A6">
        <w:rPr>
          <w:szCs w:val="24"/>
          <w:lang w:val="es-ES"/>
        </w:rPr>
        <w:t>avanzado.</w:t>
      </w:r>
      <w:r w:rsidR="00D136BB">
        <w:rPr>
          <w:szCs w:val="24"/>
          <w:lang w:val="es-ES"/>
        </w:rPr>
        <w:t xml:space="preserve"> </w:t>
      </w:r>
      <w:r w:rsidRPr="007A03A6">
        <w:rPr>
          <w:szCs w:val="24"/>
          <w:lang w:val="es-ES"/>
        </w:rPr>
        <w:t>Sustituye</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muchos</w:t>
      </w:r>
      <w:r w:rsidR="00D136BB">
        <w:rPr>
          <w:szCs w:val="24"/>
          <w:lang w:val="es-ES"/>
        </w:rPr>
        <w:t xml:space="preserve"> </w:t>
      </w:r>
      <w:r w:rsidRPr="007A03A6">
        <w:rPr>
          <w:szCs w:val="24"/>
          <w:lang w:val="es-ES"/>
        </w:rPr>
        <w:t>casos</w:t>
      </w:r>
      <w:r w:rsidR="00D136BB">
        <w:rPr>
          <w:szCs w:val="24"/>
          <w:lang w:val="es-ES"/>
        </w:rPr>
        <w:t xml:space="preserve"> </w:t>
      </w:r>
      <w:r w:rsidRPr="007A03A6">
        <w:rPr>
          <w:szCs w:val="24"/>
          <w:lang w:val="es-ES"/>
        </w:rPr>
        <w:t>a</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cirugía</w:t>
      </w:r>
      <w:r w:rsidR="00D136BB">
        <w:rPr>
          <w:szCs w:val="24"/>
          <w:lang w:val="es-ES"/>
        </w:rPr>
        <w:t xml:space="preserve"> </w:t>
      </w:r>
      <w:r w:rsidRPr="007A03A6">
        <w:rPr>
          <w:szCs w:val="24"/>
          <w:lang w:val="es-ES"/>
        </w:rPr>
        <w:t>obteniendo</w:t>
      </w:r>
      <w:r w:rsidR="00D136BB">
        <w:rPr>
          <w:szCs w:val="24"/>
          <w:lang w:val="es-ES"/>
        </w:rPr>
        <w:t xml:space="preserve"> </w:t>
      </w:r>
      <w:r w:rsidRPr="007A03A6">
        <w:rPr>
          <w:szCs w:val="24"/>
          <w:lang w:val="es-ES"/>
        </w:rPr>
        <w:t>mayores</w:t>
      </w:r>
      <w:r w:rsidR="00D136BB">
        <w:rPr>
          <w:szCs w:val="24"/>
          <w:lang w:val="es-ES"/>
        </w:rPr>
        <w:t xml:space="preserve"> </w:t>
      </w:r>
      <w:r w:rsidRPr="007A03A6">
        <w:rPr>
          <w:szCs w:val="24"/>
          <w:lang w:val="es-ES"/>
        </w:rPr>
        <w:t>índices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preservación</w:t>
      </w:r>
      <w:r w:rsidR="00D136BB">
        <w:rPr>
          <w:szCs w:val="24"/>
          <w:lang w:val="es-ES"/>
        </w:rPr>
        <w:t xml:space="preserve"> </w:t>
      </w:r>
      <w:r w:rsidRPr="007A03A6">
        <w:rPr>
          <w:szCs w:val="24"/>
          <w:lang w:val="es-ES"/>
        </w:rPr>
        <w:t>anatómica</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funcional</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órganos,</w:t>
      </w:r>
      <w:r w:rsidR="00D136BB">
        <w:rPr>
          <w:szCs w:val="24"/>
          <w:lang w:val="es-ES"/>
        </w:rPr>
        <w:t xml:space="preserve"> </w:t>
      </w:r>
      <w:r w:rsidRPr="007A03A6">
        <w:rPr>
          <w:szCs w:val="24"/>
          <w:lang w:val="es-ES"/>
        </w:rPr>
        <w:t>mejorando</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calidad</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vida</w:t>
      </w:r>
      <w:r w:rsidR="00D136BB">
        <w:rPr>
          <w:szCs w:val="24"/>
          <w:lang w:val="es-ES"/>
        </w:rPr>
        <w:t xml:space="preserve"> </w:t>
      </w:r>
      <w:r w:rsidRPr="007A03A6">
        <w:rPr>
          <w:szCs w:val="24"/>
          <w:lang w:val="es-ES"/>
        </w:rPr>
        <w:t>del</w:t>
      </w:r>
      <w:r w:rsidR="00D136BB">
        <w:rPr>
          <w:szCs w:val="24"/>
          <w:lang w:val="es-ES"/>
        </w:rPr>
        <w:t xml:space="preserve"> </w:t>
      </w:r>
      <w:r w:rsidRPr="007A03A6">
        <w:rPr>
          <w:szCs w:val="24"/>
          <w:lang w:val="es-ES"/>
        </w:rPr>
        <w:t>paciente</w:t>
      </w:r>
      <w:r w:rsidR="00D136BB">
        <w:rPr>
          <w:szCs w:val="24"/>
          <w:lang w:val="es-ES"/>
        </w:rPr>
        <w:t xml:space="preserve"> </w:t>
      </w:r>
      <w:r w:rsidRPr="007A03A6">
        <w:rPr>
          <w:szCs w:val="24"/>
          <w:lang w:val="es-ES"/>
        </w:rPr>
        <w:t>oncológico</w:t>
      </w:r>
      <w:r w:rsidR="00D136BB">
        <w:rPr>
          <w:szCs w:val="24"/>
          <w:lang w:val="es-ES"/>
        </w:rPr>
        <w:t xml:space="preserve"> </w:t>
      </w:r>
      <w:r w:rsidRPr="007A03A6">
        <w:rPr>
          <w:szCs w:val="24"/>
          <w:lang w:val="es-ES"/>
        </w:rPr>
        <w:t>tanto</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casos</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intención</w:t>
      </w:r>
      <w:r w:rsidR="00D136BB">
        <w:rPr>
          <w:szCs w:val="24"/>
          <w:lang w:val="es-ES"/>
        </w:rPr>
        <w:t xml:space="preserve"> </w:t>
      </w:r>
      <w:r w:rsidRPr="007A03A6">
        <w:rPr>
          <w:szCs w:val="24"/>
          <w:lang w:val="es-ES"/>
        </w:rPr>
        <w:t>curativa</w:t>
      </w:r>
      <w:r w:rsidR="00D136BB">
        <w:rPr>
          <w:szCs w:val="24"/>
          <w:lang w:val="es-ES"/>
        </w:rPr>
        <w:t xml:space="preserve"> </w:t>
      </w:r>
      <w:r w:rsidRPr="007A03A6">
        <w:rPr>
          <w:szCs w:val="24"/>
          <w:lang w:val="es-ES"/>
        </w:rPr>
        <w:t>como</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enfermedad</w:t>
      </w:r>
      <w:r w:rsidR="00D136BB">
        <w:rPr>
          <w:szCs w:val="24"/>
          <w:lang w:val="es-ES"/>
        </w:rPr>
        <w:t xml:space="preserve"> </w:t>
      </w:r>
      <w:r w:rsidRPr="007A03A6">
        <w:rPr>
          <w:szCs w:val="24"/>
          <w:lang w:val="es-ES"/>
        </w:rPr>
        <w:t>oligometastásica</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técnicas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radiocirugía.</w:t>
      </w:r>
      <w:r w:rsidR="00D136BB">
        <w:rPr>
          <w:szCs w:val="24"/>
          <w:lang w:val="es-ES"/>
        </w:rPr>
        <w:t xml:space="preserve"> </w:t>
      </w:r>
      <w:r w:rsidRPr="007A03A6">
        <w:rPr>
          <w:szCs w:val="24"/>
          <w:lang w:val="es-ES"/>
        </w:rPr>
        <w:t>Además,</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radioterapia</w:t>
      </w:r>
      <w:r w:rsidR="00D136BB">
        <w:rPr>
          <w:szCs w:val="24"/>
          <w:lang w:val="es-ES"/>
        </w:rPr>
        <w:t xml:space="preserve"> </w:t>
      </w:r>
      <w:r w:rsidRPr="007A03A6">
        <w:rPr>
          <w:szCs w:val="24"/>
          <w:lang w:val="es-ES"/>
        </w:rPr>
        <w:t>adquiere</w:t>
      </w:r>
      <w:r w:rsidR="00D136BB">
        <w:rPr>
          <w:szCs w:val="24"/>
          <w:lang w:val="es-ES"/>
        </w:rPr>
        <w:t xml:space="preserve"> </w:t>
      </w:r>
      <w:r w:rsidRPr="007A03A6">
        <w:rPr>
          <w:szCs w:val="24"/>
          <w:lang w:val="es-ES"/>
        </w:rPr>
        <w:t>cada</w:t>
      </w:r>
      <w:r w:rsidR="00D136BB">
        <w:rPr>
          <w:szCs w:val="24"/>
          <w:lang w:val="es-ES"/>
        </w:rPr>
        <w:t xml:space="preserve"> </w:t>
      </w:r>
      <w:r w:rsidRPr="007A03A6">
        <w:rPr>
          <w:szCs w:val="24"/>
          <w:lang w:val="es-ES"/>
        </w:rPr>
        <w:t>vez</w:t>
      </w:r>
      <w:r w:rsidR="00D136BB">
        <w:rPr>
          <w:szCs w:val="24"/>
          <w:lang w:val="es-ES"/>
        </w:rPr>
        <w:t xml:space="preserve"> </w:t>
      </w:r>
      <w:r w:rsidRPr="007A03A6">
        <w:rPr>
          <w:szCs w:val="24"/>
          <w:lang w:val="es-ES"/>
        </w:rPr>
        <w:t>más</w:t>
      </w:r>
      <w:r w:rsidR="00D136BB">
        <w:rPr>
          <w:szCs w:val="24"/>
          <w:lang w:val="es-ES"/>
        </w:rPr>
        <w:t xml:space="preserve"> </w:t>
      </w:r>
      <w:r w:rsidRPr="007A03A6">
        <w:rPr>
          <w:szCs w:val="24"/>
          <w:lang w:val="es-ES"/>
        </w:rPr>
        <w:t>relevancia</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el</w:t>
      </w:r>
      <w:r w:rsidR="00D136BB">
        <w:rPr>
          <w:szCs w:val="24"/>
          <w:lang w:val="es-ES"/>
        </w:rPr>
        <w:t xml:space="preserve"> </w:t>
      </w:r>
      <w:r w:rsidRPr="007A03A6">
        <w:rPr>
          <w:szCs w:val="24"/>
          <w:lang w:val="es-ES"/>
        </w:rPr>
        <w:t>tratamiento</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lesiones</w:t>
      </w:r>
      <w:r w:rsidR="00D136BB">
        <w:rPr>
          <w:szCs w:val="24"/>
          <w:lang w:val="es-ES"/>
        </w:rPr>
        <w:t xml:space="preserve"> </w:t>
      </w:r>
      <w:r w:rsidRPr="007A03A6">
        <w:rPr>
          <w:szCs w:val="24"/>
          <w:lang w:val="es-ES"/>
        </w:rPr>
        <w:t>no</w:t>
      </w:r>
      <w:r w:rsidR="00D136BB">
        <w:rPr>
          <w:szCs w:val="24"/>
          <w:lang w:val="es-ES"/>
        </w:rPr>
        <w:t xml:space="preserve"> </w:t>
      </w:r>
      <w:r w:rsidRPr="007A03A6">
        <w:rPr>
          <w:szCs w:val="24"/>
          <w:lang w:val="es-ES"/>
        </w:rPr>
        <w:t>oncológicas,</w:t>
      </w:r>
      <w:r w:rsidR="00D136BB">
        <w:rPr>
          <w:szCs w:val="24"/>
          <w:lang w:val="es-ES"/>
        </w:rPr>
        <w:t xml:space="preserve"> </w:t>
      </w:r>
      <w:r w:rsidRPr="007A03A6">
        <w:rPr>
          <w:szCs w:val="24"/>
          <w:lang w:val="es-ES"/>
        </w:rPr>
        <w:t>como</w:t>
      </w:r>
      <w:r w:rsidR="00D136BB">
        <w:rPr>
          <w:szCs w:val="24"/>
          <w:lang w:val="es-ES"/>
        </w:rPr>
        <w:t xml:space="preserve"> </w:t>
      </w:r>
      <w:r w:rsidRPr="007A03A6">
        <w:rPr>
          <w:szCs w:val="24"/>
          <w:lang w:val="es-ES"/>
        </w:rPr>
        <w:t>tumores</w:t>
      </w:r>
      <w:r w:rsidR="00D136BB">
        <w:rPr>
          <w:szCs w:val="24"/>
          <w:lang w:val="es-ES"/>
        </w:rPr>
        <w:t xml:space="preserve"> </w:t>
      </w:r>
      <w:r w:rsidRPr="007A03A6">
        <w:rPr>
          <w:szCs w:val="24"/>
          <w:lang w:val="es-ES"/>
        </w:rPr>
        <w:t>benignos,</w:t>
      </w:r>
      <w:r w:rsidR="00D136BB">
        <w:rPr>
          <w:szCs w:val="24"/>
          <w:lang w:val="es-ES"/>
        </w:rPr>
        <w:t xml:space="preserve"> </w:t>
      </w:r>
      <w:r w:rsidRPr="007A03A6">
        <w:rPr>
          <w:szCs w:val="24"/>
          <w:lang w:val="es-ES"/>
        </w:rPr>
        <w:t>enfermedades</w:t>
      </w:r>
      <w:r w:rsidR="00D136BB">
        <w:rPr>
          <w:szCs w:val="24"/>
          <w:lang w:val="es-ES"/>
        </w:rPr>
        <w:t xml:space="preserve"> </w:t>
      </w:r>
      <w:r w:rsidRPr="007A03A6">
        <w:rPr>
          <w:szCs w:val="24"/>
          <w:lang w:val="es-ES"/>
        </w:rPr>
        <w:t>neurológicas</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funcionales.</w:t>
      </w:r>
      <w:r w:rsidR="00D136BB">
        <w:rPr>
          <w:szCs w:val="24"/>
          <w:lang w:val="es-ES"/>
        </w:rPr>
        <w:t xml:space="preserve"> </w:t>
      </w:r>
    </w:p>
    <w:p w14:paraId="458D17C4" w14:textId="6843F8A2" w:rsidR="005D0292" w:rsidRPr="007A03A6" w:rsidRDefault="005D0292" w:rsidP="005D0292">
      <w:pPr>
        <w:pStyle w:val="BodyText"/>
        <w:rPr>
          <w:szCs w:val="24"/>
          <w:lang w:val="es-ES"/>
        </w:rPr>
      </w:pPr>
      <w:r w:rsidRPr="007A03A6">
        <w:rPr>
          <w:szCs w:val="24"/>
          <w:lang w:val="es-ES"/>
        </w:rPr>
        <w:t>La</w:t>
      </w:r>
      <w:r w:rsidR="00D136BB">
        <w:rPr>
          <w:szCs w:val="24"/>
          <w:lang w:val="es-ES"/>
        </w:rPr>
        <w:t xml:space="preserve"> </w:t>
      </w:r>
      <w:r w:rsidRPr="007A03A6">
        <w:rPr>
          <w:szCs w:val="24"/>
          <w:lang w:val="es-ES"/>
        </w:rPr>
        <w:t>imagenología</w:t>
      </w:r>
      <w:r w:rsidR="00D136BB">
        <w:rPr>
          <w:szCs w:val="24"/>
          <w:lang w:val="es-ES"/>
        </w:rPr>
        <w:t xml:space="preserve"> </w:t>
      </w:r>
      <w:r w:rsidRPr="007A03A6">
        <w:rPr>
          <w:szCs w:val="24"/>
          <w:lang w:val="es-ES"/>
        </w:rPr>
        <w:t>médica,</w:t>
      </w:r>
      <w:r w:rsidR="00D136BB">
        <w:rPr>
          <w:szCs w:val="24"/>
          <w:lang w:val="es-ES"/>
        </w:rPr>
        <w:t xml:space="preserve"> </w:t>
      </w:r>
      <w:r w:rsidRPr="007A03A6">
        <w:rPr>
          <w:szCs w:val="24"/>
          <w:lang w:val="es-ES"/>
        </w:rPr>
        <w:t>por</w:t>
      </w:r>
      <w:r w:rsidR="00D136BB">
        <w:rPr>
          <w:szCs w:val="24"/>
          <w:lang w:val="es-ES"/>
        </w:rPr>
        <w:t xml:space="preserve"> </w:t>
      </w:r>
      <w:r w:rsidRPr="007A03A6">
        <w:rPr>
          <w:szCs w:val="24"/>
          <w:lang w:val="es-ES"/>
        </w:rPr>
        <w:t>su</w:t>
      </w:r>
      <w:r w:rsidR="00D136BB">
        <w:rPr>
          <w:szCs w:val="24"/>
          <w:lang w:val="es-ES"/>
        </w:rPr>
        <w:t xml:space="preserve"> </w:t>
      </w:r>
      <w:r w:rsidRPr="007A03A6">
        <w:rPr>
          <w:szCs w:val="24"/>
          <w:lang w:val="es-ES"/>
        </w:rPr>
        <w:t>parte,</w:t>
      </w:r>
      <w:r w:rsidR="00D136BB">
        <w:rPr>
          <w:szCs w:val="24"/>
          <w:lang w:val="es-ES"/>
        </w:rPr>
        <w:t xml:space="preserve"> </w:t>
      </w:r>
      <w:r w:rsidRPr="007A03A6">
        <w:rPr>
          <w:szCs w:val="24"/>
          <w:lang w:val="es-ES"/>
        </w:rPr>
        <w:t>como</w:t>
      </w:r>
      <w:r w:rsidR="00D136BB">
        <w:rPr>
          <w:szCs w:val="24"/>
          <w:lang w:val="es-ES"/>
        </w:rPr>
        <w:t xml:space="preserve"> </w:t>
      </w:r>
      <w:r w:rsidRPr="007A03A6">
        <w:rPr>
          <w:szCs w:val="24"/>
          <w:lang w:val="es-ES"/>
        </w:rPr>
        <w:t>soporte</w:t>
      </w:r>
      <w:r w:rsidR="00D136BB">
        <w:rPr>
          <w:szCs w:val="24"/>
          <w:lang w:val="es-ES"/>
        </w:rPr>
        <w:t xml:space="preserve"> </w:t>
      </w:r>
      <w:r w:rsidRPr="007A03A6">
        <w:rPr>
          <w:szCs w:val="24"/>
          <w:lang w:val="es-ES"/>
        </w:rPr>
        <w:t>para</w:t>
      </w:r>
      <w:r w:rsidR="00D136BB">
        <w:rPr>
          <w:szCs w:val="24"/>
          <w:lang w:val="es-ES"/>
        </w:rPr>
        <w:t xml:space="preserve"> </w:t>
      </w:r>
      <w:r w:rsidRPr="007A03A6">
        <w:rPr>
          <w:szCs w:val="24"/>
          <w:lang w:val="es-ES"/>
        </w:rPr>
        <w:t>el</w:t>
      </w:r>
      <w:r w:rsidR="00D136BB">
        <w:rPr>
          <w:szCs w:val="24"/>
          <w:lang w:val="es-ES"/>
        </w:rPr>
        <w:t xml:space="preserve"> </w:t>
      </w:r>
      <w:r w:rsidRPr="007A03A6">
        <w:rPr>
          <w:szCs w:val="24"/>
          <w:lang w:val="es-ES"/>
        </w:rPr>
        <w:t>diagnóstico</w:t>
      </w:r>
      <w:r w:rsidR="00D136BB">
        <w:rPr>
          <w:szCs w:val="24"/>
          <w:lang w:val="es-ES"/>
        </w:rPr>
        <w:t xml:space="preserve"> </w:t>
      </w:r>
      <w:r w:rsidRPr="007A03A6">
        <w:rPr>
          <w:szCs w:val="24"/>
          <w:lang w:val="es-ES"/>
        </w:rPr>
        <w:t>clínico,</w:t>
      </w:r>
      <w:r w:rsidR="00D136BB">
        <w:rPr>
          <w:szCs w:val="24"/>
          <w:lang w:val="es-ES"/>
        </w:rPr>
        <w:t xml:space="preserve"> </w:t>
      </w:r>
      <w:r w:rsidRPr="007A03A6">
        <w:rPr>
          <w:szCs w:val="24"/>
          <w:lang w:val="es-ES"/>
        </w:rPr>
        <w:t>ha</w:t>
      </w:r>
      <w:r w:rsidR="00D136BB">
        <w:rPr>
          <w:szCs w:val="24"/>
          <w:lang w:val="es-ES"/>
        </w:rPr>
        <w:t xml:space="preserve"> </w:t>
      </w:r>
      <w:r w:rsidRPr="007A03A6">
        <w:rPr>
          <w:szCs w:val="24"/>
          <w:lang w:val="es-ES"/>
        </w:rPr>
        <w:t>sido</w:t>
      </w:r>
      <w:r w:rsidR="00D136BB">
        <w:rPr>
          <w:szCs w:val="24"/>
          <w:lang w:val="es-ES"/>
        </w:rPr>
        <w:t xml:space="preserve"> </w:t>
      </w:r>
      <w:r w:rsidRPr="007A03A6">
        <w:rPr>
          <w:szCs w:val="24"/>
          <w:lang w:val="es-ES"/>
        </w:rPr>
        <w:t>uno</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campos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medicina</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más</w:t>
      </w:r>
      <w:r w:rsidR="00D136BB">
        <w:rPr>
          <w:szCs w:val="24"/>
          <w:lang w:val="es-ES"/>
        </w:rPr>
        <w:t xml:space="preserve"> </w:t>
      </w:r>
      <w:r w:rsidRPr="007A03A6">
        <w:rPr>
          <w:szCs w:val="24"/>
          <w:lang w:val="es-ES"/>
        </w:rPr>
        <w:t>desarrollo</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última</w:t>
      </w:r>
      <w:r w:rsidR="00D136BB">
        <w:rPr>
          <w:szCs w:val="24"/>
          <w:lang w:val="es-ES"/>
        </w:rPr>
        <w:t xml:space="preserve"> </w:t>
      </w:r>
      <w:r w:rsidRPr="007A03A6">
        <w:rPr>
          <w:szCs w:val="24"/>
          <w:lang w:val="es-ES"/>
        </w:rPr>
        <w:t>década.</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particular,</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radiología</w:t>
      </w:r>
      <w:r w:rsidR="00D136BB">
        <w:rPr>
          <w:szCs w:val="24"/>
          <w:lang w:val="es-ES"/>
        </w:rPr>
        <w:t xml:space="preserve"> </w:t>
      </w:r>
      <w:r w:rsidRPr="007A03A6">
        <w:rPr>
          <w:szCs w:val="24"/>
          <w:lang w:val="es-ES"/>
        </w:rPr>
        <w:t>intervencionista</w:t>
      </w:r>
      <w:r w:rsidR="00D136BB">
        <w:rPr>
          <w:szCs w:val="24"/>
          <w:lang w:val="es-ES"/>
        </w:rPr>
        <w:t xml:space="preserve"> </w:t>
      </w:r>
      <w:r w:rsidRPr="007A03A6">
        <w:rPr>
          <w:szCs w:val="24"/>
          <w:lang w:val="es-ES"/>
        </w:rPr>
        <w:t>ha</w:t>
      </w:r>
      <w:r w:rsidR="00D136BB">
        <w:rPr>
          <w:szCs w:val="24"/>
          <w:lang w:val="es-ES"/>
        </w:rPr>
        <w:t xml:space="preserve"> </w:t>
      </w:r>
      <w:r w:rsidRPr="007A03A6">
        <w:rPr>
          <w:szCs w:val="24"/>
          <w:lang w:val="es-ES"/>
        </w:rPr>
        <w:t>modificado</w:t>
      </w:r>
      <w:r w:rsidR="00D136BB">
        <w:rPr>
          <w:szCs w:val="24"/>
          <w:lang w:val="es-ES"/>
        </w:rPr>
        <w:t xml:space="preserve"> </w:t>
      </w:r>
      <w:r w:rsidRPr="007A03A6">
        <w:rPr>
          <w:szCs w:val="24"/>
          <w:lang w:val="es-ES"/>
        </w:rPr>
        <w:t>el</w:t>
      </w:r>
      <w:r w:rsidR="00D136BB">
        <w:rPr>
          <w:szCs w:val="24"/>
          <w:lang w:val="es-ES"/>
        </w:rPr>
        <w:t xml:space="preserve"> </w:t>
      </w:r>
      <w:r w:rsidRPr="007A03A6">
        <w:rPr>
          <w:szCs w:val="24"/>
          <w:lang w:val="es-ES"/>
        </w:rPr>
        <w:t>manejo</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muchas</w:t>
      </w:r>
      <w:r w:rsidR="00D136BB">
        <w:rPr>
          <w:szCs w:val="24"/>
          <w:lang w:val="es-ES"/>
        </w:rPr>
        <w:t xml:space="preserve"> </w:t>
      </w:r>
      <w:r w:rsidRPr="007A03A6">
        <w:rPr>
          <w:szCs w:val="24"/>
          <w:lang w:val="es-ES"/>
        </w:rPr>
        <w:t>enfermedades.</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muchos</w:t>
      </w:r>
      <w:r w:rsidR="00D136BB">
        <w:rPr>
          <w:szCs w:val="24"/>
          <w:lang w:val="es-ES"/>
        </w:rPr>
        <w:t xml:space="preserve"> </w:t>
      </w:r>
      <w:r w:rsidRPr="007A03A6">
        <w:rPr>
          <w:szCs w:val="24"/>
          <w:lang w:val="es-ES"/>
        </w:rPr>
        <w:t>países</w:t>
      </w:r>
      <w:r w:rsidR="00D136BB">
        <w:rPr>
          <w:szCs w:val="24"/>
          <w:lang w:val="es-ES"/>
        </w:rPr>
        <w:t xml:space="preserve"> </w:t>
      </w:r>
      <w:r w:rsidRPr="007A03A6">
        <w:rPr>
          <w:szCs w:val="24"/>
          <w:lang w:val="es-ES"/>
        </w:rPr>
        <w:t>se</w:t>
      </w:r>
      <w:r w:rsidR="00D136BB">
        <w:rPr>
          <w:szCs w:val="24"/>
          <w:lang w:val="es-ES"/>
        </w:rPr>
        <w:t xml:space="preserve"> </w:t>
      </w:r>
      <w:r w:rsidRPr="007A03A6">
        <w:rPr>
          <w:szCs w:val="24"/>
          <w:lang w:val="es-ES"/>
        </w:rPr>
        <w:t>está</w:t>
      </w:r>
      <w:r w:rsidR="00D136BB">
        <w:rPr>
          <w:szCs w:val="24"/>
          <w:lang w:val="es-ES"/>
        </w:rPr>
        <w:t xml:space="preserve"> </w:t>
      </w:r>
      <w:r w:rsidRPr="007A03A6">
        <w:rPr>
          <w:szCs w:val="24"/>
          <w:lang w:val="es-ES"/>
        </w:rPr>
        <w:t>experimentando</w:t>
      </w:r>
      <w:r w:rsidR="00D136BB">
        <w:rPr>
          <w:szCs w:val="24"/>
          <w:lang w:val="es-ES"/>
        </w:rPr>
        <w:t xml:space="preserve"> </w:t>
      </w:r>
      <w:r w:rsidRPr="007A03A6">
        <w:rPr>
          <w:szCs w:val="24"/>
          <w:lang w:val="es-ES"/>
        </w:rPr>
        <w:t>un</w:t>
      </w:r>
      <w:r w:rsidR="00D136BB">
        <w:rPr>
          <w:szCs w:val="24"/>
          <w:lang w:val="es-ES"/>
        </w:rPr>
        <w:t xml:space="preserve"> </w:t>
      </w:r>
      <w:r w:rsidRPr="007A03A6">
        <w:rPr>
          <w:szCs w:val="24"/>
          <w:lang w:val="es-ES"/>
        </w:rPr>
        <w:t>rápido</w:t>
      </w:r>
      <w:r w:rsidR="00D136BB">
        <w:rPr>
          <w:szCs w:val="24"/>
          <w:lang w:val="es-ES"/>
        </w:rPr>
        <w:t xml:space="preserve"> </w:t>
      </w:r>
      <w:r w:rsidRPr="007A03A6">
        <w:rPr>
          <w:szCs w:val="24"/>
          <w:lang w:val="es-ES"/>
        </w:rPr>
        <w:t>aumento</w:t>
      </w:r>
      <w:r w:rsidR="00D136BB">
        <w:rPr>
          <w:szCs w:val="24"/>
          <w:lang w:val="es-ES"/>
        </w:rPr>
        <w:t xml:space="preserve"> </w:t>
      </w:r>
      <w:r w:rsidRPr="007A03A6">
        <w:rPr>
          <w:szCs w:val="24"/>
          <w:lang w:val="es-ES"/>
        </w:rPr>
        <w:t>del</w:t>
      </w:r>
      <w:r w:rsidR="00D136BB">
        <w:rPr>
          <w:szCs w:val="24"/>
          <w:lang w:val="es-ES"/>
        </w:rPr>
        <w:t xml:space="preserve"> </w:t>
      </w:r>
      <w:r w:rsidRPr="007A03A6">
        <w:rPr>
          <w:szCs w:val="24"/>
          <w:lang w:val="es-ES"/>
        </w:rPr>
        <w:t>número</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procedimientos</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tecnología</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rayos</w:t>
      </w:r>
      <w:r w:rsidR="00D136BB">
        <w:rPr>
          <w:szCs w:val="24"/>
          <w:lang w:val="es-ES"/>
        </w:rPr>
        <w:t xml:space="preserve"> </w:t>
      </w:r>
      <w:r w:rsidRPr="007A03A6">
        <w:rPr>
          <w:szCs w:val="24"/>
          <w:lang w:val="es-ES"/>
        </w:rPr>
        <w:t>X,</w:t>
      </w:r>
      <w:r w:rsidR="00D136BB">
        <w:rPr>
          <w:szCs w:val="24"/>
          <w:lang w:val="es-ES"/>
        </w:rPr>
        <w:t xml:space="preserve"> </w:t>
      </w:r>
      <w:r w:rsidRPr="007A03A6">
        <w:rPr>
          <w:szCs w:val="24"/>
          <w:lang w:val="es-ES"/>
        </w:rPr>
        <w:t>lo</w:t>
      </w:r>
      <w:r w:rsidR="00D136BB">
        <w:rPr>
          <w:szCs w:val="24"/>
          <w:lang w:val="es-ES"/>
        </w:rPr>
        <w:t xml:space="preserve"> </w:t>
      </w:r>
      <w:r w:rsidRPr="007A03A6">
        <w:rPr>
          <w:szCs w:val="24"/>
          <w:lang w:val="es-ES"/>
        </w:rPr>
        <w:t>cual</w:t>
      </w:r>
      <w:r w:rsidR="00D136BB">
        <w:rPr>
          <w:szCs w:val="24"/>
          <w:lang w:val="es-ES"/>
        </w:rPr>
        <w:t xml:space="preserve"> </w:t>
      </w:r>
      <w:r w:rsidRPr="007A03A6">
        <w:rPr>
          <w:szCs w:val="24"/>
          <w:lang w:val="es-ES"/>
        </w:rPr>
        <w:t>aporta</w:t>
      </w:r>
      <w:r w:rsidR="00D136BB">
        <w:rPr>
          <w:szCs w:val="24"/>
          <w:lang w:val="es-ES"/>
        </w:rPr>
        <w:t xml:space="preserve"> </w:t>
      </w:r>
      <w:r w:rsidRPr="007A03A6">
        <w:rPr>
          <w:szCs w:val="24"/>
          <w:lang w:val="es-ES"/>
        </w:rPr>
        <w:t>altas</w:t>
      </w:r>
      <w:r w:rsidR="00D136BB">
        <w:rPr>
          <w:szCs w:val="24"/>
          <w:lang w:val="es-ES"/>
        </w:rPr>
        <w:t xml:space="preserve"> </w:t>
      </w:r>
      <w:r w:rsidRPr="007A03A6">
        <w:rPr>
          <w:szCs w:val="24"/>
          <w:lang w:val="es-ES"/>
        </w:rPr>
        <w:t>dosis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radiación</w:t>
      </w:r>
      <w:r w:rsidR="00D136BB">
        <w:rPr>
          <w:szCs w:val="24"/>
          <w:lang w:val="es-ES"/>
        </w:rPr>
        <w:t xml:space="preserve"> </w:t>
      </w:r>
      <w:r w:rsidRPr="007A03A6">
        <w:rPr>
          <w:szCs w:val="24"/>
          <w:lang w:val="es-ES"/>
        </w:rPr>
        <w:t>para</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pacientes</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consecuencia,</w:t>
      </w:r>
      <w:r w:rsidR="00D136BB">
        <w:rPr>
          <w:szCs w:val="24"/>
          <w:lang w:val="es-ES"/>
        </w:rPr>
        <w:t xml:space="preserve"> </w:t>
      </w:r>
      <w:r w:rsidRPr="007A03A6">
        <w:rPr>
          <w:szCs w:val="24"/>
          <w:lang w:val="es-ES"/>
        </w:rPr>
        <w:t>un</w:t>
      </w:r>
      <w:r w:rsidR="00D136BB">
        <w:rPr>
          <w:szCs w:val="24"/>
          <w:lang w:val="es-ES"/>
        </w:rPr>
        <w:t xml:space="preserve"> </w:t>
      </w:r>
      <w:r w:rsidRPr="007A03A6">
        <w:rPr>
          <w:szCs w:val="24"/>
          <w:lang w:val="es-ES"/>
        </w:rPr>
        <w:t>marcado</w:t>
      </w:r>
      <w:r w:rsidR="00D136BB">
        <w:rPr>
          <w:szCs w:val="24"/>
          <w:lang w:val="es-ES"/>
        </w:rPr>
        <w:t xml:space="preserve"> </w:t>
      </w:r>
      <w:r w:rsidRPr="007A03A6">
        <w:rPr>
          <w:szCs w:val="24"/>
          <w:lang w:val="es-ES"/>
        </w:rPr>
        <w:t>incremento</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las</w:t>
      </w:r>
      <w:r w:rsidR="00D136BB">
        <w:rPr>
          <w:szCs w:val="24"/>
          <w:lang w:val="es-ES"/>
        </w:rPr>
        <w:t xml:space="preserve"> </w:t>
      </w:r>
      <w:r w:rsidRPr="007A03A6">
        <w:rPr>
          <w:szCs w:val="24"/>
          <w:lang w:val="es-ES"/>
        </w:rPr>
        <w:t>dosis</w:t>
      </w:r>
      <w:r w:rsidR="00D136BB">
        <w:rPr>
          <w:szCs w:val="24"/>
          <w:lang w:val="es-ES"/>
        </w:rPr>
        <w:t xml:space="preserve"> </w:t>
      </w:r>
      <w:r w:rsidRPr="007A03A6">
        <w:rPr>
          <w:szCs w:val="24"/>
          <w:lang w:val="es-ES"/>
        </w:rPr>
        <w:t>colectivas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radiación.</w:t>
      </w:r>
      <w:r w:rsidR="00D136BB">
        <w:rPr>
          <w:szCs w:val="24"/>
          <w:lang w:val="es-ES"/>
        </w:rPr>
        <w:t xml:space="preserve"> </w:t>
      </w:r>
    </w:p>
    <w:p w14:paraId="50D58F79" w14:textId="6B1D31E0" w:rsidR="005D0292" w:rsidRPr="007A03A6" w:rsidRDefault="005D0292" w:rsidP="005D0292">
      <w:pPr>
        <w:pStyle w:val="BodyText"/>
        <w:rPr>
          <w:szCs w:val="24"/>
          <w:lang w:val="es-ES"/>
        </w:rPr>
      </w:pPr>
      <w:r w:rsidRPr="007A03A6">
        <w:rPr>
          <w:szCs w:val="24"/>
          <w:lang w:val="es-ES"/>
        </w:rPr>
        <w:t>En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región</w:t>
      </w:r>
      <w:r w:rsidR="00D136BB">
        <w:rPr>
          <w:szCs w:val="24"/>
          <w:lang w:val="es-ES"/>
        </w:rPr>
        <w:t xml:space="preserve"> </w:t>
      </w:r>
      <w:r w:rsidRPr="007A03A6">
        <w:rPr>
          <w:szCs w:val="24"/>
          <w:lang w:val="es-ES"/>
        </w:rPr>
        <w:t>persisten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heterogeneidad</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distribución</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tecnología</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desigualdad</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el</w:t>
      </w:r>
      <w:r w:rsidR="00D136BB">
        <w:rPr>
          <w:szCs w:val="24"/>
          <w:lang w:val="es-ES"/>
        </w:rPr>
        <w:t xml:space="preserve"> </w:t>
      </w:r>
      <w:r w:rsidRPr="007A03A6">
        <w:rPr>
          <w:szCs w:val="24"/>
          <w:lang w:val="es-ES"/>
        </w:rPr>
        <w:t>acceso</w:t>
      </w:r>
      <w:r w:rsidR="00D136BB">
        <w:rPr>
          <w:szCs w:val="24"/>
          <w:lang w:val="es-ES"/>
        </w:rPr>
        <w:t xml:space="preserve"> </w:t>
      </w:r>
      <w:r w:rsidRPr="007A03A6">
        <w:rPr>
          <w:szCs w:val="24"/>
          <w:lang w:val="es-ES"/>
        </w:rPr>
        <w:t>a</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salud,</w:t>
      </w:r>
      <w:r w:rsidR="00D136BB">
        <w:rPr>
          <w:szCs w:val="24"/>
          <w:lang w:val="es-ES"/>
        </w:rPr>
        <w:t xml:space="preserve"> </w:t>
      </w:r>
      <w:r w:rsidRPr="007A03A6">
        <w:rPr>
          <w:szCs w:val="24"/>
          <w:lang w:val="es-ES"/>
        </w:rPr>
        <w:t>asimismo</w:t>
      </w:r>
      <w:r w:rsidR="00D136BB">
        <w:rPr>
          <w:szCs w:val="24"/>
          <w:lang w:val="es-ES"/>
        </w:rPr>
        <w:t xml:space="preserve"> </w:t>
      </w:r>
      <w:r w:rsidRPr="007A03A6">
        <w:rPr>
          <w:szCs w:val="24"/>
          <w:lang w:val="es-ES"/>
        </w:rPr>
        <w:t>como</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necesidad</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ampliar</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Programas</w:t>
      </w:r>
      <w:r w:rsidR="00D136BB">
        <w:rPr>
          <w:szCs w:val="24"/>
          <w:lang w:val="es-ES"/>
        </w:rPr>
        <w:t xml:space="preserve"> </w:t>
      </w:r>
      <w:r w:rsidRPr="007A03A6">
        <w:rPr>
          <w:szCs w:val="24"/>
          <w:lang w:val="es-ES"/>
        </w:rPr>
        <w:t>Nacionales</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enfermedades</w:t>
      </w:r>
      <w:r w:rsidR="00D136BB">
        <w:rPr>
          <w:szCs w:val="24"/>
          <w:lang w:val="es-ES"/>
        </w:rPr>
        <w:t xml:space="preserve"> </w:t>
      </w:r>
      <w:r w:rsidRPr="007A03A6">
        <w:rPr>
          <w:szCs w:val="24"/>
          <w:lang w:val="es-ES"/>
        </w:rPr>
        <w:t>no</w:t>
      </w:r>
      <w:r w:rsidR="00D136BB">
        <w:rPr>
          <w:szCs w:val="24"/>
          <w:lang w:val="es-ES"/>
        </w:rPr>
        <w:t xml:space="preserve"> </w:t>
      </w:r>
      <w:r w:rsidRPr="007A03A6">
        <w:rPr>
          <w:szCs w:val="24"/>
          <w:lang w:val="es-ES"/>
        </w:rPr>
        <w:t>transmisibles</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actualización</w:t>
      </w:r>
      <w:r w:rsidR="00D136BB">
        <w:rPr>
          <w:szCs w:val="24"/>
          <w:lang w:val="es-ES"/>
        </w:rPr>
        <w:t xml:space="preserve"> </w:t>
      </w:r>
      <w:r w:rsidRPr="007A03A6">
        <w:rPr>
          <w:szCs w:val="24"/>
          <w:lang w:val="es-ES"/>
        </w:rPr>
        <w:t>tecnológica.</w:t>
      </w:r>
      <w:r w:rsidR="00D136BB">
        <w:rPr>
          <w:szCs w:val="24"/>
          <w:lang w:val="es-ES"/>
        </w:rPr>
        <w:t xml:space="preserve"> </w:t>
      </w:r>
      <w:r w:rsidRPr="007A03A6">
        <w:rPr>
          <w:szCs w:val="24"/>
          <w:lang w:val="es-ES"/>
        </w:rPr>
        <w:t>También</w:t>
      </w:r>
      <w:r w:rsidR="00D136BB">
        <w:rPr>
          <w:szCs w:val="24"/>
          <w:lang w:val="es-ES"/>
        </w:rPr>
        <w:t xml:space="preserve"> </w:t>
      </w:r>
      <w:r w:rsidRPr="007A03A6">
        <w:rPr>
          <w:szCs w:val="24"/>
          <w:lang w:val="es-ES"/>
        </w:rPr>
        <w:t>es</w:t>
      </w:r>
      <w:r w:rsidR="00D136BB">
        <w:rPr>
          <w:szCs w:val="24"/>
          <w:lang w:val="es-ES"/>
        </w:rPr>
        <w:t xml:space="preserve"> </w:t>
      </w:r>
      <w:r w:rsidRPr="007A03A6">
        <w:rPr>
          <w:szCs w:val="24"/>
          <w:lang w:val="es-ES"/>
        </w:rPr>
        <w:t>importante</w:t>
      </w:r>
      <w:r w:rsidR="00D136BB">
        <w:rPr>
          <w:szCs w:val="24"/>
          <w:lang w:val="es-ES"/>
        </w:rPr>
        <w:t xml:space="preserve"> </w:t>
      </w:r>
      <w:r w:rsidRPr="007A03A6">
        <w:rPr>
          <w:szCs w:val="24"/>
          <w:lang w:val="es-ES"/>
        </w:rPr>
        <w:t>continuar</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formación</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profesionales</w:t>
      </w:r>
      <w:r w:rsidR="00D136BB">
        <w:rPr>
          <w:szCs w:val="24"/>
          <w:lang w:val="es-ES"/>
        </w:rPr>
        <w:t xml:space="preserve"> </w:t>
      </w:r>
      <w:r w:rsidRPr="007A03A6">
        <w:rPr>
          <w:szCs w:val="24"/>
          <w:lang w:val="es-ES"/>
        </w:rPr>
        <w:t>involucrados</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el</w:t>
      </w:r>
      <w:r w:rsidR="00D136BB">
        <w:rPr>
          <w:szCs w:val="24"/>
          <w:lang w:val="es-ES"/>
        </w:rPr>
        <w:t xml:space="preserve"> </w:t>
      </w:r>
      <w:r w:rsidRPr="007A03A6">
        <w:rPr>
          <w:szCs w:val="24"/>
          <w:lang w:val="es-ES"/>
        </w:rPr>
        <w:t>uso</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las</w:t>
      </w:r>
      <w:r w:rsidR="00D136BB">
        <w:rPr>
          <w:szCs w:val="24"/>
          <w:lang w:val="es-ES"/>
        </w:rPr>
        <w:t xml:space="preserve"> </w:t>
      </w:r>
      <w:r w:rsidRPr="007A03A6">
        <w:rPr>
          <w:szCs w:val="24"/>
          <w:lang w:val="es-ES"/>
        </w:rPr>
        <w:t>tecnologías</w:t>
      </w:r>
      <w:r w:rsidR="00D136BB">
        <w:rPr>
          <w:szCs w:val="24"/>
          <w:lang w:val="es-ES"/>
        </w:rPr>
        <w:t xml:space="preserve"> </w:t>
      </w:r>
      <w:r w:rsidRPr="007A03A6">
        <w:rPr>
          <w:szCs w:val="24"/>
          <w:lang w:val="es-ES"/>
        </w:rPr>
        <w:t>avanzadas</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radiaciones,</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énfasis</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capacitación</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tecnólogos,</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formación</w:t>
      </w:r>
      <w:r w:rsidR="00D136BB">
        <w:rPr>
          <w:szCs w:val="24"/>
          <w:lang w:val="es-ES"/>
        </w:rPr>
        <w:t xml:space="preserve"> </w:t>
      </w:r>
      <w:r w:rsidRPr="007A03A6">
        <w:rPr>
          <w:szCs w:val="24"/>
          <w:lang w:val="es-ES"/>
        </w:rPr>
        <w:t>clínica</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los</w:t>
      </w:r>
      <w:r w:rsidR="00D136BB">
        <w:rPr>
          <w:szCs w:val="24"/>
          <w:lang w:val="es-ES"/>
        </w:rPr>
        <w:t xml:space="preserve"> </w:t>
      </w:r>
      <w:r w:rsidRPr="007A03A6">
        <w:rPr>
          <w:szCs w:val="24"/>
          <w:lang w:val="es-ES"/>
        </w:rPr>
        <w:t>físicos</w:t>
      </w:r>
      <w:r w:rsidR="00D136BB">
        <w:rPr>
          <w:szCs w:val="24"/>
          <w:lang w:val="es-ES"/>
        </w:rPr>
        <w:t xml:space="preserve"> </w:t>
      </w:r>
      <w:r w:rsidRPr="007A03A6">
        <w:rPr>
          <w:szCs w:val="24"/>
          <w:lang w:val="es-ES"/>
        </w:rPr>
        <w:t>médicos</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pediatría</w:t>
      </w:r>
      <w:r w:rsidR="00D136BB">
        <w:rPr>
          <w:szCs w:val="24"/>
          <w:lang w:val="es-ES"/>
        </w:rPr>
        <w:t xml:space="preserve"> </w:t>
      </w:r>
      <w:r w:rsidRPr="007A03A6">
        <w:rPr>
          <w:szCs w:val="24"/>
          <w:lang w:val="es-ES"/>
        </w:rPr>
        <w:t>en</w:t>
      </w:r>
      <w:r w:rsidR="00D136BB">
        <w:rPr>
          <w:szCs w:val="24"/>
          <w:lang w:val="es-ES"/>
        </w:rPr>
        <w:t xml:space="preserve"> </w:t>
      </w:r>
      <w:r w:rsidRPr="007A03A6">
        <w:rPr>
          <w:szCs w:val="24"/>
          <w:lang w:val="es-ES"/>
        </w:rPr>
        <w:t>medicina</w:t>
      </w:r>
      <w:r w:rsidR="00D136BB">
        <w:rPr>
          <w:szCs w:val="24"/>
          <w:lang w:val="es-ES"/>
        </w:rPr>
        <w:t xml:space="preserve"> </w:t>
      </w:r>
      <w:r w:rsidRPr="007A03A6">
        <w:rPr>
          <w:szCs w:val="24"/>
          <w:lang w:val="es-ES"/>
        </w:rPr>
        <w:t>nuclear</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radioterapia.</w:t>
      </w:r>
    </w:p>
    <w:p w14:paraId="2BEDE38F" w14:textId="6C2D3F4D" w:rsidR="005D0292" w:rsidRPr="007A03A6" w:rsidRDefault="005D0292" w:rsidP="005D0292">
      <w:pPr>
        <w:pStyle w:val="BodyText"/>
        <w:rPr>
          <w:szCs w:val="24"/>
          <w:lang w:val="es-ES"/>
        </w:rPr>
      </w:pPr>
      <w:r w:rsidRPr="007A03A6">
        <w:rPr>
          <w:szCs w:val="24"/>
          <w:lang w:val="es-ES"/>
        </w:rPr>
        <w:t>De</w:t>
      </w:r>
      <w:r w:rsidR="00D136BB">
        <w:rPr>
          <w:szCs w:val="24"/>
          <w:lang w:val="es-ES"/>
        </w:rPr>
        <w:t xml:space="preserve"> </w:t>
      </w:r>
      <w:r w:rsidRPr="007A03A6">
        <w:rPr>
          <w:szCs w:val="24"/>
          <w:lang w:val="es-ES"/>
        </w:rPr>
        <w:t>igual</w:t>
      </w:r>
      <w:r w:rsidR="00D136BB">
        <w:rPr>
          <w:szCs w:val="24"/>
          <w:lang w:val="es-ES"/>
        </w:rPr>
        <w:t xml:space="preserve"> </w:t>
      </w:r>
      <w:r w:rsidRPr="007A03A6">
        <w:rPr>
          <w:szCs w:val="24"/>
          <w:lang w:val="es-ES"/>
        </w:rPr>
        <w:t>forma</w:t>
      </w:r>
      <w:r w:rsidR="00D136BB">
        <w:rPr>
          <w:szCs w:val="24"/>
          <w:lang w:val="es-ES"/>
        </w:rPr>
        <w:t xml:space="preserve"> </w:t>
      </w:r>
      <w:r w:rsidRPr="007A03A6">
        <w:rPr>
          <w:szCs w:val="24"/>
          <w:lang w:val="es-ES"/>
        </w:rPr>
        <w:t>es</w:t>
      </w:r>
      <w:r w:rsidR="00D136BB">
        <w:rPr>
          <w:szCs w:val="24"/>
          <w:lang w:val="es-ES"/>
        </w:rPr>
        <w:t xml:space="preserve"> </w:t>
      </w:r>
      <w:r w:rsidRPr="007A03A6">
        <w:rPr>
          <w:szCs w:val="24"/>
          <w:lang w:val="es-ES"/>
        </w:rPr>
        <w:t>necesario</w:t>
      </w:r>
      <w:r w:rsidR="00D136BB">
        <w:rPr>
          <w:szCs w:val="24"/>
          <w:lang w:val="es-ES"/>
        </w:rPr>
        <w:t xml:space="preserve"> </w:t>
      </w:r>
      <w:r w:rsidRPr="007A03A6">
        <w:rPr>
          <w:szCs w:val="24"/>
          <w:lang w:val="es-ES"/>
        </w:rPr>
        <w:t>considerar</w:t>
      </w:r>
      <w:r w:rsidR="00D136BB">
        <w:rPr>
          <w:szCs w:val="24"/>
          <w:lang w:val="es-ES"/>
        </w:rPr>
        <w:t xml:space="preserve"> </w:t>
      </w:r>
      <w:r w:rsidRPr="007A03A6">
        <w:rPr>
          <w:szCs w:val="24"/>
          <w:lang w:val="es-ES"/>
        </w:rPr>
        <w:t>el</w:t>
      </w:r>
      <w:r w:rsidR="00D136BB">
        <w:rPr>
          <w:szCs w:val="24"/>
          <w:lang w:val="es-ES"/>
        </w:rPr>
        <w:t xml:space="preserve"> </w:t>
      </w:r>
      <w:r w:rsidRPr="007A03A6">
        <w:rPr>
          <w:szCs w:val="24"/>
          <w:lang w:val="es-ES"/>
        </w:rPr>
        <w:t>desarrollo</w:t>
      </w:r>
      <w:r w:rsidR="00D136BB">
        <w:rPr>
          <w:szCs w:val="24"/>
          <w:lang w:val="es-ES"/>
        </w:rPr>
        <w:t xml:space="preserve"> </w:t>
      </w:r>
      <w:r w:rsidRPr="007A03A6">
        <w:rPr>
          <w:szCs w:val="24"/>
          <w:lang w:val="es-ES"/>
        </w:rPr>
        <w:t>de</w:t>
      </w:r>
      <w:r w:rsidR="00D136BB">
        <w:rPr>
          <w:szCs w:val="24"/>
          <w:lang w:val="es-ES"/>
        </w:rPr>
        <w:t xml:space="preserve"> </w:t>
      </w:r>
      <w:r w:rsidRPr="007A03A6">
        <w:rPr>
          <w:szCs w:val="24"/>
          <w:lang w:val="es-ES"/>
        </w:rPr>
        <w:t>nuevas</w:t>
      </w:r>
      <w:r w:rsidR="00D136BB">
        <w:rPr>
          <w:szCs w:val="24"/>
          <w:lang w:val="es-ES"/>
        </w:rPr>
        <w:t xml:space="preserve"> </w:t>
      </w:r>
      <w:r w:rsidRPr="007A03A6">
        <w:rPr>
          <w:szCs w:val="24"/>
          <w:lang w:val="es-ES"/>
        </w:rPr>
        <w:t>tecnologías</w:t>
      </w:r>
      <w:r w:rsidR="00D136BB">
        <w:rPr>
          <w:szCs w:val="24"/>
          <w:lang w:val="es-ES"/>
        </w:rPr>
        <w:t xml:space="preserve"> </w:t>
      </w:r>
      <w:r w:rsidRPr="007A03A6">
        <w:rPr>
          <w:szCs w:val="24"/>
          <w:lang w:val="es-ES"/>
        </w:rPr>
        <w:t>tales</w:t>
      </w:r>
      <w:r w:rsidR="00D136BB">
        <w:rPr>
          <w:szCs w:val="24"/>
          <w:lang w:val="es-ES"/>
        </w:rPr>
        <w:t xml:space="preserve"> </w:t>
      </w:r>
      <w:r w:rsidRPr="007A03A6">
        <w:rPr>
          <w:szCs w:val="24"/>
          <w:lang w:val="es-ES"/>
        </w:rPr>
        <w:t>como</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teranóstica</w:t>
      </w:r>
      <w:r w:rsidR="00D136BB">
        <w:rPr>
          <w:szCs w:val="24"/>
          <w:lang w:val="es-ES"/>
        </w:rPr>
        <w:t xml:space="preserve"> </w:t>
      </w:r>
      <w:r w:rsidRPr="007A03A6">
        <w:rPr>
          <w:szCs w:val="24"/>
          <w:lang w:val="es-ES"/>
        </w:rPr>
        <w:t>con</w:t>
      </w:r>
      <w:r w:rsidR="00D136BB">
        <w:rPr>
          <w:szCs w:val="24"/>
          <w:lang w:val="es-ES"/>
        </w:rPr>
        <w:t xml:space="preserve"> </w:t>
      </w:r>
      <w:r w:rsidRPr="007A03A6">
        <w:rPr>
          <w:szCs w:val="24"/>
          <w:lang w:val="es-ES"/>
        </w:rPr>
        <w:t>emisores</w:t>
      </w:r>
      <w:r w:rsidR="00D136BB">
        <w:rPr>
          <w:szCs w:val="24"/>
          <w:lang w:val="es-ES"/>
        </w:rPr>
        <w:t xml:space="preserve"> </w:t>
      </w:r>
      <w:r w:rsidRPr="007A03A6">
        <w:rPr>
          <w:szCs w:val="24"/>
          <w:lang w:val="es-ES"/>
        </w:rPr>
        <w:t>alfa,</w:t>
      </w:r>
      <w:r w:rsidR="00D136BB">
        <w:rPr>
          <w:szCs w:val="24"/>
          <w:lang w:val="es-ES"/>
        </w:rPr>
        <w:t xml:space="preserve"> </w:t>
      </w:r>
      <w:r w:rsidRPr="007A03A6">
        <w:rPr>
          <w:szCs w:val="24"/>
          <w:lang w:val="es-ES"/>
        </w:rPr>
        <w:t>beta</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gamma,</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nanomedicina</w:t>
      </w:r>
      <w:r w:rsidR="00D136BB">
        <w:rPr>
          <w:szCs w:val="24"/>
          <w:lang w:val="es-ES"/>
        </w:rPr>
        <w:t xml:space="preserve"> </w:t>
      </w:r>
      <w:r w:rsidRPr="007A03A6">
        <w:rPr>
          <w:szCs w:val="24"/>
          <w:lang w:val="es-ES"/>
        </w:rPr>
        <w:t>y</w:t>
      </w:r>
      <w:r w:rsidR="00D136BB">
        <w:rPr>
          <w:szCs w:val="24"/>
          <w:lang w:val="es-ES"/>
        </w:rPr>
        <w:t xml:space="preserve"> </w:t>
      </w:r>
      <w:r w:rsidRPr="007A03A6">
        <w:rPr>
          <w:szCs w:val="24"/>
          <w:lang w:val="es-ES"/>
        </w:rPr>
        <w:t>la</w:t>
      </w:r>
      <w:r w:rsidR="00D136BB">
        <w:rPr>
          <w:szCs w:val="24"/>
          <w:lang w:val="es-ES"/>
        </w:rPr>
        <w:t xml:space="preserve"> </w:t>
      </w:r>
      <w:r w:rsidRPr="007A03A6">
        <w:rPr>
          <w:szCs w:val="24"/>
          <w:lang w:val="es-ES"/>
        </w:rPr>
        <w:t>inteligencia</w:t>
      </w:r>
      <w:r w:rsidR="00D136BB">
        <w:rPr>
          <w:szCs w:val="24"/>
          <w:lang w:val="es-ES"/>
        </w:rPr>
        <w:t xml:space="preserve"> </w:t>
      </w:r>
      <w:r w:rsidRPr="007A03A6">
        <w:rPr>
          <w:szCs w:val="24"/>
          <w:lang w:val="es-ES"/>
        </w:rPr>
        <w:t>artificial.</w:t>
      </w:r>
      <w:r w:rsidR="00D136BB">
        <w:rPr>
          <w:szCs w:val="24"/>
          <w:lang w:val="es-ES"/>
        </w:rPr>
        <w:t xml:space="preserve"> </w:t>
      </w:r>
    </w:p>
    <w:p w14:paraId="603FAD2E" w14:textId="77777777" w:rsidR="005D0292" w:rsidRPr="007A03A6" w:rsidRDefault="005D0292" w:rsidP="005D0292">
      <w:pPr>
        <w:spacing w:after="0" w:line="240" w:lineRule="auto"/>
        <w:jc w:val="both"/>
        <w:rPr>
          <w:rFonts w:ascii="Times New Roman" w:hAnsi="Times New Roman" w:cs="Times New Roman"/>
          <w:sz w:val="24"/>
          <w:szCs w:val="24"/>
        </w:rPr>
      </w:pPr>
    </w:p>
    <w:p w14:paraId="05E39B73" w14:textId="042C2349" w:rsidR="005D0292" w:rsidRPr="007A03A6" w:rsidRDefault="005D0292" w:rsidP="005D0292">
      <w:pPr>
        <w:rPr>
          <w:rFonts w:ascii="Times New Roman" w:hAnsi="Times New Roman" w:cs="Times New Roman"/>
          <w:b/>
          <w:sz w:val="24"/>
          <w:szCs w:val="24"/>
        </w:rPr>
      </w:pPr>
      <w:r w:rsidRPr="007A03A6">
        <w:rPr>
          <w:rFonts w:ascii="Times New Roman" w:hAnsi="Times New Roman" w:cs="Times New Roman"/>
          <w:b/>
          <w:sz w:val="24"/>
          <w:szCs w:val="24"/>
        </w:rPr>
        <w:t>II)</w:t>
      </w:r>
      <w:r w:rsidR="00D136BB">
        <w:rPr>
          <w:rFonts w:ascii="Times New Roman" w:hAnsi="Times New Roman" w:cs="Times New Roman"/>
          <w:b/>
          <w:sz w:val="24"/>
          <w:szCs w:val="24"/>
        </w:rPr>
        <w:t xml:space="preserve"> </w:t>
      </w:r>
      <w:r w:rsidRPr="007A03A6">
        <w:rPr>
          <w:rFonts w:ascii="Times New Roman" w:hAnsi="Times New Roman" w:cs="Times New Roman"/>
          <w:b/>
          <w:sz w:val="24"/>
          <w:szCs w:val="24"/>
        </w:rPr>
        <w:t>Análisis</w:t>
      </w:r>
      <w:r w:rsidR="00D136BB">
        <w:rPr>
          <w:rFonts w:ascii="Times New Roman" w:hAnsi="Times New Roman" w:cs="Times New Roman"/>
          <w:b/>
          <w:sz w:val="24"/>
          <w:szCs w:val="24"/>
        </w:rPr>
        <w:t xml:space="preserve"> </w:t>
      </w:r>
      <w:r w:rsidRPr="007A03A6">
        <w:rPr>
          <w:rFonts w:ascii="Times New Roman" w:hAnsi="Times New Roman" w:cs="Times New Roman"/>
          <w:b/>
          <w:sz w:val="24"/>
          <w:szCs w:val="24"/>
        </w:rPr>
        <w:t>DAFO</w:t>
      </w:r>
    </w:p>
    <w:p w14:paraId="07CF472C" w14:textId="6BB979FE" w:rsidR="005D0292" w:rsidRPr="007A03A6" w:rsidRDefault="005D0292" w:rsidP="005D0292">
      <w:pPr>
        <w:rPr>
          <w:rFonts w:ascii="Times New Roman" w:hAnsi="Times New Roman" w:cs="Times New Roman"/>
          <w:b/>
          <w:bCs/>
          <w:sz w:val="24"/>
          <w:szCs w:val="24"/>
        </w:rPr>
      </w:pPr>
      <w:r w:rsidRPr="007A03A6">
        <w:rPr>
          <w:rFonts w:ascii="Times New Roman" w:hAnsi="Times New Roman" w:cs="Times New Roman"/>
          <w:b/>
          <w:bCs/>
          <w:sz w:val="24"/>
          <w:szCs w:val="24"/>
        </w:rPr>
        <w:t>1</w:t>
      </w:r>
      <w:r w:rsidR="00D04233" w:rsidRPr="007A03A6">
        <w:rPr>
          <w:rFonts w:ascii="Times New Roman" w:hAnsi="Times New Roman" w:cs="Times New Roman"/>
          <w:b/>
          <w:bCs/>
          <w:sz w:val="24"/>
          <w:szCs w:val="24"/>
        </w:rPr>
        <w:t>.</w:t>
      </w:r>
      <w:r w:rsidR="00D136BB">
        <w:rPr>
          <w:rFonts w:ascii="Times New Roman" w:hAnsi="Times New Roman" w:cs="Times New Roman"/>
          <w:b/>
          <w:bCs/>
          <w:sz w:val="24"/>
          <w:szCs w:val="24"/>
        </w:rPr>
        <w:t xml:space="preserve"> </w:t>
      </w:r>
      <w:r w:rsidRPr="007A03A6">
        <w:rPr>
          <w:rFonts w:ascii="Times New Roman" w:hAnsi="Times New Roman" w:cs="Times New Roman"/>
          <w:b/>
          <w:bCs/>
          <w:sz w:val="24"/>
          <w:szCs w:val="24"/>
        </w:rPr>
        <w:t>Fortalezas</w:t>
      </w:r>
    </w:p>
    <w:p w14:paraId="35EA25E5" w14:textId="647D57E1"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1.</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instalada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aumentado,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gracias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transferencia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promovida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OIEA.</w:t>
      </w:r>
    </w:p>
    <w:p w14:paraId="72BCA3E5" w14:textId="5D13CE3B" w:rsidR="005D0292" w:rsidRPr="007A03A6" w:rsidRDefault="005D0292" w:rsidP="00BE3BCB">
      <w:pPr>
        <w:pStyle w:val="ListParagraph"/>
        <w:numPr>
          <w:ilvl w:val="0"/>
          <w:numId w:val="48"/>
        </w:numPr>
        <w:jc w:val="both"/>
        <w:rPr>
          <w:rFonts w:ascii="Times New Roman" w:hAnsi="Times New Roman" w:cs="Times New Roman"/>
          <w:sz w:val="24"/>
          <w:szCs w:val="24"/>
        </w:rPr>
      </w:pP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instalada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equipos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complejidad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(SPECT-CT,</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PET-CT,</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PET-MRI)</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aumentado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p>
    <w:p w14:paraId="49E88300" w14:textId="77777777" w:rsidR="00C34D80" w:rsidRPr="007A03A6" w:rsidRDefault="00C34D80" w:rsidP="00C34D80">
      <w:pPr>
        <w:pStyle w:val="ListParagraph"/>
        <w:ind w:left="360"/>
        <w:jc w:val="both"/>
        <w:rPr>
          <w:rFonts w:ascii="Times New Roman" w:hAnsi="Times New Roman" w:cs="Times New Roman"/>
          <w:sz w:val="24"/>
          <w:szCs w:val="24"/>
        </w:rPr>
      </w:pPr>
    </w:p>
    <w:p w14:paraId="77F665BF" w14:textId="2F9A9B02" w:rsidR="00C34D80" w:rsidRPr="007A03A6" w:rsidRDefault="005D0292"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infraestructura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instalada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radionúclidos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radiofármacos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cuatro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cumpliendo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requerimientos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exportación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p>
    <w:p w14:paraId="42AA4CEB" w14:textId="77777777" w:rsidR="00C34D80" w:rsidRPr="007A03A6" w:rsidRDefault="00C34D80" w:rsidP="00C34D80">
      <w:pPr>
        <w:spacing w:after="0" w:line="240" w:lineRule="auto"/>
        <w:jc w:val="both"/>
        <w:rPr>
          <w:rFonts w:ascii="Times New Roman" w:hAnsi="Times New Roman" w:cs="Times New Roman"/>
          <w:sz w:val="24"/>
          <w:szCs w:val="24"/>
        </w:rPr>
      </w:pPr>
    </w:p>
    <w:p w14:paraId="1A55A904" w14:textId="59E14AD8" w:rsidR="005D0292" w:rsidRPr="007A03A6" w:rsidRDefault="005D0292"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habido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incremento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disponibles,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asimismo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complejidad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p>
    <w:p w14:paraId="6341C988" w14:textId="77777777" w:rsidR="00C34D80" w:rsidRPr="007A03A6" w:rsidRDefault="00C34D80" w:rsidP="00C34D80">
      <w:pPr>
        <w:spacing w:after="0" w:line="240" w:lineRule="auto"/>
        <w:jc w:val="both"/>
        <w:rPr>
          <w:rFonts w:ascii="Times New Roman" w:hAnsi="Times New Roman" w:cs="Times New Roman"/>
          <w:sz w:val="24"/>
          <w:szCs w:val="24"/>
        </w:rPr>
      </w:pPr>
    </w:p>
    <w:p w14:paraId="6DDD4065" w14:textId="451A5141" w:rsidR="00C34D80" w:rsidRPr="007A03A6" w:rsidRDefault="005D0292"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normas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contemplan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aspectos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prestación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normativa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específica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incluyendo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vinculación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sistemático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equipos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procedimientos.</w:t>
      </w:r>
    </w:p>
    <w:p w14:paraId="5BFC424C" w14:textId="77777777" w:rsidR="00C34D80" w:rsidRPr="007A03A6" w:rsidRDefault="00C34D80" w:rsidP="00C34D80">
      <w:pPr>
        <w:spacing w:after="0" w:line="240" w:lineRule="auto"/>
        <w:jc w:val="both"/>
        <w:rPr>
          <w:rFonts w:ascii="Times New Roman" w:hAnsi="Times New Roman" w:cs="Times New Roman"/>
          <w:sz w:val="24"/>
          <w:szCs w:val="24"/>
        </w:rPr>
      </w:pPr>
    </w:p>
    <w:p w14:paraId="7788551E" w14:textId="59EE30B8" w:rsidR="005D0292" w:rsidRPr="007A03A6" w:rsidRDefault="005D0292"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fortalecido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convenios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interinstitucionales,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reflejado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mejor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integración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w:t>
      </w:r>
    </w:p>
    <w:p w14:paraId="4436553C" w14:textId="77777777" w:rsidR="00C34D80" w:rsidRPr="007A03A6" w:rsidRDefault="00C34D80" w:rsidP="00C34D80">
      <w:pPr>
        <w:spacing w:after="0" w:line="240" w:lineRule="auto"/>
        <w:jc w:val="both"/>
        <w:rPr>
          <w:rFonts w:ascii="Times New Roman" w:hAnsi="Times New Roman" w:cs="Times New Roman"/>
          <w:sz w:val="24"/>
          <w:szCs w:val="24"/>
        </w:rPr>
      </w:pPr>
    </w:p>
    <w:p w14:paraId="7370CA04" w14:textId="7B45DB46" w:rsidR="00C34D80" w:rsidRPr="007A03A6" w:rsidRDefault="005D0292"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Existen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sociedades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funcionales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respaldo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científico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soporte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estratégico.</w:t>
      </w:r>
    </w:p>
    <w:p w14:paraId="4902F8E2" w14:textId="77777777" w:rsidR="00C34D80" w:rsidRPr="007A03A6" w:rsidRDefault="00C34D80" w:rsidP="00C34D80">
      <w:pPr>
        <w:spacing w:after="0" w:line="240" w:lineRule="auto"/>
        <w:jc w:val="both"/>
        <w:rPr>
          <w:rFonts w:ascii="Times New Roman" w:hAnsi="Times New Roman" w:cs="Times New Roman"/>
          <w:sz w:val="24"/>
          <w:szCs w:val="24"/>
        </w:rPr>
      </w:pPr>
    </w:p>
    <w:p w14:paraId="1212D2A4" w14:textId="734146EF" w:rsidR="005D0292" w:rsidRPr="007A03A6" w:rsidRDefault="005D0292"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fortalecido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realizar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auditorías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optimización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aún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desafío.</w:t>
      </w:r>
    </w:p>
    <w:p w14:paraId="77279D90" w14:textId="77777777" w:rsidR="00C34D80" w:rsidRPr="007A03A6" w:rsidRDefault="00C34D80" w:rsidP="00C34D80">
      <w:pPr>
        <w:spacing w:after="0" w:line="240" w:lineRule="auto"/>
        <w:jc w:val="both"/>
        <w:rPr>
          <w:rFonts w:ascii="Times New Roman" w:hAnsi="Times New Roman" w:cs="Times New Roman"/>
          <w:sz w:val="24"/>
          <w:szCs w:val="24"/>
        </w:rPr>
      </w:pPr>
    </w:p>
    <w:p w14:paraId="45D4A229" w14:textId="0E51604A" w:rsidR="00C34D80" w:rsidRPr="007A03A6" w:rsidRDefault="005D0292"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varios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proyectos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virtual,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particularmente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imágenes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vistas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iniciado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posibilidad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participación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actividades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formativas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w:t>
      </w:r>
      <w:r w:rsidRPr="007A03A6">
        <w:rPr>
          <w:rFonts w:ascii="Times New Roman" w:hAnsi="Times New Roman" w:cs="Times New Roman"/>
          <w:i/>
          <w:sz w:val="24"/>
          <w:szCs w:val="24"/>
        </w:rPr>
        <w:t>webinars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acceso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sesiones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congresos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p>
    <w:p w14:paraId="095DDAAF" w14:textId="77777777" w:rsidR="00C34D80" w:rsidRPr="007A03A6" w:rsidRDefault="00C34D80" w:rsidP="00C34D80">
      <w:pPr>
        <w:spacing w:after="0" w:line="240" w:lineRule="auto"/>
        <w:jc w:val="both"/>
        <w:rPr>
          <w:rFonts w:ascii="Times New Roman" w:hAnsi="Times New Roman" w:cs="Times New Roman"/>
          <w:sz w:val="24"/>
          <w:szCs w:val="24"/>
        </w:rPr>
      </w:pPr>
    </w:p>
    <w:p w14:paraId="709B329B" w14:textId="36249998" w:rsidR="005D0292" w:rsidRPr="007A03A6" w:rsidRDefault="005D0292"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postgrado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interés.</w:t>
      </w:r>
      <w:r w:rsidR="00D136BB">
        <w:rPr>
          <w:rFonts w:ascii="Times New Roman" w:hAnsi="Times New Roman" w:cs="Times New Roman"/>
          <w:sz w:val="24"/>
          <w:szCs w:val="24"/>
        </w:rPr>
        <w:t xml:space="preserve"> </w:t>
      </w:r>
    </w:p>
    <w:p w14:paraId="0CF145A5" w14:textId="77777777" w:rsidR="00C34D80" w:rsidRPr="007A03A6" w:rsidRDefault="00C34D80" w:rsidP="00C34D80">
      <w:pPr>
        <w:spacing w:after="0" w:line="240" w:lineRule="auto"/>
        <w:jc w:val="both"/>
        <w:rPr>
          <w:rFonts w:ascii="Times New Roman" w:hAnsi="Times New Roman" w:cs="Times New Roman"/>
          <w:sz w:val="24"/>
          <w:szCs w:val="24"/>
        </w:rPr>
      </w:pPr>
    </w:p>
    <w:p w14:paraId="1F097C9F" w14:textId="62290F14" w:rsidR="005D0292" w:rsidRPr="007A03A6" w:rsidRDefault="00D136BB"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Existe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dentro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región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una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maestría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universitaria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radioterapia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avanzada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para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médicos</w:t>
      </w:r>
      <w:r>
        <w:rPr>
          <w:rFonts w:ascii="Times New Roman" w:hAnsi="Times New Roman" w:cs="Times New Roman"/>
          <w:sz w:val="24"/>
          <w:szCs w:val="24"/>
        </w:rPr>
        <w:t xml:space="preserve"> </w:t>
      </w:r>
      <w:r w:rsidR="00C34D80" w:rsidRPr="007A03A6">
        <w:rPr>
          <w:rFonts w:ascii="Times New Roman" w:hAnsi="Times New Roman" w:cs="Times New Roman"/>
          <w:sz w:val="24"/>
          <w:szCs w:val="24"/>
        </w:rPr>
        <w:t>radio</w:t>
      </w:r>
      <w:r>
        <w:rPr>
          <w:rFonts w:ascii="Times New Roman" w:hAnsi="Times New Roman" w:cs="Times New Roman"/>
          <w:sz w:val="24"/>
          <w:szCs w:val="24"/>
        </w:rPr>
        <w:t xml:space="preserve"> </w:t>
      </w:r>
      <w:r w:rsidR="00C34D80" w:rsidRPr="007A03A6">
        <w:rPr>
          <w:rFonts w:ascii="Times New Roman" w:hAnsi="Times New Roman" w:cs="Times New Roman"/>
          <w:sz w:val="24"/>
          <w:szCs w:val="24"/>
        </w:rPr>
        <w:t>oncólogos</w:t>
      </w:r>
      <w:r w:rsidR="005D0292" w:rsidRPr="007A03A6">
        <w:rPr>
          <w:rFonts w:ascii="Times New Roman" w:hAnsi="Times New Roman" w:cs="Times New Roman"/>
          <w:sz w:val="24"/>
          <w:szCs w:val="24"/>
        </w:rPr>
        <w:t>,</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auspiciada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por</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OIEA.</w:t>
      </w:r>
    </w:p>
    <w:p w14:paraId="49FEA3A5" w14:textId="77777777" w:rsidR="00C34D80" w:rsidRPr="007A03A6" w:rsidRDefault="00C34D80" w:rsidP="00C34D80">
      <w:pPr>
        <w:spacing w:after="0" w:line="240" w:lineRule="auto"/>
        <w:jc w:val="both"/>
        <w:rPr>
          <w:rFonts w:ascii="Times New Roman" w:hAnsi="Times New Roman" w:cs="Times New Roman"/>
          <w:sz w:val="24"/>
          <w:szCs w:val="24"/>
        </w:rPr>
      </w:pPr>
    </w:p>
    <w:p w14:paraId="48D8E082" w14:textId="00A80FB7" w:rsidR="005D0292" w:rsidRPr="007A03A6" w:rsidRDefault="00D136BB"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Existen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región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centros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capacidad</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para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ofrecer</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programas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perfeccionamiento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(estadías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cortas)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y</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expertos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todas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disciplinas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aplicaciones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radiación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sector</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salud.</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Se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realizan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periódicamente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eventos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científicos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nacionales,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regionales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internacionales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actualización,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intercambio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y</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educación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continua.</w:t>
      </w:r>
    </w:p>
    <w:p w14:paraId="4329C6D3" w14:textId="77777777" w:rsidR="00C34D80" w:rsidRPr="007A03A6" w:rsidRDefault="00C34D80" w:rsidP="00C34D80">
      <w:pPr>
        <w:spacing w:after="0" w:line="240" w:lineRule="auto"/>
        <w:jc w:val="both"/>
        <w:rPr>
          <w:rFonts w:ascii="Times New Roman" w:hAnsi="Times New Roman" w:cs="Times New Roman"/>
          <w:sz w:val="24"/>
          <w:szCs w:val="24"/>
        </w:rPr>
      </w:pPr>
    </w:p>
    <w:p w14:paraId="34BD6033" w14:textId="28390C71" w:rsidR="00C34D80" w:rsidRPr="007A03A6" w:rsidRDefault="00D136BB"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contribución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OIEA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ha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contribuido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calidad</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y</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aumento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profesionales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capacitados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todas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áreas.</w:t>
      </w:r>
    </w:p>
    <w:p w14:paraId="60204C4F" w14:textId="77777777" w:rsidR="00C34D80" w:rsidRPr="007A03A6" w:rsidRDefault="00C34D80" w:rsidP="00C34D80">
      <w:pPr>
        <w:spacing w:after="0" w:line="240" w:lineRule="auto"/>
        <w:jc w:val="both"/>
        <w:rPr>
          <w:rFonts w:ascii="Times New Roman" w:hAnsi="Times New Roman" w:cs="Times New Roman"/>
          <w:sz w:val="24"/>
          <w:szCs w:val="24"/>
        </w:rPr>
      </w:pPr>
    </w:p>
    <w:p w14:paraId="521C4CFD" w14:textId="06C66283" w:rsidR="005D0292" w:rsidRPr="007A03A6" w:rsidRDefault="00D136BB"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Se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comparte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un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idioma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común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mayoría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países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región,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cual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facilita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intercambio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y</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formación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continua.</w:t>
      </w:r>
    </w:p>
    <w:p w14:paraId="22C25B08" w14:textId="77777777" w:rsidR="00C34D80" w:rsidRPr="007A03A6" w:rsidRDefault="00C34D80" w:rsidP="00C34D80">
      <w:pPr>
        <w:spacing w:after="0" w:line="240" w:lineRule="auto"/>
        <w:jc w:val="both"/>
        <w:rPr>
          <w:rFonts w:ascii="Times New Roman" w:hAnsi="Times New Roman" w:cs="Times New Roman"/>
          <w:sz w:val="24"/>
          <w:szCs w:val="24"/>
        </w:rPr>
      </w:pPr>
    </w:p>
    <w:p w14:paraId="152B0293" w14:textId="52092052" w:rsidR="00C34D80" w:rsidRPr="007A03A6" w:rsidRDefault="00D136BB"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Capacidades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establecidas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mayoría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países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región,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logradas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través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proyectos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regionales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y</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nacionales,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materia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evaluación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problemas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nutricionales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mediante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técnicas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isótopos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estables</w:t>
      </w:r>
      <w:r w:rsidR="00C34D80" w:rsidRPr="007A03A6">
        <w:rPr>
          <w:rFonts w:ascii="Times New Roman" w:hAnsi="Times New Roman" w:cs="Times New Roman"/>
          <w:sz w:val="24"/>
          <w:szCs w:val="24"/>
        </w:rPr>
        <w:t>.</w:t>
      </w:r>
    </w:p>
    <w:p w14:paraId="2E0E6B83" w14:textId="77777777" w:rsidR="00C34D80" w:rsidRPr="007A03A6" w:rsidRDefault="00C34D80" w:rsidP="00C34D80">
      <w:pPr>
        <w:spacing w:after="0" w:line="240" w:lineRule="auto"/>
        <w:jc w:val="both"/>
        <w:rPr>
          <w:rFonts w:ascii="Times New Roman" w:hAnsi="Times New Roman" w:cs="Times New Roman"/>
          <w:sz w:val="24"/>
          <w:szCs w:val="24"/>
        </w:rPr>
      </w:pPr>
    </w:p>
    <w:p w14:paraId="7A3F5D93" w14:textId="4A1C9AAD" w:rsidR="005D0292" w:rsidRPr="007A03A6" w:rsidRDefault="00D136BB" w:rsidP="00BE3BCB">
      <w:pPr>
        <w:pStyle w:val="ListParagraph"/>
        <w:numPr>
          <w:ilvl w:val="0"/>
          <w:numId w:val="48"/>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algunos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países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han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sido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evaluados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estudios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niveles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referencia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dosis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radiología.</w:t>
      </w:r>
    </w:p>
    <w:p w14:paraId="6BF5BA33" w14:textId="3916AB27" w:rsidR="005D0292" w:rsidRDefault="005D0292" w:rsidP="005D0292">
      <w:pPr>
        <w:rPr>
          <w:rFonts w:ascii="Times New Roman" w:hAnsi="Times New Roman" w:cs="Times New Roman"/>
          <w:sz w:val="24"/>
          <w:szCs w:val="24"/>
        </w:rPr>
      </w:pPr>
    </w:p>
    <w:p w14:paraId="35B0BF1A" w14:textId="58A00A4E" w:rsidR="00050AB2" w:rsidRDefault="00050AB2" w:rsidP="005D0292">
      <w:pPr>
        <w:rPr>
          <w:rFonts w:ascii="Times New Roman" w:hAnsi="Times New Roman" w:cs="Times New Roman"/>
          <w:sz w:val="24"/>
          <w:szCs w:val="24"/>
        </w:rPr>
      </w:pPr>
    </w:p>
    <w:p w14:paraId="0EB84594" w14:textId="77777777" w:rsidR="00050AB2" w:rsidRPr="007A03A6" w:rsidRDefault="00050AB2" w:rsidP="005D0292">
      <w:pPr>
        <w:rPr>
          <w:rFonts w:ascii="Times New Roman" w:hAnsi="Times New Roman" w:cs="Times New Roman"/>
          <w:sz w:val="24"/>
          <w:szCs w:val="24"/>
        </w:rPr>
      </w:pPr>
    </w:p>
    <w:p w14:paraId="4CF522A6" w14:textId="70FE249F" w:rsidR="005D0292" w:rsidRPr="007A03A6" w:rsidRDefault="005D0292" w:rsidP="005D0292">
      <w:pPr>
        <w:rPr>
          <w:rFonts w:ascii="Times New Roman" w:hAnsi="Times New Roman" w:cs="Times New Roman"/>
          <w:b/>
          <w:bCs/>
          <w:sz w:val="24"/>
          <w:szCs w:val="24"/>
          <w:u w:val="single"/>
        </w:rPr>
      </w:pPr>
      <w:r w:rsidRPr="007A03A6">
        <w:rPr>
          <w:rFonts w:ascii="Times New Roman" w:hAnsi="Times New Roman" w:cs="Times New Roman"/>
          <w:b/>
          <w:bCs/>
          <w:sz w:val="24"/>
          <w:szCs w:val="24"/>
        </w:rPr>
        <w:lastRenderedPageBreak/>
        <w:t>2</w:t>
      </w:r>
      <w:r w:rsidR="00D04233" w:rsidRPr="007A03A6">
        <w:rPr>
          <w:rFonts w:ascii="Times New Roman" w:hAnsi="Times New Roman" w:cs="Times New Roman"/>
          <w:b/>
          <w:bCs/>
          <w:sz w:val="24"/>
          <w:szCs w:val="24"/>
        </w:rPr>
        <w:t>.</w:t>
      </w:r>
      <w:r w:rsidR="00D136BB">
        <w:rPr>
          <w:rFonts w:ascii="Times New Roman" w:hAnsi="Times New Roman" w:cs="Times New Roman"/>
          <w:b/>
          <w:bCs/>
          <w:sz w:val="24"/>
          <w:szCs w:val="24"/>
        </w:rPr>
        <w:t xml:space="preserve"> </w:t>
      </w:r>
      <w:r w:rsidRPr="007A03A6">
        <w:rPr>
          <w:rFonts w:ascii="Times New Roman" w:hAnsi="Times New Roman" w:cs="Times New Roman"/>
          <w:b/>
          <w:bCs/>
          <w:sz w:val="24"/>
          <w:szCs w:val="24"/>
          <w:u w:val="single"/>
        </w:rPr>
        <w:t>Debilidades</w:t>
      </w:r>
    </w:p>
    <w:p w14:paraId="733F1856" w14:textId="25E47668" w:rsidR="005D0292" w:rsidRPr="007A03A6" w:rsidRDefault="005D0292" w:rsidP="00BE3BCB">
      <w:pPr>
        <w:pStyle w:val="ListParagraph"/>
        <w:numPr>
          <w:ilvl w:val="0"/>
          <w:numId w:val="49"/>
        </w:numPr>
        <w:jc w:val="both"/>
        <w:rPr>
          <w:rFonts w:ascii="Times New Roman" w:hAnsi="Times New Roman" w:cs="Times New Roman"/>
          <w:sz w:val="24"/>
          <w:szCs w:val="24"/>
        </w:rPr>
      </w:pPr>
      <w:r w:rsidRPr="007A03A6">
        <w:rPr>
          <w:rFonts w:ascii="Times New Roman" w:hAnsi="Times New Roman" w:cs="Times New Roman"/>
          <w:sz w:val="24"/>
          <w:szCs w:val="24"/>
        </w:rPr>
        <w:t>Heterogeneidad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equipamiento,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distribución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geográfica,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acceso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calificados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dentro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p>
    <w:p w14:paraId="569599DF" w14:textId="77777777" w:rsidR="00350DC5" w:rsidRPr="007A03A6" w:rsidRDefault="00350DC5" w:rsidP="00350DC5">
      <w:pPr>
        <w:pStyle w:val="ListParagraph"/>
        <w:ind w:left="360"/>
        <w:jc w:val="both"/>
        <w:rPr>
          <w:rFonts w:ascii="Times New Roman" w:hAnsi="Times New Roman" w:cs="Times New Roman"/>
          <w:sz w:val="24"/>
          <w:szCs w:val="24"/>
        </w:rPr>
      </w:pPr>
    </w:p>
    <w:p w14:paraId="443CD8F4" w14:textId="03F5F560" w:rsidR="00350DC5"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reconocimiento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distintos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trabajan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radiación.</w:t>
      </w:r>
      <w:r w:rsidR="00D136BB">
        <w:rPr>
          <w:rFonts w:ascii="Times New Roman" w:hAnsi="Times New Roman" w:cs="Times New Roman"/>
          <w:sz w:val="24"/>
          <w:szCs w:val="24"/>
        </w:rPr>
        <w:t xml:space="preserve"> </w:t>
      </w:r>
    </w:p>
    <w:p w14:paraId="6D5BD36B" w14:textId="77777777" w:rsidR="00350DC5" w:rsidRPr="007A03A6" w:rsidRDefault="00350DC5" w:rsidP="00350DC5">
      <w:pPr>
        <w:spacing w:after="0" w:line="240" w:lineRule="auto"/>
        <w:jc w:val="both"/>
        <w:rPr>
          <w:rFonts w:ascii="Times New Roman" w:hAnsi="Times New Roman" w:cs="Times New Roman"/>
          <w:sz w:val="24"/>
          <w:szCs w:val="24"/>
        </w:rPr>
      </w:pPr>
    </w:p>
    <w:p w14:paraId="76CA9459" w14:textId="3A1D1E72" w:rsidR="005D0292"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armonizados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entrenamiento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específico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p>
    <w:p w14:paraId="54AA0A80" w14:textId="77777777" w:rsidR="00350DC5" w:rsidRPr="007A03A6" w:rsidRDefault="00350DC5" w:rsidP="00350DC5">
      <w:pPr>
        <w:spacing w:after="0" w:line="240" w:lineRule="auto"/>
        <w:jc w:val="both"/>
        <w:rPr>
          <w:rFonts w:ascii="Times New Roman" w:hAnsi="Times New Roman" w:cs="Times New Roman"/>
          <w:sz w:val="24"/>
          <w:szCs w:val="24"/>
        </w:rPr>
      </w:pPr>
    </w:p>
    <w:p w14:paraId="1A61A732" w14:textId="191A0BE5" w:rsidR="00350DC5"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Insuficiente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cantidad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afecta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prestación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w:t>
      </w:r>
    </w:p>
    <w:p w14:paraId="2F57E2B6" w14:textId="77777777" w:rsidR="00350DC5" w:rsidRPr="007A03A6" w:rsidRDefault="00350DC5" w:rsidP="00350DC5">
      <w:pPr>
        <w:spacing w:after="0" w:line="240" w:lineRule="auto"/>
        <w:jc w:val="both"/>
        <w:rPr>
          <w:rFonts w:ascii="Times New Roman" w:hAnsi="Times New Roman" w:cs="Times New Roman"/>
          <w:sz w:val="24"/>
          <w:szCs w:val="24"/>
        </w:rPr>
      </w:pPr>
    </w:p>
    <w:p w14:paraId="59A126C6" w14:textId="75DB1914" w:rsidR="00350DC5"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armonización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académicos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postgrado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médica.</w:t>
      </w:r>
    </w:p>
    <w:p w14:paraId="16595EC9" w14:textId="3D8C9C13" w:rsidR="005D0292" w:rsidRPr="007A03A6" w:rsidRDefault="00D136BB" w:rsidP="00350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D960B39" w14:textId="43BBFE5B" w:rsidR="00350DC5"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entrenamiento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clínico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línea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guías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p>
    <w:p w14:paraId="0039917B" w14:textId="77777777" w:rsidR="00350DC5" w:rsidRPr="007A03A6" w:rsidRDefault="00350DC5" w:rsidP="00350DC5">
      <w:pPr>
        <w:spacing w:after="0" w:line="240" w:lineRule="auto"/>
        <w:jc w:val="both"/>
        <w:rPr>
          <w:rFonts w:ascii="Times New Roman" w:hAnsi="Times New Roman" w:cs="Times New Roman"/>
          <w:sz w:val="24"/>
          <w:szCs w:val="24"/>
        </w:rPr>
      </w:pPr>
    </w:p>
    <w:p w14:paraId="3B8ED441" w14:textId="3D99EACA" w:rsidR="005D0292"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guías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entrenamiento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p>
    <w:p w14:paraId="7171A0C5" w14:textId="77777777" w:rsidR="00350DC5" w:rsidRPr="007A03A6" w:rsidRDefault="00350DC5" w:rsidP="00350DC5">
      <w:pPr>
        <w:spacing w:after="0" w:line="240" w:lineRule="auto"/>
        <w:jc w:val="both"/>
        <w:rPr>
          <w:rFonts w:ascii="Times New Roman" w:hAnsi="Times New Roman" w:cs="Times New Roman"/>
          <w:sz w:val="24"/>
          <w:szCs w:val="24"/>
        </w:rPr>
      </w:pPr>
    </w:p>
    <w:p w14:paraId="2F31A805" w14:textId="32A68F14" w:rsidR="00350DC5"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Desconocimiento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roles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responsabilidades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instituciones.</w:t>
      </w:r>
    </w:p>
    <w:p w14:paraId="1F078470" w14:textId="77777777" w:rsidR="00350DC5" w:rsidRPr="007A03A6" w:rsidRDefault="00350DC5" w:rsidP="00350DC5">
      <w:pPr>
        <w:spacing w:after="0" w:line="240" w:lineRule="auto"/>
        <w:jc w:val="both"/>
        <w:rPr>
          <w:rFonts w:ascii="Times New Roman" w:hAnsi="Times New Roman" w:cs="Times New Roman"/>
          <w:sz w:val="24"/>
          <w:szCs w:val="24"/>
        </w:rPr>
      </w:pPr>
    </w:p>
    <w:p w14:paraId="7E706E23" w14:textId="5AF057AA" w:rsidR="005D0292"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Déficit</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vinculados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imágenes.</w:t>
      </w:r>
    </w:p>
    <w:p w14:paraId="3A3E306C" w14:textId="77777777" w:rsidR="00350DC5" w:rsidRPr="007A03A6" w:rsidRDefault="00350DC5" w:rsidP="00350DC5">
      <w:pPr>
        <w:spacing w:after="0" w:line="240" w:lineRule="auto"/>
        <w:jc w:val="both"/>
        <w:rPr>
          <w:rFonts w:ascii="Times New Roman" w:hAnsi="Times New Roman" w:cs="Times New Roman"/>
          <w:sz w:val="24"/>
          <w:szCs w:val="24"/>
        </w:rPr>
      </w:pPr>
    </w:p>
    <w:p w14:paraId="7ED474E0" w14:textId="69B3EF1C" w:rsidR="00350DC5"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acceso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potenciales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beneficiarios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proyectos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limitado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coordinadores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coordinadores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proyecto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diseminan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adecuadamente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casos.</w:t>
      </w:r>
    </w:p>
    <w:p w14:paraId="3794A6D1" w14:textId="77777777" w:rsidR="00350DC5" w:rsidRPr="007A03A6" w:rsidRDefault="00350DC5" w:rsidP="00350DC5">
      <w:pPr>
        <w:spacing w:after="0" w:line="240" w:lineRule="auto"/>
        <w:jc w:val="both"/>
        <w:rPr>
          <w:rFonts w:ascii="Times New Roman" w:hAnsi="Times New Roman" w:cs="Times New Roman"/>
          <w:sz w:val="24"/>
          <w:szCs w:val="24"/>
        </w:rPr>
      </w:pPr>
    </w:p>
    <w:p w14:paraId="5CD07A10" w14:textId="022462D7" w:rsidR="005D0292"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nutrición,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dificultad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obtener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objetiva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absorción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nutrientes,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crónicos.</w:t>
      </w:r>
    </w:p>
    <w:p w14:paraId="44E7A55C" w14:textId="77777777" w:rsidR="00350DC5" w:rsidRPr="007A03A6" w:rsidRDefault="00350DC5" w:rsidP="00350DC5">
      <w:pPr>
        <w:spacing w:after="0" w:line="240" w:lineRule="auto"/>
        <w:jc w:val="both"/>
        <w:rPr>
          <w:rFonts w:ascii="Times New Roman" w:hAnsi="Times New Roman" w:cs="Times New Roman"/>
          <w:sz w:val="24"/>
          <w:szCs w:val="24"/>
        </w:rPr>
      </w:pPr>
    </w:p>
    <w:p w14:paraId="05BF8355" w14:textId="17C205FB" w:rsidR="00350DC5"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Ausencia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deficiencia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mecanismos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autoridades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aplicación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garantía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instituciones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prestadoras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p>
    <w:p w14:paraId="1F1DFD3E" w14:textId="165C6AA9" w:rsidR="00350DC5" w:rsidRPr="007A03A6" w:rsidRDefault="00D136BB" w:rsidP="00350D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C88F130" w14:textId="24181B41" w:rsidR="005D0292"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Limitación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seguimiento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pacientes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investigación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establecimiento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indicadores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resultados.</w:t>
      </w:r>
    </w:p>
    <w:p w14:paraId="0C99AB16" w14:textId="77777777" w:rsidR="00350DC5" w:rsidRPr="007A03A6" w:rsidRDefault="00350DC5" w:rsidP="00350DC5">
      <w:pPr>
        <w:spacing w:after="0" w:line="240" w:lineRule="auto"/>
        <w:jc w:val="both"/>
        <w:rPr>
          <w:rFonts w:ascii="Times New Roman" w:hAnsi="Times New Roman" w:cs="Times New Roman"/>
          <w:sz w:val="24"/>
          <w:szCs w:val="24"/>
        </w:rPr>
      </w:pPr>
    </w:p>
    <w:p w14:paraId="7E452D00" w14:textId="1681471A" w:rsidR="00350DC5"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siguen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protocolos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adultos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pacientes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pediátricos,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conlleva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dosis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riesgos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innecesarios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niños,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inadecuados.</w:t>
      </w:r>
    </w:p>
    <w:p w14:paraId="3EDC5A2D" w14:textId="77777777" w:rsidR="00350DC5" w:rsidRPr="007A03A6" w:rsidRDefault="00350DC5" w:rsidP="00350DC5">
      <w:pPr>
        <w:spacing w:after="0" w:line="240" w:lineRule="auto"/>
        <w:jc w:val="both"/>
        <w:rPr>
          <w:rFonts w:ascii="Times New Roman" w:hAnsi="Times New Roman" w:cs="Times New Roman"/>
          <w:sz w:val="24"/>
          <w:szCs w:val="24"/>
        </w:rPr>
      </w:pPr>
    </w:p>
    <w:p w14:paraId="267C4FE2" w14:textId="197D30E6" w:rsidR="005D0292"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guías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institucionales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guías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procedimientos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cuya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implementación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resulta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fundamental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introducción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avanzadas.</w:t>
      </w:r>
    </w:p>
    <w:p w14:paraId="0A115B49" w14:textId="58A99715" w:rsidR="00D04233"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lastRenderedPageBreak/>
        <w:t>Desconocimiento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valor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introducción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nuevas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nanomedicina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inteligencia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artificial.</w:t>
      </w:r>
    </w:p>
    <w:p w14:paraId="56E7AC40" w14:textId="77777777" w:rsidR="00D04233" w:rsidRPr="007A03A6" w:rsidRDefault="00D04233" w:rsidP="00D04233">
      <w:pPr>
        <w:pStyle w:val="ListParagraph"/>
        <w:spacing w:after="0" w:line="240" w:lineRule="auto"/>
        <w:ind w:left="357"/>
        <w:jc w:val="both"/>
        <w:rPr>
          <w:rFonts w:ascii="Times New Roman" w:hAnsi="Times New Roman" w:cs="Times New Roman"/>
          <w:sz w:val="24"/>
          <w:szCs w:val="24"/>
        </w:rPr>
      </w:pPr>
    </w:p>
    <w:p w14:paraId="10C7FDF3" w14:textId="44F8EC0E" w:rsidR="005D0292" w:rsidRPr="007A03A6" w:rsidRDefault="005D0292" w:rsidP="00BE3BCB">
      <w:pPr>
        <w:pStyle w:val="ListParagraph"/>
        <w:numPr>
          <w:ilvl w:val="0"/>
          <w:numId w:val="49"/>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estadística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confiable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cuanto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máquinas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reporte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p>
    <w:p w14:paraId="63661FED" w14:textId="77777777" w:rsidR="00D04233" w:rsidRPr="007A03A6" w:rsidRDefault="00D04233" w:rsidP="00D04233">
      <w:pPr>
        <w:spacing w:after="0" w:line="240" w:lineRule="auto"/>
        <w:jc w:val="both"/>
        <w:rPr>
          <w:rFonts w:ascii="Times New Roman" w:hAnsi="Times New Roman" w:cs="Times New Roman"/>
          <w:sz w:val="24"/>
          <w:szCs w:val="24"/>
        </w:rPr>
      </w:pPr>
    </w:p>
    <w:p w14:paraId="5FE3C054" w14:textId="19D3BA2D" w:rsidR="005D0292" w:rsidRPr="007A03A6" w:rsidRDefault="005D0292" w:rsidP="00BE3BCB">
      <w:pPr>
        <w:pStyle w:val="ListParagraph"/>
        <w:numPr>
          <w:ilvl w:val="0"/>
          <w:numId w:val="49"/>
        </w:numPr>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integrada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equipo)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radiooncólogos,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p>
    <w:p w14:paraId="3F5652AC" w14:textId="77777777" w:rsidR="005D0292" w:rsidRPr="007A03A6" w:rsidRDefault="005D0292" w:rsidP="005D0292">
      <w:pPr>
        <w:rPr>
          <w:rFonts w:ascii="Times New Roman" w:hAnsi="Times New Roman" w:cs="Times New Roman"/>
          <w:sz w:val="24"/>
          <w:szCs w:val="24"/>
        </w:rPr>
      </w:pPr>
    </w:p>
    <w:p w14:paraId="6DAE697F" w14:textId="332F74B4" w:rsidR="005D0292" w:rsidRPr="007A03A6" w:rsidRDefault="005D0292" w:rsidP="005D0292">
      <w:pPr>
        <w:rPr>
          <w:rFonts w:ascii="Times New Roman" w:hAnsi="Times New Roman" w:cs="Times New Roman"/>
          <w:b/>
          <w:bCs/>
          <w:sz w:val="24"/>
          <w:szCs w:val="24"/>
          <w:u w:val="single"/>
        </w:rPr>
      </w:pPr>
      <w:r w:rsidRPr="007A03A6">
        <w:rPr>
          <w:rFonts w:ascii="Times New Roman" w:hAnsi="Times New Roman" w:cs="Times New Roman"/>
          <w:b/>
          <w:bCs/>
          <w:sz w:val="24"/>
          <w:szCs w:val="24"/>
        </w:rPr>
        <w:t>3</w:t>
      </w:r>
      <w:r w:rsidR="00D04233" w:rsidRPr="007A03A6">
        <w:rPr>
          <w:rFonts w:ascii="Times New Roman" w:hAnsi="Times New Roman" w:cs="Times New Roman"/>
          <w:b/>
          <w:bCs/>
          <w:sz w:val="24"/>
          <w:szCs w:val="24"/>
        </w:rPr>
        <w:t>.</w:t>
      </w:r>
      <w:r w:rsidR="00D136BB">
        <w:rPr>
          <w:rFonts w:ascii="Times New Roman" w:hAnsi="Times New Roman" w:cs="Times New Roman"/>
          <w:b/>
          <w:bCs/>
          <w:sz w:val="24"/>
          <w:szCs w:val="24"/>
        </w:rPr>
        <w:t xml:space="preserve"> </w:t>
      </w:r>
      <w:r w:rsidRPr="007A03A6">
        <w:rPr>
          <w:rFonts w:ascii="Times New Roman" w:hAnsi="Times New Roman" w:cs="Times New Roman"/>
          <w:b/>
          <w:bCs/>
          <w:sz w:val="24"/>
          <w:szCs w:val="24"/>
          <w:u w:val="single"/>
        </w:rPr>
        <w:t>Amenazas</w:t>
      </w:r>
    </w:p>
    <w:p w14:paraId="5712253F" w14:textId="221C93EC" w:rsidR="005D0292" w:rsidRPr="007A03A6" w:rsidRDefault="005D0292" w:rsidP="00BE3BCB">
      <w:pPr>
        <w:pStyle w:val="ListParagraph"/>
        <w:numPr>
          <w:ilvl w:val="0"/>
          <w:numId w:val="51"/>
        </w:numPr>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concientización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decisores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incluso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principales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causas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cardiovasculares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p>
    <w:p w14:paraId="6E2BC251" w14:textId="77777777" w:rsidR="00806395" w:rsidRPr="007A03A6" w:rsidRDefault="00806395" w:rsidP="00806395">
      <w:pPr>
        <w:pStyle w:val="ListParagraph"/>
        <w:ind w:left="360"/>
        <w:jc w:val="both"/>
        <w:rPr>
          <w:rFonts w:ascii="Times New Roman" w:hAnsi="Times New Roman" w:cs="Times New Roman"/>
          <w:sz w:val="24"/>
          <w:szCs w:val="24"/>
        </w:rPr>
      </w:pPr>
    </w:p>
    <w:p w14:paraId="1FCA94DD" w14:textId="1B61C725" w:rsidR="00806395"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Uso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inadecuado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insuficiencia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inversión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compromete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continuidad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mejoramiento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atención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p>
    <w:p w14:paraId="39BDAA71" w14:textId="77777777" w:rsidR="00806395" w:rsidRPr="007A03A6" w:rsidRDefault="00806395" w:rsidP="00806395">
      <w:pPr>
        <w:spacing w:after="0" w:line="240" w:lineRule="auto"/>
        <w:jc w:val="both"/>
        <w:rPr>
          <w:rFonts w:ascii="Times New Roman" w:hAnsi="Times New Roman" w:cs="Times New Roman"/>
          <w:sz w:val="24"/>
          <w:szCs w:val="24"/>
        </w:rPr>
      </w:pPr>
    </w:p>
    <w:p w14:paraId="3C4087D1" w14:textId="74B899BD" w:rsidR="005D0292"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Práctica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sobreprecio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especulativo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proveedores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equipos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insumos,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mantenimiento.</w:t>
      </w:r>
    </w:p>
    <w:p w14:paraId="12A743CE" w14:textId="77777777" w:rsidR="00806395" w:rsidRPr="007A03A6" w:rsidRDefault="00806395" w:rsidP="00806395">
      <w:pPr>
        <w:spacing w:after="0" w:line="240" w:lineRule="auto"/>
        <w:jc w:val="both"/>
        <w:rPr>
          <w:rFonts w:ascii="Times New Roman" w:hAnsi="Times New Roman" w:cs="Times New Roman"/>
          <w:sz w:val="24"/>
          <w:szCs w:val="24"/>
        </w:rPr>
      </w:pPr>
    </w:p>
    <w:p w14:paraId="35E0F860" w14:textId="49083484" w:rsidR="00806395"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comunicación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garantice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apropiada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relacionados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crónicas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p>
    <w:p w14:paraId="12A539BE" w14:textId="77777777" w:rsidR="00806395" w:rsidRPr="007A03A6" w:rsidRDefault="00806395" w:rsidP="00806395">
      <w:pPr>
        <w:spacing w:after="0" w:line="240" w:lineRule="auto"/>
        <w:jc w:val="both"/>
        <w:rPr>
          <w:rFonts w:ascii="Times New Roman" w:hAnsi="Times New Roman" w:cs="Times New Roman"/>
          <w:sz w:val="24"/>
          <w:szCs w:val="24"/>
        </w:rPr>
      </w:pPr>
    </w:p>
    <w:p w14:paraId="67A4F0B5" w14:textId="2657F68E" w:rsidR="005D0292"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Desconocimiento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acceso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limitado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procedimientos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principalmente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PET</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imagen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híbrida,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incluyendo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aporte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evaluación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cardiotoxicidad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pacientes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oncológicos.</w:t>
      </w:r>
    </w:p>
    <w:p w14:paraId="3DB342EB" w14:textId="77777777" w:rsidR="00AF26FA" w:rsidRPr="007A03A6" w:rsidRDefault="00AF26FA" w:rsidP="00AF26FA">
      <w:pPr>
        <w:spacing w:after="0" w:line="240" w:lineRule="auto"/>
        <w:jc w:val="both"/>
        <w:rPr>
          <w:rFonts w:ascii="Times New Roman" w:hAnsi="Times New Roman" w:cs="Times New Roman"/>
          <w:sz w:val="24"/>
          <w:szCs w:val="24"/>
        </w:rPr>
      </w:pPr>
    </w:p>
    <w:p w14:paraId="211B122E" w14:textId="5F975980" w:rsidR="00AF26FA"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Conocimiento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limitado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referentes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administradores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instituciones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sensibilidad,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especificidad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ventajas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procedimientos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estratificación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guía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tratamientos.</w:t>
      </w:r>
    </w:p>
    <w:p w14:paraId="26953C43" w14:textId="77777777" w:rsidR="00AF26FA" w:rsidRPr="007A03A6" w:rsidRDefault="00AF26FA" w:rsidP="00AF26FA">
      <w:pPr>
        <w:spacing w:after="0" w:line="240" w:lineRule="auto"/>
        <w:jc w:val="both"/>
        <w:rPr>
          <w:rFonts w:ascii="Times New Roman" w:hAnsi="Times New Roman" w:cs="Times New Roman"/>
          <w:sz w:val="24"/>
          <w:szCs w:val="24"/>
        </w:rPr>
      </w:pPr>
    </w:p>
    <w:p w14:paraId="4635B01B" w14:textId="15E853E7" w:rsidR="005D0292"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Mecanismos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deficientes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autoridades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aplicación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garantía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instituciones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prestadoras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p>
    <w:p w14:paraId="14B1C684" w14:textId="77777777" w:rsidR="00AF26FA" w:rsidRPr="007A03A6" w:rsidRDefault="00AF26FA" w:rsidP="00AF26FA">
      <w:pPr>
        <w:spacing w:after="0" w:line="240" w:lineRule="auto"/>
        <w:jc w:val="both"/>
        <w:rPr>
          <w:rFonts w:ascii="Times New Roman" w:hAnsi="Times New Roman" w:cs="Times New Roman"/>
          <w:sz w:val="24"/>
          <w:szCs w:val="24"/>
        </w:rPr>
      </w:pPr>
    </w:p>
    <w:p w14:paraId="03196D1B" w14:textId="52D646F6" w:rsidR="00AF26FA"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Fuga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OIEA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sectores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regiones.</w:t>
      </w:r>
    </w:p>
    <w:p w14:paraId="017B4C4D" w14:textId="77777777" w:rsidR="00AF26FA" w:rsidRPr="007A03A6" w:rsidRDefault="00AF26FA" w:rsidP="00AF26FA">
      <w:pPr>
        <w:spacing w:after="0" w:line="240" w:lineRule="auto"/>
        <w:jc w:val="both"/>
        <w:rPr>
          <w:rFonts w:ascii="Times New Roman" w:hAnsi="Times New Roman" w:cs="Times New Roman"/>
          <w:sz w:val="24"/>
          <w:szCs w:val="24"/>
        </w:rPr>
      </w:pPr>
    </w:p>
    <w:p w14:paraId="722ACEE2" w14:textId="3AA409E1" w:rsidR="005D0292"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Dependencia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remotos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decisiones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clínicas,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especialmente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momento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planificar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tratamientos.</w:t>
      </w:r>
    </w:p>
    <w:p w14:paraId="6F4FABAE" w14:textId="77777777" w:rsidR="00AF26FA" w:rsidRPr="007A03A6" w:rsidRDefault="00AF26FA" w:rsidP="00AF26FA">
      <w:pPr>
        <w:spacing w:after="0" w:line="240" w:lineRule="auto"/>
        <w:jc w:val="both"/>
        <w:rPr>
          <w:rFonts w:ascii="Times New Roman" w:hAnsi="Times New Roman" w:cs="Times New Roman"/>
          <w:sz w:val="24"/>
          <w:szCs w:val="24"/>
        </w:rPr>
      </w:pPr>
    </w:p>
    <w:p w14:paraId="5E7A1B7C" w14:textId="75EBA2E6" w:rsidR="00AF26FA"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Condiciones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económicas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laborales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permiten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familias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alimentación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hijos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primera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infancia.</w:t>
      </w:r>
    </w:p>
    <w:p w14:paraId="0D7D45D5" w14:textId="77777777" w:rsidR="00AF26FA" w:rsidRPr="007A03A6" w:rsidRDefault="00AF26FA" w:rsidP="00AF26FA">
      <w:pPr>
        <w:spacing w:after="0" w:line="240" w:lineRule="auto"/>
        <w:jc w:val="both"/>
        <w:rPr>
          <w:rFonts w:ascii="Times New Roman" w:hAnsi="Times New Roman" w:cs="Times New Roman"/>
          <w:sz w:val="24"/>
          <w:szCs w:val="24"/>
        </w:rPr>
      </w:pPr>
    </w:p>
    <w:p w14:paraId="19ECB16E" w14:textId="7F9F3910" w:rsidR="005D0292" w:rsidRPr="007A03A6" w:rsidRDefault="005D0292"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climáticos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modificando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composición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volviéndolos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nutritivos.</w:t>
      </w:r>
    </w:p>
    <w:p w14:paraId="285F9384" w14:textId="77777777" w:rsidR="00AF26FA" w:rsidRPr="007A03A6" w:rsidRDefault="00AF26FA" w:rsidP="00AF26FA">
      <w:pPr>
        <w:pStyle w:val="ListParagraph"/>
        <w:rPr>
          <w:rFonts w:ascii="Times New Roman" w:hAnsi="Times New Roman" w:cs="Times New Roman"/>
          <w:sz w:val="24"/>
          <w:szCs w:val="24"/>
        </w:rPr>
      </w:pPr>
    </w:p>
    <w:p w14:paraId="75AAFE86" w14:textId="22127B94" w:rsidR="005D0292" w:rsidRPr="007A03A6" w:rsidRDefault="00D136BB"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industria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alimentaria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ha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desarrollado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campañas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publicitarias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que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promueven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una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alimentación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no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saludable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niños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y</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jóvenes.</w:t>
      </w:r>
      <w:r>
        <w:rPr>
          <w:rFonts w:ascii="Times New Roman" w:hAnsi="Times New Roman" w:cs="Times New Roman"/>
          <w:sz w:val="24"/>
          <w:szCs w:val="24"/>
        </w:rPr>
        <w:t xml:space="preserve"> </w:t>
      </w:r>
    </w:p>
    <w:p w14:paraId="3BF35723" w14:textId="77777777" w:rsidR="00AF26FA" w:rsidRPr="007A03A6" w:rsidRDefault="00AF26FA" w:rsidP="00AF26FA">
      <w:pPr>
        <w:spacing w:after="0" w:line="240" w:lineRule="auto"/>
        <w:jc w:val="both"/>
        <w:rPr>
          <w:rFonts w:ascii="Times New Roman" w:hAnsi="Times New Roman" w:cs="Times New Roman"/>
          <w:sz w:val="24"/>
          <w:szCs w:val="24"/>
        </w:rPr>
      </w:pPr>
    </w:p>
    <w:p w14:paraId="0162A852" w14:textId="787C43B9" w:rsidR="00AF26FA" w:rsidRPr="007A03A6" w:rsidRDefault="00D136BB"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Incremento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acelerado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sobrepeso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y</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obesidad</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región.</w:t>
      </w:r>
    </w:p>
    <w:p w14:paraId="40DFF3A8" w14:textId="77777777" w:rsidR="00AF26FA" w:rsidRPr="007A03A6" w:rsidRDefault="00AF26FA" w:rsidP="00AF26FA">
      <w:pPr>
        <w:spacing w:after="0" w:line="240" w:lineRule="auto"/>
        <w:jc w:val="both"/>
        <w:rPr>
          <w:rFonts w:ascii="Times New Roman" w:hAnsi="Times New Roman" w:cs="Times New Roman"/>
          <w:sz w:val="24"/>
          <w:szCs w:val="24"/>
        </w:rPr>
      </w:pPr>
    </w:p>
    <w:p w14:paraId="6A9351C4" w14:textId="7E67A87B" w:rsidR="005D0292" w:rsidRPr="007A03A6" w:rsidRDefault="00D136BB" w:rsidP="00BE3BCB">
      <w:pPr>
        <w:pStyle w:val="ListParagraph"/>
        <w:numPr>
          <w:ilvl w:val="0"/>
          <w:numId w:val="5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Persiste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situación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que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algunos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países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carecen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programas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nacionales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control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enfermedades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no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transmisibles.</w:t>
      </w:r>
    </w:p>
    <w:p w14:paraId="30B4BA6D" w14:textId="77777777" w:rsidR="00A20C66" w:rsidRPr="007A03A6" w:rsidRDefault="00A20C66" w:rsidP="005D0292">
      <w:pPr>
        <w:rPr>
          <w:rFonts w:ascii="Times New Roman" w:hAnsi="Times New Roman" w:cs="Times New Roman"/>
          <w:sz w:val="24"/>
          <w:szCs w:val="24"/>
        </w:rPr>
      </w:pPr>
    </w:p>
    <w:p w14:paraId="2060A27E" w14:textId="3E9DB11C" w:rsidR="005D0292" w:rsidRPr="007A03A6" w:rsidRDefault="005D0292" w:rsidP="005D0292">
      <w:pPr>
        <w:rPr>
          <w:rFonts w:ascii="Times New Roman" w:hAnsi="Times New Roman" w:cs="Times New Roman"/>
          <w:b/>
          <w:bCs/>
          <w:sz w:val="24"/>
          <w:szCs w:val="24"/>
          <w:u w:val="single"/>
        </w:rPr>
      </w:pPr>
      <w:r w:rsidRPr="007A03A6">
        <w:rPr>
          <w:rFonts w:ascii="Times New Roman" w:hAnsi="Times New Roman" w:cs="Times New Roman"/>
          <w:b/>
          <w:bCs/>
          <w:sz w:val="24"/>
          <w:szCs w:val="24"/>
        </w:rPr>
        <w:t>4</w:t>
      </w:r>
      <w:r w:rsidR="00D04233" w:rsidRPr="007A03A6">
        <w:rPr>
          <w:rFonts w:ascii="Times New Roman" w:hAnsi="Times New Roman" w:cs="Times New Roman"/>
          <w:b/>
          <w:bCs/>
          <w:sz w:val="24"/>
          <w:szCs w:val="24"/>
        </w:rPr>
        <w:t>.</w:t>
      </w:r>
      <w:r w:rsidR="00D136BB">
        <w:rPr>
          <w:rFonts w:ascii="Times New Roman" w:hAnsi="Times New Roman" w:cs="Times New Roman"/>
          <w:b/>
          <w:bCs/>
          <w:sz w:val="24"/>
          <w:szCs w:val="24"/>
        </w:rPr>
        <w:t xml:space="preserve"> </w:t>
      </w:r>
      <w:r w:rsidRPr="007A03A6">
        <w:rPr>
          <w:rFonts w:ascii="Times New Roman" w:hAnsi="Times New Roman" w:cs="Times New Roman"/>
          <w:b/>
          <w:bCs/>
          <w:sz w:val="24"/>
          <w:szCs w:val="24"/>
          <w:u w:val="single"/>
        </w:rPr>
        <w:t>Oportunidades</w:t>
      </w:r>
    </w:p>
    <w:p w14:paraId="36468CC6" w14:textId="6F18FCB8" w:rsidR="005D0292" w:rsidRPr="007A03A6" w:rsidRDefault="005D0292" w:rsidP="00BE3BCB">
      <w:pPr>
        <w:pStyle w:val="ListParagraph"/>
        <w:numPr>
          <w:ilvl w:val="0"/>
          <w:numId w:val="50"/>
        </w:numPr>
        <w:jc w:val="both"/>
        <w:rPr>
          <w:rFonts w:ascii="Times New Roman" w:hAnsi="Times New Roman" w:cs="Times New Roman"/>
          <w:sz w:val="24"/>
          <w:szCs w:val="24"/>
        </w:rPr>
      </w:pPr>
      <w:r w:rsidRPr="007A03A6">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cooperación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organismos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sociedades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científicas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implementación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conjuntas,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disponibilidad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guías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protocolos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p>
    <w:p w14:paraId="4B9348F8" w14:textId="77777777" w:rsidR="00D04233" w:rsidRPr="007A03A6" w:rsidRDefault="00D04233" w:rsidP="00D04233">
      <w:pPr>
        <w:pStyle w:val="ListParagraph"/>
        <w:ind w:left="360"/>
        <w:jc w:val="both"/>
        <w:rPr>
          <w:rFonts w:ascii="Times New Roman" w:hAnsi="Times New Roman" w:cs="Times New Roman"/>
          <w:sz w:val="24"/>
          <w:szCs w:val="24"/>
        </w:rPr>
      </w:pPr>
    </w:p>
    <w:p w14:paraId="6C631F0B" w14:textId="32D550F8" w:rsidR="00D04233" w:rsidRPr="007A03A6" w:rsidRDefault="005D0292" w:rsidP="00BE3BCB">
      <w:pPr>
        <w:pStyle w:val="ListParagraph"/>
        <w:numPr>
          <w:ilvl w:val="0"/>
          <w:numId w:val="50"/>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sociedades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participar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procesos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legislación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definición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políticas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públicas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relacionadas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p>
    <w:p w14:paraId="31AAD7BE" w14:textId="77777777" w:rsidR="00D04233" w:rsidRPr="007A03A6" w:rsidRDefault="00D04233" w:rsidP="00D04233">
      <w:pPr>
        <w:spacing w:after="0" w:line="240" w:lineRule="auto"/>
        <w:jc w:val="both"/>
        <w:rPr>
          <w:rFonts w:ascii="Times New Roman" w:hAnsi="Times New Roman" w:cs="Times New Roman"/>
          <w:sz w:val="24"/>
          <w:szCs w:val="24"/>
        </w:rPr>
      </w:pPr>
    </w:p>
    <w:p w14:paraId="0223597C" w14:textId="2A95B4FD" w:rsidR="005D0292" w:rsidRPr="007A03A6" w:rsidRDefault="005D0292" w:rsidP="00BE3BCB">
      <w:pPr>
        <w:pStyle w:val="ListParagraph"/>
        <w:numPr>
          <w:ilvl w:val="0"/>
          <w:numId w:val="50"/>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Posibilidad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desempeño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mediante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auditorías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organizadas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organismos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laboratorios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dosimetría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nacionales.</w:t>
      </w:r>
    </w:p>
    <w:p w14:paraId="212CAC23" w14:textId="77777777" w:rsidR="00D04233" w:rsidRPr="007A03A6" w:rsidRDefault="00D04233" w:rsidP="00D04233">
      <w:pPr>
        <w:spacing w:after="0" w:line="240" w:lineRule="auto"/>
        <w:jc w:val="both"/>
        <w:rPr>
          <w:rFonts w:ascii="Times New Roman" w:hAnsi="Times New Roman" w:cs="Times New Roman"/>
          <w:sz w:val="24"/>
          <w:szCs w:val="24"/>
        </w:rPr>
      </w:pPr>
    </w:p>
    <w:p w14:paraId="49D47623" w14:textId="1FCF0742" w:rsidR="00D04233" w:rsidRPr="007A03A6" w:rsidRDefault="005D0292" w:rsidP="00BE3BCB">
      <w:pPr>
        <w:pStyle w:val="ListParagraph"/>
        <w:numPr>
          <w:ilvl w:val="0"/>
          <w:numId w:val="50"/>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suficiente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comunicaciones,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aprovechamiento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actividades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educación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virtual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telemedicina.</w:t>
      </w:r>
    </w:p>
    <w:p w14:paraId="76C4E8C4" w14:textId="77777777" w:rsidR="00D04233" w:rsidRPr="007A03A6" w:rsidRDefault="00D04233" w:rsidP="00D04233">
      <w:pPr>
        <w:spacing w:after="0" w:line="240" w:lineRule="auto"/>
        <w:jc w:val="both"/>
        <w:rPr>
          <w:rFonts w:ascii="Times New Roman" w:hAnsi="Times New Roman" w:cs="Times New Roman"/>
          <w:sz w:val="24"/>
          <w:szCs w:val="24"/>
        </w:rPr>
      </w:pPr>
    </w:p>
    <w:p w14:paraId="7B228F0D" w14:textId="0043F4D3" w:rsidR="005D0292" w:rsidRPr="007A03A6" w:rsidRDefault="005D0292" w:rsidP="00BE3BCB">
      <w:pPr>
        <w:pStyle w:val="ListParagraph"/>
        <w:numPr>
          <w:ilvl w:val="0"/>
          <w:numId w:val="50"/>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suficiente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permitiría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incremento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automatización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hospitalarios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introducción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elementos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inteligencia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artificial.</w:t>
      </w:r>
    </w:p>
    <w:p w14:paraId="77D6DCA1" w14:textId="77777777" w:rsidR="00D04233" w:rsidRPr="007A03A6" w:rsidRDefault="00D04233" w:rsidP="00D04233">
      <w:pPr>
        <w:spacing w:after="0" w:line="240" w:lineRule="auto"/>
        <w:jc w:val="both"/>
        <w:rPr>
          <w:rFonts w:ascii="Times New Roman" w:hAnsi="Times New Roman" w:cs="Times New Roman"/>
          <w:sz w:val="24"/>
          <w:szCs w:val="24"/>
        </w:rPr>
      </w:pPr>
    </w:p>
    <w:p w14:paraId="08DB16E2" w14:textId="560E1274" w:rsidR="00D04233" w:rsidRPr="007A03A6" w:rsidRDefault="005D0292" w:rsidP="00BE3BCB">
      <w:pPr>
        <w:pStyle w:val="ListParagraph"/>
        <w:numPr>
          <w:ilvl w:val="0"/>
          <w:numId w:val="50"/>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Cooperación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organismos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(UNICEF,</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OPS,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OMS)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problema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nutrición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primera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infancia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influencia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epidemiológicos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p>
    <w:p w14:paraId="5809A275" w14:textId="5628EA21" w:rsidR="005D0292" w:rsidRPr="007A03A6" w:rsidRDefault="00D136BB" w:rsidP="00D042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4AA51DA" w14:textId="1806948B" w:rsidR="005D0292" w:rsidRPr="007A03A6" w:rsidRDefault="005D0292" w:rsidP="00BE3BCB">
      <w:pPr>
        <w:pStyle w:val="ListParagraph"/>
        <w:numPr>
          <w:ilvl w:val="0"/>
          <w:numId w:val="50"/>
        </w:numPr>
        <w:spacing w:after="0" w:line="240" w:lineRule="auto"/>
        <w:ind w:left="357" w:hanging="357"/>
        <w:rPr>
          <w:rFonts w:ascii="Times New Roman" w:hAnsi="Times New Roman" w:cs="Times New Roman"/>
          <w:sz w:val="24"/>
          <w:szCs w:val="24"/>
        </w:rPr>
      </w:pPr>
      <w:r w:rsidRPr="007A03A6">
        <w:rPr>
          <w:rFonts w:ascii="Times New Roman" w:hAnsi="Times New Roman" w:cs="Times New Roman"/>
          <w:sz w:val="24"/>
          <w:szCs w:val="24"/>
        </w:rPr>
        <w:t>Existencia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(PACT)</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OIEA.</w:t>
      </w:r>
    </w:p>
    <w:p w14:paraId="1512C887" w14:textId="77777777" w:rsidR="00D04233" w:rsidRPr="007A03A6" w:rsidRDefault="00D04233" w:rsidP="00D04233">
      <w:pPr>
        <w:spacing w:after="0" w:line="240" w:lineRule="auto"/>
        <w:rPr>
          <w:rFonts w:ascii="Times New Roman" w:hAnsi="Times New Roman" w:cs="Times New Roman"/>
          <w:sz w:val="24"/>
          <w:szCs w:val="24"/>
        </w:rPr>
      </w:pPr>
    </w:p>
    <w:p w14:paraId="0CA39C97" w14:textId="66B604CB" w:rsidR="00D04233" w:rsidRPr="007A03A6" w:rsidRDefault="005D0292" w:rsidP="00BE3BCB">
      <w:pPr>
        <w:pStyle w:val="ListParagraph"/>
        <w:numPr>
          <w:ilvl w:val="0"/>
          <w:numId w:val="50"/>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Posibilidad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evaluar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necesidades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bases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datos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ejemplo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DIRAC.</w:t>
      </w:r>
    </w:p>
    <w:p w14:paraId="7BBB1382" w14:textId="77777777" w:rsidR="00D04233" w:rsidRPr="007A03A6" w:rsidRDefault="00D04233" w:rsidP="00D04233">
      <w:pPr>
        <w:spacing w:after="0" w:line="240" w:lineRule="auto"/>
        <w:jc w:val="both"/>
        <w:rPr>
          <w:rFonts w:ascii="Times New Roman" w:hAnsi="Times New Roman" w:cs="Times New Roman"/>
          <w:sz w:val="24"/>
          <w:szCs w:val="24"/>
        </w:rPr>
      </w:pPr>
    </w:p>
    <w:p w14:paraId="52E86D71" w14:textId="549AC8BE" w:rsidR="005D0292" w:rsidRPr="007A03A6" w:rsidRDefault="005D0292" w:rsidP="00BE3BCB">
      <w:pPr>
        <w:pStyle w:val="ListParagraph"/>
        <w:numPr>
          <w:ilvl w:val="0"/>
          <w:numId w:val="50"/>
        </w:numPr>
        <w:spacing w:after="0" w:line="240" w:lineRule="auto"/>
        <w:ind w:left="357" w:hanging="357"/>
        <w:jc w:val="both"/>
        <w:rPr>
          <w:rFonts w:ascii="Times New Roman" w:hAnsi="Times New Roman" w:cs="Times New Roman"/>
          <w:sz w:val="24"/>
          <w:szCs w:val="24"/>
        </w:rPr>
      </w:pP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creciente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especializados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OIEA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compromiso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transmitir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aprendido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pares.</w:t>
      </w:r>
    </w:p>
    <w:p w14:paraId="39BB74C6" w14:textId="77777777" w:rsidR="00D04233" w:rsidRPr="007A03A6" w:rsidRDefault="00D04233" w:rsidP="00D04233">
      <w:pPr>
        <w:spacing w:after="0" w:line="240" w:lineRule="auto"/>
        <w:jc w:val="both"/>
        <w:rPr>
          <w:rFonts w:ascii="Times New Roman" w:hAnsi="Times New Roman" w:cs="Times New Roman"/>
          <w:sz w:val="24"/>
          <w:szCs w:val="24"/>
        </w:rPr>
      </w:pPr>
    </w:p>
    <w:p w14:paraId="677B98E8" w14:textId="7537AC3C" w:rsidR="005D0292" w:rsidRPr="007A03A6" w:rsidRDefault="00D136BB" w:rsidP="00BE3BCB">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5D0292" w:rsidRPr="007A03A6">
        <w:rPr>
          <w:rFonts w:ascii="Times New Roman" w:hAnsi="Times New Roman" w:cs="Times New Roman"/>
          <w:sz w:val="24"/>
          <w:szCs w:val="24"/>
        </w:rPr>
        <w:t>Posibilidad</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intercambio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profesional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para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el</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perfeccionamiento</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en</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diferentes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áreas</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medicina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de</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la</w:t>
      </w:r>
      <w:r>
        <w:rPr>
          <w:rFonts w:ascii="Times New Roman" w:hAnsi="Times New Roman" w:cs="Times New Roman"/>
          <w:sz w:val="24"/>
          <w:szCs w:val="24"/>
        </w:rPr>
        <w:t xml:space="preserve"> </w:t>
      </w:r>
      <w:r w:rsidR="005D0292" w:rsidRPr="007A03A6">
        <w:rPr>
          <w:rFonts w:ascii="Times New Roman" w:hAnsi="Times New Roman" w:cs="Times New Roman"/>
          <w:sz w:val="24"/>
          <w:szCs w:val="24"/>
        </w:rPr>
        <w:t>radiación.</w:t>
      </w:r>
    </w:p>
    <w:p w14:paraId="0BA5F957" w14:textId="4E52002D" w:rsidR="00AF26FA" w:rsidRDefault="00AF26FA" w:rsidP="005D0292">
      <w:pPr>
        <w:rPr>
          <w:rFonts w:ascii="Times New Roman" w:hAnsi="Times New Roman" w:cs="Times New Roman"/>
          <w:b/>
          <w:sz w:val="24"/>
          <w:szCs w:val="24"/>
        </w:rPr>
      </w:pPr>
    </w:p>
    <w:p w14:paraId="3ADDAE24" w14:textId="77777777" w:rsidR="00050AB2" w:rsidRPr="007A03A6" w:rsidRDefault="00050AB2" w:rsidP="005D0292">
      <w:pPr>
        <w:rPr>
          <w:rFonts w:ascii="Times New Roman" w:hAnsi="Times New Roman" w:cs="Times New Roman"/>
          <w:b/>
          <w:sz w:val="24"/>
          <w:szCs w:val="24"/>
        </w:rPr>
      </w:pPr>
    </w:p>
    <w:p w14:paraId="795B3826" w14:textId="35FE7252" w:rsidR="005D0292" w:rsidRPr="007A03A6" w:rsidRDefault="005D0292" w:rsidP="005D0292">
      <w:pPr>
        <w:rPr>
          <w:rFonts w:ascii="Times New Roman" w:hAnsi="Times New Roman" w:cs="Times New Roman"/>
          <w:b/>
          <w:sz w:val="24"/>
          <w:szCs w:val="24"/>
        </w:rPr>
      </w:pPr>
      <w:r w:rsidRPr="007A03A6">
        <w:rPr>
          <w:rFonts w:ascii="Times New Roman" w:hAnsi="Times New Roman" w:cs="Times New Roman"/>
          <w:b/>
          <w:sz w:val="24"/>
          <w:szCs w:val="24"/>
        </w:rPr>
        <w:lastRenderedPageBreak/>
        <w:t>III)</w:t>
      </w:r>
      <w:r w:rsidR="00D136BB">
        <w:rPr>
          <w:rFonts w:ascii="Times New Roman" w:hAnsi="Times New Roman" w:cs="Times New Roman"/>
          <w:b/>
          <w:sz w:val="24"/>
          <w:szCs w:val="24"/>
        </w:rPr>
        <w:t xml:space="preserve"> </w:t>
      </w:r>
      <w:r w:rsidRPr="007A03A6">
        <w:rPr>
          <w:rFonts w:ascii="Times New Roman" w:hAnsi="Times New Roman" w:cs="Times New Roman"/>
          <w:b/>
          <w:sz w:val="24"/>
          <w:szCs w:val="24"/>
        </w:rPr>
        <w:t>Necesidades</w:t>
      </w:r>
      <w:r w:rsidR="00D136BB">
        <w:rPr>
          <w:rFonts w:ascii="Times New Roman" w:hAnsi="Times New Roman" w:cs="Times New Roman"/>
          <w:b/>
          <w:sz w:val="24"/>
          <w:szCs w:val="24"/>
        </w:rPr>
        <w:t xml:space="preserve"> </w:t>
      </w:r>
      <w:r w:rsidR="000C137C">
        <w:rPr>
          <w:rFonts w:ascii="Times New Roman" w:hAnsi="Times New Roman" w:cs="Times New Roman"/>
          <w:b/>
          <w:sz w:val="24"/>
          <w:szCs w:val="24"/>
        </w:rPr>
        <w:t>o</w:t>
      </w:r>
      <w:r w:rsidR="00D136BB">
        <w:rPr>
          <w:rFonts w:ascii="Times New Roman" w:hAnsi="Times New Roman" w:cs="Times New Roman"/>
          <w:b/>
          <w:sz w:val="24"/>
          <w:szCs w:val="24"/>
        </w:rPr>
        <w:t xml:space="preserve"> </w:t>
      </w:r>
      <w:r w:rsidRPr="007A03A6">
        <w:rPr>
          <w:rFonts w:ascii="Times New Roman" w:hAnsi="Times New Roman" w:cs="Times New Roman"/>
          <w:b/>
          <w:sz w:val="24"/>
          <w:szCs w:val="24"/>
        </w:rPr>
        <w:t>Problemas</w:t>
      </w:r>
    </w:p>
    <w:p w14:paraId="3B85F6D3" w14:textId="2292704E" w:rsidR="005D0292" w:rsidRPr="007A03A6" w:rsidRDefault="00242335" w:rsidP="005D0292">
      <w:pPr>
        <w:jc w:val="both"/>
        <w:rPr>
          <w:rFonts w:ascii="Times New Roman" w:hAnsi="Times New Roman" w:cs="Times New Roman"/>
          <w:b/>
          <w:sz w:val="24"/>
          <w:szCs w:val="24"/>
          <w:lang w:val="es-ES"/>
        </w:rPr>
      </w:pPr>
      <w:r w:rsidRPr="007A03A6">
        <w:rPr>
          <w:rFonts w:ascii="Times New Roman" w:hAnsi="Times New Roman" w:cs="Times New Roman"/>
          <w:b/>
          <w:sz w:val="24"/>
          <w:szCs w:val="24"/>
        </w:rPr>
        <w:t>S</w:t>
      </w:r>
      <w:r w:rsidR="005D0292" w:rsidRPr="007A03A6">
        <w:rPr>
          <w:rFonts w:ascii="Times New Roman" w:hAnsi="Times New Roman" w:cs="Times New Roman"/>
          <w:b/>
          <w:sz w:val="24"/>
          <w:szCs w:val="24"/>
        </w:rPr>
        <w:t>1.</w:t>
      </w:r>
      <w:r w:rsidR="00D136BB">
        <w:rPr>
          <w:rFonts w:ascii="Times New Roman" w:hAnsi="Times New Roman" w:cs="Times New Roman"/>
          <w:b/>
          <w:sz w:val="24"/>
          <w:szCs w:val="24"/>
        </w:rPr>
        <w:t xml:space="preserve"> </w:t>
      </w:r>
      <w:r w:rsidR="005D0292" w:rsidRPr="007A03A6">
        <w:rPr>
          <w:rFonts w:ascii="Times New Roman" w:hAnsi="Times New Roman" w:cs="Times New Roman"/>
          <w:b/>
          <w:bCs/>
          <w:sz w:val="24"/>
          <w:szCs w:val="24"/>
          <w:lang w:val="es-419"/>
        </w:rPr>
        <w:t>Insuficiente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número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profesionales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capacitados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y</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guías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clínicas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armonizadas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para</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el</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uso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las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nuevas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tecnologías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en</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el</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marco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la</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multimodalidad</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imágenes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para</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el</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diagnóstico,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estratificación</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riesgo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así</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como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guías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para</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un</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tratamiento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adecuado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las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enfermedades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cardiovasculares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y</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cerebrovasculares</w:t>
      </w:r>
      <w:r w:rsidR="005D0292" w:rsidRPr="007A03A6">
        <w:rPr>
          <w:rFonts w:ascii="Times New Roman" w:hAnsi="Times New Roman" w:cs="Times New Roman"/>
          <w:b/>
          <w:bCs/>
          <w:sz w:val="24"/>
          <w:szCs w:val="24"/>
          <w:lang w:val="es-ES"/>
        </w:rPr>
        <w:t>.</w:t>
      </w:r>
    </w:p>
    <w:p w14:paraId="1D5AE195" w14:textId="6249D26D"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Justificación:</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cardiovasculares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constituyen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primera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causa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frecuente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atipicidad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cuadro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clínico,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evidente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implica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necesidad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imágenes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Teniendo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incorporando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nuevas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ritmo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acelerado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radiaciones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evoluciona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vertiginosamente,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incluyendo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evaluación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reserva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flujo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coronario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PET,</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enfoque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costo-beneficio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marco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multimodalidad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imágenes,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crucial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importancia.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frecuente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mujeres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cardiotoxicidad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quimioterapia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hace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ecocardiografía,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evaluación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seguimiento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función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corazón.</w:t>
      </w:r>
      <w:r w:rsidR="00D136BB">
        <w:rPr>
          <w:rFonts w:ascii="Times New Roman" w:hAnsi="Times New Roman" w:cs="Times New Roman"/>
          <w:sz w:val="24"/>
          <w:szCs w:val="24"/>
        </w:rPr>
        <w:t xml:space="preserve"> </w:t>
      </w:r>
    </w:p>
    <w:p w14:paraId="428CDE4E" w14:textId="2D9931DD"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sz w:val="24"/>
          <w:szCs w:val="24"/>
        </w:rPr>
        <w:t>Actualmente,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prevalencia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global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demencia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7.1%</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ateroscleróticas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frecuente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coronaria),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aumentan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demencia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conducir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deterioro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cognitivo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tercera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Ambas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tienen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causas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factores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comunes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hipertensión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arterial,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tabaquismo,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hipercolesterolemia.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Debido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mecanismos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patológicos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similares,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prevención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cardiovascular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puede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reducir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incidencia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enlentecer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progresión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demencia.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Teniendo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valor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imágenes,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énfasis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estratificación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pacientes,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fundamental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personal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tengan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respecto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mismas.</w:t>
      </w:r>
    </w:p>
    <w:p w14:paraId="3139339F" w14:textId="5ECE4326" w:rsidR="005D0292" w:rsidRPr="007A03A6" w:rsidRDefault="005D0292" w:rsidP="005D0292">
      <w:pPr>
        <w:jc w:val="both"/>
        <w:rPr>
          <w:rFonts w:ascii="Times New Roman" w:hAnsi="Times New Roman" w:cs="Times New Roman"/>
          <w:b/>
          <w:sz w:val="24"/>
          <w:szCs w:val="24"/>
        </w:rPr>
      </w:pPr>
      <w:r w:rsidRPr="007A03A6">
        <w:rPr>
          <w:rFonts w:ascii="Times New Roman" w:hAnsi="Times New Roman" w:cs="Times New Roman"/>
          <w:b/>
          <w:sz w:val="24"/>
          <w:szCs w:val="24"/>
        </w:rPr>
        <w:t>Objetivo:</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Disponer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actualizados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referentes,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radiofarmacéuticos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hospitalarios,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enfermeras),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aprovechamiento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complejas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neurología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b/>
          <w:sz w:val="24"/>
          <w:szCs w:val="24"/>
        </w:rPr>
        <w:t xml:space="preserve">   </w:t>
      </w:r>
    </w:p>
    <w:p w14:paraId="7A7E3A11" w14:textId="3D807284"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Indicador:</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capacitados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complejas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cardiología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neurología.</w:t>
      </w:r>
    </w:p>
    <w:p w14:paraId="5786A02D" w14:textId="77777777" w:rsidR="005D0292" w:rsidRPr="007A03A6" w:rsidRDefault="005D0292" w:rsidP="005D0292">
      <w:pPr>
        <w:jc w:val="both"/>
        <w:rPr>
          <w:rFonts w:ascii="Times New Roman" w:hAnsi="Times New Roman" w:cs="Times New Roman"/>
          <w:b/>
          <w:sz w:val="24"/>
          <w:szCs w:val="24"/>
        </w:rPr>
      </w:pPr>
    </w:p>
    <w:p w14:paraId="62BBBDE1" w14:textId="0E85C999" w:rsidR="005D0292" w:rsidRPr="007A03A6" w:rsidRDefault="00242335" w:rsidP="005D0292">
      <w:pPr>
        <w:jc w:val="both"/>
        <w:rPr>
          <w:rFonts w:ascii="Times New Roman" w:hAnsi="Times New Roman" w:cs="Times New Roman"/>
          <w:b/>
          <w:sz w:val="24"/>
          <w:szCs w:val="24"/>
        </w:rPr>
      </w:pPr>
      <w:r w:rsidRPr="007A03A6">
        <w:rPr>
          <w:rFonts w:ascii="Times New Roman" w:hAnsi="Times New Roman" w:cs="Times New Roman"/>
          <w:b/>
          <w:sz w:val="24"/>
          <w:szCs w:val="24"/>
        </w:rPr>
        <w:t>S</w:t>
      </w:r>
      <w:r w:rsidR="005D0292" w:rsidRPr="007A03A6">
        <w:rPr>
          <w:rFonts w:ascii="Times New Roman" w:hAnsi="Times New Roman" w:cs="Times New Roman"/>
          <w:b/>
          <w:sz w:val="24"/>
          <w:szCs w:val="24"/>
        </w:rPr>
        <w:t>2.</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Insuficiente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número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profesionales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capacitados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y</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guías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clínicas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armonizadas,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para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la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utilización</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y</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desarrollo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radiofármacos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y</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dosimetría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para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diagnóstico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y</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tratamiento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con</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teranósticos.</w:t>
      </w:r>
      <w:r w:rsidR="00D136BB">
        <w:rPr>
          <w:rFonts w:ascii="Times New Roman" w:hAnsi="Times New Roman" w:cs="Times New Roman"/>
          <w:b/>
          <w:sz w:val="24"/>
          <w:szCs w:val="24"/>
        </w:rPr>
        <w:t xml:space="preserve"> </w:t>
      </w:r>
    </w:p>
    <w:p w14:paraId="57705148" w14:textId="2C64D80D"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Justificación:</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nuevos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fármacos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algunas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patologías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oncológicas,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fortalecimiento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isótopos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ampliamente,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I-131,</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supuesto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creación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disciplina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conoce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teranóstica,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donde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amalgaman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lastRenderedPageBreak/>
        <w:t>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dirigida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radionúclidos,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misma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molécula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sólo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isótopo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radiactivo.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igual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nanotecnología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enfocada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nuevos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fármacos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teranósticos.</w:t>
      </w:r>
    </w:p>
    <w:p w14:paraId="0AEB0A41" w14:textId="4B0213A1"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Objetivo:</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Disponer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actualizados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radiofármacos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teranóstica.</w:t>
      </w:r>
      <w:r w:rsidR="00D136BB">
        <w:rPr>
          <w:rFonts w:ascii="Times New Roman" w:hAnsi="Times New Roman" w:cs="Times New Roman"/>
          <w:b/>
          <w:sz w:val="24"/>
          <w:szCs w:val="24"/>
        </w:rPr>
        <w:t xml:space="preserve">   </w:t>
      </w:r>
    </w:p>
    <w:p w14:paraId="75F523F2" w14:textId="6D0C9BE7"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Indicador:</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capacitados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teranósticos.</w:t>
      </w:r>
    </w:p>
    <w:p w14:paraId="5870EDEE" w14:textId="77777777" w:rsidR="005D0292" w:rsidRPr="007A03A6" w:rsidRDefault="005D0292" w:rsidP="005D0292">
      <w:pPr>
        <w:jc w:val="both"/>
        <w:rPr>
          <w:rFonts w:ascii="Times New Roman" w:hAnsi="Times New Roman" w:cs="Times New Roman"/>
          <w:b/>
          <w:sz w:val="24"/>
          <w:szCs w:val="24"/>
        </w:rPr>
      </w:pPr>
    </w:p>
    <w:p w14:paraId="7F649667" w14:textId="08243284" w:rsidR="005D0292" w:rsidRPr="007A03A6" w:rsidRDefault="00242335" w:rsidP="005D0292">
      <w:pPr>
        <w:jc w:val="both"/>
        <w:rPr>
          <w:rFonts w:ascii="Times New Roman" w:hAnsi="Times New Roman" w:cs="Times New Roman"/>
          <w:b/>
          <w:sz w:val="24"/>
          <w:szCs w:val="24"/>
          <w:lang w:val="es-ES"/>
        </w:rPr>
      </w:pPr>
      <w:r w:rsidRPr="007A03A6">
        <w:rPr>
          <w:rFonts w:ascii="Times New Roman" w:hAnsi="Times New Roman" w:cs="Times New Roman"/>
          <w:b/>
          <w:sz w:val="24"/>
          <w:szCs w:val="24"/>
        </w:rPr>
        <w:t>S</w:t>
      </w:r>
      <w:r w:rsidR="005D0292" w:rsidRPr="007A03A6">
        <w:rPr>
          <w:rFonts w:ascii="Times New Roman" w:hAnsi="Times New Roman" w:cs="Times New Roman"/>
          <w:b/>
          <w:sz w:val="24"/>
          <w:szCs w:val="24"/>
        </w:rPr>
        <w:t>3.</w:t>
      </w:r>
      <w:r w:rsidR="00D136BB">
        <w:rPr>
          <w:rFonts w:ascii="Times New Roman" w:hAnsi="Times New Roman" w:cs="Times New Roman"/>
          <w:b/>
          <w:sz w:val="24"/>
          <w:szCs w:val="24"/>
        </w:rPr>
        <w:t xml:space="preserve"> </w:t>
      </w:r>
      <w:r w:rsidR="005D0292" w:rsidRPr="007A03A6">
        <w:rPr>
          <w:rFonts w:ascii="Times New Roman" w:hAnsi="Times New Roman" w:cs="Times New Roman"/>
          <w:b/>
          <w:bCs/>
          <w:sz w:val="24"/>
          <w:szCs w:val="24"/>
          <w:lang w:val="es-419"/>
        </w:rPr>
        <w:t>Insuficiente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número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profesionales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capacitados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y</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guías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clínicas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armonizadas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para</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el</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uso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las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nuevas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tecnologías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en</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medicina</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nuclear</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imágenes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diagnósticas,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principalmente</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equipos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híbridos</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y</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mejoramiento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del</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equipamiento</w:t>
      </w:r>
      <w:r w:rsidR="00D136BB">
        <w:rPr>
          <w:rFonts w:ascii="Times New Roman" w:hAnsi="Times New Roman" w:cs="Times New Roman"/>
          <w:b/>
          <w:bCs/>
          <w:sz w:val="24"/>
          <w:szCs w:val="24"/>
          <w:lang w:val="es-419"/>
        </w:rPr>
        <w:t xml:space="preserve"> </w:t>
      </w:r>
      <w:r w:rsidR="005D0292" w:rsidRPr="007A03A6">
        <w:rPr>
          <w:rFonts w:ascii="Times New Roman" w:hAnsi="Times New Roman" w:cs="Times New Roman"/>
          <w:b/>
          <w:bCs/>
          <w:sz w:val="24"/>
          <w:szCs w:val="24"/>
          <w:lang w:val="es-419"/>
        </w:rPr>
        <w:t>existente</w:t>
      </w:r>
      <w:r w:rsidR="005D0292" w:rsidRPr="007A03A6">
        <w:rPr>
          <w:rFonts w:ascii="Times New Roman" w:hAnsi="Times New Roman" w:cs="Times New Roman"/>
          <w:b/>
          <w:bCs/>
          <w:sz w:val="24"/>
          <w:szCs w:val="24"/>
          <w:lang w:val="es-ES"/>
        </w:rPr>
        <w:t>.</w:t>
      </w:r>
    </w:p>
    <w:p w14:paraId="50EAF08B" w14:textId="2A4EC632"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Justificación: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incremento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incidencia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crónicas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transmisibles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papel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esencial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tiene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procedimientos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mediante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imágenes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hace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fortalecimiento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equipo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multidisciplinario,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necesidad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mejor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equipamiento.</w:t>
      </w:r>
    </w:p>
    <w:p w14:paraId="601AD98A" w14:textId="56B67AD9"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Objetivo: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Disponer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actualizados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referentes,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radiofarmacéuticos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hospitalarios,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enfermeras),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aprovechamiento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complejas.</w:t>
      </w:r>
      <w:r w:rsidR="00D136BB">
        <w:rPr>
          <w:rFonts w:ascii="Times New Roman" w:hAnsi="Times New Roman" w:cs="Times New Roman"/>
          <w:sz w:val="24"/>
          <w:szCs w:val="24"/>
        </w:rPr>
        <w:t xml:space="preserve">   </w:t>
      </w:r>
    </w:p>
    <w:p w14:paraId="01186332" w14:textId="6F848B2E"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Indicador: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capacitados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complejas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imágenes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diagnósticas.</w:t>
      </w:r>
    </w:p>
    <w:p w14:paraId="1FA22366" w14:textId="77777777" w:rsidR="005D0292" w:rsidRPr="007A03A6" w:rsidRDefault="005D0292" w:rsidP="005D0292">
      <w:pPr>
        <w:jc w:val="both"/>
        <w:rPr>
          <w:rFonts w:ascii="Times New Roman" w:hAnsi="Times New Roman" w:cs="Times New Roman"/>
          <w:b/>
          <w:sz w:val="24"/>
          <w:szCs w:val="24"/>
        </w:rPr>
      </w:pPr>
    </w:p>
    <w:p w14:paraId="2A34B64E" w14:textId="79C18984" w:rsidR="005D0292" w:rsidRPr="007A03A6" w:rsidRDefault="00242335" w:rsidP="005D0292">
      <w:pPr>
        <w:jc w:val="both"/>
        <w:rPr>
          <w:rFonts w:ascii="Times New Roman" w:hAnsi="Times New Roman" w:cs="Times New Roman"/>
          <w:b/>
          <w:sz w:val="24"/>
          <w:szCs w:val="24"/>
        </w:rPr>
      </w:pPr>
      <w:r w:rsidRPr="007A03A6">
        <w:rPr>
          <w:rFonts w:ascii="Times New Roman" w:hAnsi="Times New Roman" w:cs="Times New Roman"/>
          <w:b/>
          <w:sz w:val="24"/>
          <w:szCs w:val="24"/>
        </w:rPr>
        <w:t>S</w:t>
      </w:r>
      <w:r w:rsidR="005D0292" w:rsidRPr="007A03A6">
        <w:rPr>
          <w:rFonts w:ascii="Times New Roman" w:hAnsi="Times New Roman" w:cs="Times New Roman"/>
          <w:b/>
          <w:sz w:val="24"/>
          <w:szCs w:val="24"/>
        </w:rPr>
        <w:t>4.</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Insuficiencia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recurso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humano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calificado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en</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física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médica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en</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la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región.</w:t>
      </w:r>
      <w:r w:rsidR="00D136BB">
        <w:rPr>
          <w:rFonts w:ascii="Times New Roman" w:hAnsi="Times New Roman" w:cs="Times New Roman"/>
          <w:b/>
          <w:sz w:val="24"/>
          <w:szCs w:val="24"/>
        </w:rPr>
        <w:t xml:space="preserve">  </w:t>
      </w:r>
    </w:p>
    <w:p w14:paraId="4342A0CB" w14:textId="6D94362C"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Justificación:</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dispone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recomendado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organismos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entrenamiento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clínico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estructurados.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requiere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cantidad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clínicamente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calificados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radiodiagnóstico,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teniendo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creciente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complejidad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procedimientos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aplicados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instalaciones.</w:t>
      </w:r>
      <w:r w:rsidR="00D136BB">
        <w:rPr>
          <w:rFonts w:ascii="Times New Roman" w:hAnsi="Times New Roman" w:cs="Times New Roman"/>
          <w:sz w:val="24"/>
          <w:szCs w:val="24"/>
        </w:rPr>
        <w:t xml:space="preserve"> </w:t>
      </w:r>
    </w:p>
    <w:p w14:paraId="6E1F74C1" w14:textId="5B7B2180"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Objetivo:</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Desarrollar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guías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establecer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entrenamiento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clínico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especialidades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médica.</w:t>
      </w:r>
      <w:r w:rsidR="00D136BB">
        <w:rPr>
          <w:rFonts w:ascii="Times New Roman" w:hAnsi="Times New Roman" w:cs="Times New Roman"/>
          <w:sz w:val="24"/>
          <w:szCs w:val="24"/>
        </w:rPr>
        <w:t xml:space="preserve"> </w:t>
      </w:r>
    </w:p>
    <w:p w14:paraId="47CF12F0" w14:textId="03352173"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Indicador:</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clínicamente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calificados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formalmente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reconocidos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ejerciendo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radiodiagnóstico.</w:t>
      </w:r>
    </w:p>
    <w:p w14:paraId="6E1660B8" w14:textId="77777777" w:rsidR="005D0292" w:rsidRPr="007A03A6" w:rsidRDefault="005D0292" w:rsidP="005D0292">
      <w:pPr>
        <w:jc w:val="both"/>
        <w:rPr>
          <w:rFonts w:ascii="Times New Roman" w:hAnsi="Times New Roman" w:cs="Times New Roman"/>
          <w:sz w:val="24"/>
          <w:szCs w:val="24"/>
        </w:rPr>
      </w:pPr>
    </w:p>
    <w:p w14:paraId="6B896362" w14:textId="77777777" w:rsidR="005D0292" w:rsidRPr="007A03A6" w:rsidRDefault="005D0292" w:rsidP="005D0292">
      <w:pPr>
        <w:jc w:val="both"/>
        <w:rPr>
          <w:rFonts w:ascii="Times New Roman" w:hAnsi="Times New Roman" w:cs="Times New Roman"/>
          <w:b/>
          <w:sz w:val="24"/>
          <w:szCs w:val="24"/>
        </w:rPr>
      </w:pPr>
    </w:p>
    <w:p w14:paraId="10B6A037" w14:textId="7C4F276F" w:rsidR="005D0292" w:rsidRPr="007A03A6" w:rsidRDefault="00242335" w:rsidP="005D0292">
      <w:pPr>
        <w:jc w:val="both"/>
        <w:rPr>
          <w:rFonts w:ascii="Times New Roman" w:hAnsi="Times New Roman" w:cs="Times New Roman"/>
          <w:b/>
          <w:sz w:val="24"/>
          <w:szCs w:val="24"/>
        </w:rPr>
      </w:pPr>
      <w:r w:rsidRPr="007A03A6">
        <w:rPr>
          <w:rFonts w:ascii="Times New Roman" w:hAnsi="Times New Roman" w:cs="Times New Roman"/>
          <w:b/>
          <w:sz w:val="24"/>
          <w:szCs w:val="24"/>
        </w:rPr>
        <w:t>S</w:t>
      </w:r>
      <w:r w:rsidR="005D0292" w:rsidRPr="007A03A6">
        <w:rPr>
          <w:rFonts w:ascii="Times New Roman" w:hAnsi="Times New Roman" w:cs="Times New Roman"/>
          <w:b/>
          <w:sz w:val="24"/>
          <w:szCs w:val="24"/>
        </w:rPr>
        <w:t>5.</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Falta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servicios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radioterapia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que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dispongan</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la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tecnología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adecuada,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del</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recurso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humano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calificado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y</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que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utilice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al</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máximo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y</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forma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segura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la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tecnología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disponible.</w:t>
      </w:r>
    </w:p>
    <w:p w14:paraId="492D09F7" w14:textId="2506AD1E"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Justificación:</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últimas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décadas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avance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radiooncología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ganancias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pacientes,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rápido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bajos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medianos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ingresos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quedado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desfasados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respecto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arte,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bien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habido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recambio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tecnológico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parcial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aún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significativo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máquinas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antiguas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funcionamiento.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escenario,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resulta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imprescindible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impulsar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tecnológica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calificados,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independientemente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tipo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utilicen,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eficaz,</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eficiente,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seguro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igual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implementar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confiable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seguimiento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pacientes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tratados.</w:t>
      </w:r>
    </w:p>
    <w:p w14:paraId="5FE4141B" w14:textId="32AB0158"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Objetivo:</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tecnológica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recalificación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equipo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radiooncólogos,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físicos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tecnólogos,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mediante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educación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continua,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integral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fortalecimiento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liderazgo.</w:t>
      </w:r>
    </w:p>
    <w:p w14:paraId="4BE445AC" w14:textId="5D4045DA"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Indicador:</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centros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implementados.</w:t>
      </w:r>
      <w:r w:rsidR="00D136BB">
        <w:rPr>
          <w:rFonts w:ascii="Times New Roman" w:hAnsi="Times New Roman" w:cs="Times New Roman"/>
          <w:sz w:val="24"/>
          <w:szCs w:val="24"/>
        </w:rPr>
        <w:t xml:space="preserve"> </w:t>
      </w:r>
    </w:p>
    <w:p w14:paraId="0F51A69D" w14:textId="77777777" w:rsidR="005D0292" w:rsidRPr="007A03A6" w:rsidRDefault="005D0292" w:rsidP="005D0292">
      <w:pPr>
        <w:jc w:val="both"/>
        <w:rPr>
          <w:rFonts w:ascii="Times New Roman" w:hAnsi="Times New Roman" w:cs="Times New Roman"/>
          <w:sz w:val="24"/>
          <w:szCs w:val="24"/>
        </w:rPr>
      </w:pPr>
    </w:p>
    <w:p w14:paraId="4A718151" w14:textId="0306C2BC" w:rsidR="005D0292" w:rsidRPr="007A03A6" w:rsidRDefault="00242335" w:rsidP="005D0292">
      <w:pPr>
        <w:jc w:val="both"/>
        <w:rPr>
          <w:rFonts w:ascii="Times New Roman" w:hAnsi="Times New Roman" w:cs="Times New Roman"/>
          <w:b/>
          <w:sz w:val="24"/>
          <w:szCs w:val="24"/>
        </w:rPr>
      </w:pPr>
      <w:r w:rsidRPr="007A03A6">
        <w:rPr>
          <w:rFonts w:ascii="Times New Roman" w:hAnsi="Times New Roman" w:cs="Times New Roman"/>
          <w:b/>
          <w:sz w:val="24"/>
          <w:szCs w:val="24"/>
        </w:rPr>
        <w:t>S</w:t>
      </w:r>
      <w:r w:rsidR="005D0292" w:rsidRPr="007A03A6">
        <w:rPr>
          <w:rFonts w:ascii="Times New Roman" w:hAnsi="Times New Roman" w:cs="Times New Roman"/>
          <w:b/>
          <w:sz w:val="24"/>
          <w:szCs w:val="24"/>
        </w:rPr>
        <w:t>6.</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Necesidad</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adecuación</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tecnológica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con</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aumento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del</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número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unidades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braquiterapia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y</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formación</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del</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recurso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humano.</w:t>
      </w:r>
    </w:p>
    <w:p w14:paraId="7F7AE7AC" w14:textId="15F9B70D"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Justificación:</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cuello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útero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enfermedad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prevalente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cuello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útero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localmente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avanzado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requiere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braquiterapia.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Si</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bien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iniciado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tecnológica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incorporación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braquiterapia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dosis,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centros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carecen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aún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dicha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braquiterapia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baja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dosis,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modalidad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eficiente,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radioprotección,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conveniente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términos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comorbilidades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Además,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braquiterapia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dosis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modalidad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terapéutica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costo-efectiva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otras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localizaciones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tumorales,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próstata,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bronquios,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sarcomas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blandas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infantil,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otros.</w:t>
      </w:r>
    </w:p>
    <w:p w14:paraId="2916BD3A" w14:textId="764212E4"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Objetivo:</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profesional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tecnológica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radioterapia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promoviendo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adición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braquiterapia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dosis,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permitan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cáncer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cuello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útero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tumores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plausibles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tratados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braquiterapia.</w:t>
      </w:r>
      <w:r w:rsidR="00D136BB">
        <w:rPr>
          <w:rFonts w:ascii="Times New Roman" w:hAnsi="Times New Roman" w:cs="Times New Roman"/>
          <w:sz w:val="24"/>
          <w:szCs w:val="24"/>
        </w:rPr>
        <w:t xml:space="preserve"> </w:t>
      </w:r>
    </w:p>
    <w:p w14:paraId="68662AC4" w14:textId="71835EEC"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Indicador:</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unidades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braquiterapia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tasa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dosis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operacionales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humano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calificado)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p>
    <w:p w14:paraId="32839318" w14:textId="77777777" w:rsidR="005D0292" w:rsidRPr="007A03A6" w:rsidRDefault="005D0292" w:rsidP="005D0292">
      <w:pPr>
        <w:jc w:val="both"/>
        <w:rPr>
          <w:rFonts w:ascii="Times New Roman" w:hAnsi="Times New Roman" w:cs="Times New Roman"/>
          <w:sz w:val="24"/>
          <w:szCs w:val="24"/>
        </w:rPr>
      </w:pPr>
    </w:p>
    <w:p w14:paraId="7CAEDD27" w14:textId="16456945" w:rsidR="005D0292" w:rsidRPr="007A03A6" w:rsidRDefault="00242335" w:rsidP="005D0292">
      <w:pPr>
        <w:shd w:val="clear" w:color="auto" w:fill="FFFFFF"/>
        <w:spacing w:after="0" w:line="240" w:lineRule="auto"/>
        <w:rPr>
          <w:rFonts w:ascii="Times New Roman" w:eastAsia="Times New Roman" w:hAnsi="Times New Roman" w:cs="Times New Roman"/>
          <w:color w:val="222222"/>
          <w:sz w:val="24"/>
          <w:szCs w:val="24"/>
          <w:lang w:val="es-ES"/>
        </w:rPr>
      </w:pPr>
      <w:r w:rsidRPr="007A03A6">
        <w:rPr>
          <w:rFonts w:ascii="Times New Roman" w:eastAsia="Times New Roman" w:hAnsi="Times New Roman" w:cs="Times New Roman"/>
          <w:b/>
          <w:color w:val="222222"/>
          <w:sz w:val="24"/>
          <w:szCs w:val="24"/>
        </w:rPr>
        <w:lastRenderedPageBreak/>
        <w:t>S</w:t>
      </w:r>
      <w:r w:rsidR="005D0292" w:rsidRPr="007A03A6">
        <w:rPr>
          <w:rFonts w:ascii="Times New Roman" w:eastAsia="Times New Roman" w:hAnsi="Times New Roman" w:cs="Times New Roman"/>
          <w:b/>
          <w:color w:val="222222"/>
          <w:sz w:val="24"/>
          <w:szCs w:val="24"/>
        </w:rPr>
        <w:t>7.</w:t>
      </w:r>
      <w:r w:rsidR="00D136BB">
        <w:rPr>
          <w:rFonts w:ascii="Times New Roman" w:eastAsia="Times New Roman" w:hAnsi="Times New Roman" w:cs="Times New Roman"/>
          <w:b/>
          <w:color w:val="222222"/>
          <w:sz w:val="24"/>
          <w:szCs w:val="24"/>
        </w:rPr>
        <w:t xml:space="preserve"> </w:t>
      </w:r>
      <w:r w:rsidR="005D0292" w:rsidRPr="007A03A6">
        <w:rPr>
          <w:rFonts w:ascii="Times New Roman" w:eastAsia="Times New Roman" w:hAnsi="Times New Roman" w:cs="Times New Roman"/>
          <w:b/>
          <w:color w:val="222222"/>
          <w:sz w:val="24"/>
          <w:szCs w:val="24"/>
        </w:rPr>
        <w:t>N</w:t>
      </w:r>
      <w:r w:rsidR="005D0292" w:rsidRPr="007A03A6">
        <w:rPr>
          <w:rFonts w:ascii="Times New Roman" w:eastAsia="Times New Roman" w:hAnsi="Times New Roman" w:cs="Times New Roman"/>
          <w:b/>
          <w:color w:val="222222"/>
          <w:sz w:val="24"/>
          <w:szCs w:val="24"/>
          <w:lang w:val="es-ES"/>
        </w:rPr>
        <w:t>ecesidad</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de</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fortalecer</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los</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sistemas</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de</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gestión</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de</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la</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calidad</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en</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medicina</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de</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las</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radiaciones</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en</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la</w:t>
      </w:r>
      <w:r w:rsidR="00D136BB">
        <w:rPr>
          <w:rFonts w:ascii="Times New Roman" w:eastAsia="Times New Roman" w:hAnsi="Times New Roman" w:cs="Times New Roman"/>
          <w:b/>
          <w:color w:val="222222"/>
          <w:sz w:val="24"/>
          <w:szCs w:val="24"/>
          <w:lang w:val="es-ES"/>
        </w:rPr>
        <w:t xml:space="preserve"> </w:t>
      </w:r>
      <w:r w:rsidR="005D0292" w:rsidRPr="007A03A6">
        <w:rPr>
          <w:rFonts w:ascii="Times New Roman" w:eastAsia="Times New Roman" w:hAnsi="Times New Roman" w:cs="Times New Roman"/>
          <w:b/>
          <w:color w:val="222222"/>
          <w:sz w:val="24"/>
          <w:szCs w:val="24"/>
          <w:lang w:val="es-ES"/>
        </w:rPr>
        <w:t>región.</w:t>
      </w:r>
      <w:r w:rsidR="005D0292" w:rsidRPr="007A03A6">
        <w:rPr>
          <w:rFonts w:ascii="Times New Roman" w:eastAsia="Times New Roman" w:hAnsi="Times New Roman" w:cs="Times New Roman"/>
          <w:color w:val="222222"/>
          <w:sz w:val="24"/>
          <w:szCs w:val="24"/>
          <w:lang w:val="es-ES"/>
        </w:rPr>
        <w:br/>
      </w:r>
      <w:r w:rsidR="005D0292" w:rsidRPr="007A03A6">
        <w:rPr>
          <w:rFonts w:ascii="Times New Roman" w:eastAsia="Times New Roman" w:hAnsi="Times New Roman" w:cs="Times New Roman"/>
          <w:color w:val="222222"/>
          <w:sz w:val="24"/>
          <w:szCs w:val="24"/>
          <w:lang w:val="es-ES"/>
        </w:rPr>
        <w:br/>
      </w:r>
      <w:r w:rsidR="005D0292" w:rsidRPr="007A03A6">
        <w:rPr>
          <w:rFonts w:ascii="Times New Roman" w:eastAsia="Times New Roman" w:hAnsi="Times New Roman" w:cs="Times New Roman"/>
          <w:b/>
          <w:color w:val="222222"/>
          <w:sz w:val="24"/>
          <w:szCs w:val="24"/>
          <w:lang w:val="es-ES"/>
        </w:rPr>
        <w:t>Justificación: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complejidad</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creciente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distintas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modalidades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medicina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radiación,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exige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un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manejo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integral</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calidad</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para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asegurar</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que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dichas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modalidades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cumplan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con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los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estándares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internacionales,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y</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este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modo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sean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eficaces,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eficientes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y</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seguras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para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el</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usuario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final.</w:t>
      </w:r>
      <w:r w:rsidR="005D0292" w:rsidRPr="007A03A6">
        <w:rPr>
          <w:rFonts w:ascii="Times New Roman" w:eastAsia="Times New Roman" w:hAnsi="Times New Roman" w:cs="Times New Roman"/>
          <w:color w:val="222222"/>
          <w:sz w:val="24"/>
          <w:szCs w:val="24"/>
          <w:lang w:val="es-ES"/>
        </w:rPr>
        <w:br/>
      </w:r>
      <w:r w:rsidR="005D0292" w:rsidRPr="007A03A6">
        <w:rPr>
          <w:rFonts w:ascii="Times New Roman" w:eastAsia="Times New Roman" w:hAnsi="Times New Roman" w:cs="Times New Roman"/>
          <w:color w:val="222222"/>
          <w:sz w:val="24"/>
          <w:szCs w:val="24"/>
          <w:lang w:val="es-ES"/>
        </w:rPr>
        <w:br/>
      </w:r>
      <w:r w:rsidR="005D0292" w:rsidRPr="007A03A6">
        <w:rPr>
          <w:rFonts w:ascii="Times New Roman" w:eastAsia="Times New Roman" w:hAnsi="Times New Roman" w:cs="Times New Roman"/>
          <w:b/>
          <w:color w:val="222222"/>
          <w:sz w:val="24"/>
          <w:szCs w:val="24"/>
          <w:lang w:val="es-ES"/>
        </w:rPr>
        <w:t>Objetivo: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Fortalecer</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capacidades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para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el</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desarrollo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implementación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sistemas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gestión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calidad</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en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medicina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radiaciones.</w:t>
      </w:r>
      <w:r w:rsidR="005D0292" w:rsidRPr="007A03A6">
        <w:rPr>
          <w:rFonts w:ascii="Times New Roman" w:eastAsia="Times New Roman" w:hAnsi="Times New Roman" w:cs="Times New Roman"/>
          <w:color w:val="222222"/>
          <w:sz w:val="24"/>
          <w:szCs w:val="24"/>
          <w:lang w:val="es-ES"/>
        </w:rPr>
        <w:br/>
      </w:r>
      <w:r w:rsidR="005D0292" w:rsidRPr="007A03A6">
        <w:rPr>
          <w:rFonts w:ascii="Times New Roman" w:eastAsia="Times New Roman" w:hAnsi="Times New Roman" w:cs="Times New Roman"/>
          <w:color w:val="222222"/>
          <w:sz w:val="24"/>
          <w:szCs w:val="24"/>
          <w:lang w:val="es-ES"/>
        </w:rPr>
        <w:br/>
      </w:r>
      <w:r w:rsidR="005D0292" w:rsidRPr="007A03A6">
        <w:rPr>
          <w:rFonts w:ascii="Times New Roman" w:eastAsia="Times New Roman" w:hAnsi="Times New Roman" w:cs="Times New Roman"/>
          <w:b/>
          <w:color w:val="222222"/>
          <w:sz w:val="24"/>
          <w:szCs w:val="24"/>
          <w:lang w:val="es-ES"/>
        </w:rPr>
        <w:t>Indicador:</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Número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centros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que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han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implementado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un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sistema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gestión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calidad</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auditado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según</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las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metodologías</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QUATRO,</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QUANUM</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y</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QUAADRIL</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del</w:t>
      </w:r>
      <w:r w:rsidR="00D136BB">
        <w:rPr>
          <w:rFonts w:ascii="Times New Roman" w:eastAsia="Times New Roman" w:hAnsi="Times New Roman" w:cs="Times New Roman"/>
          <w:color w:val="222222"/>
          <w:sz w:val="24"/>
          <w:szCs w:val="24"/>
          <w:lang w:val="es-ES"/>
        </w:rPr>
        <w:t xml:space="preserve"> </w:t>
      </w:r>
      <w:r w:rsidR="005D0292" w:rsidRPr="007A03A6">
        <w:rPr>
          <w:rFonts w:ascii="Times New Roman" w:eastAsia="Times New Roman" w:hAnsi="Times New Roman" w:cs="Times New Roman"/>
          <w:color w:val="222222"/>
          <w:sz w:val="24"/>
          <w:szCs w:val="24"/>
          <w:lang w:val="es-ES"/>
        </w:rPr>
        <w:t>OIEA.</w:t>
      </w:r>
      <w:r w:rsidR="005D0292" w:rsidRPr="007A03A6">
        <w:rPr>
          <w:rFonts w:ascii="Times New Roman" w:eastAsia="Times New Roman" w:hAnsi="Times New Roman" w:cs="Times New Roman"/>
          <w:color w:val="222222"/>
          <w:sz w:val="24"/>
          <w:szCs w:val="24"/>
          <w:lang w:val="es-ES"/>
        </w:rPr>
        <w:br/>
      </w:r>
    </w:p>
    <w:p w14:paraId="5B670E69" w14:textId="77777777" w:rsidR="005D0292" w:rsidRPr="007A03A6" w:rsidRDefault="005D0292" w:rsidP="005D0292">
      <w:pPr>
        <w:shd w:val="clear" w:color="auto" w:fill="FFFFFF"/>
        <w:spacing w:after="0" w:line="240" w:lineRule="auto"/>
        <w:rPr>
          <w:rFonts w:ascii="Times New Roman" w:eastAsia="Times New Roman" w:hAnsi="Times New Roman" w:cs="Times New Roman"/>
          <w:color w:val="222222"/>
          <w:sz w:val="24"/>
          <w:szCs w:val="24"/>
          <w:lang w:val="es-ES"/>
        </w:rPr>
      </w:pPr>
    </w:p>
    <w:p w14:paraId="1BA0CC0E" w14:textId="2746A031" w:rsidR="005D0292" w:rsidRPr="007A03A6" w:rsidRDefault="00242335" w:rsidP="005D0292">
      <w:pPr>
        <w:jc w:val="both"/>
        <w:rPr>
          <w:rFonts w:ascii="Times New Roman" w:hAnsi="Times New Roman" w:cs="Times New Roman"/>
          <w:b/>
          <w:sz w:val="24"/>
          <w:szCs w:val="24"/>
        </w:rPr>
      </w:pPr>
      <w:r w:rsidRPr="007A03A6">
        <w:rPr>
          <w:rFonts w:ascii="Times New Roman" w:hAnsi="Times New Roman" w:cs="Times New Roman"/>
          <w:b/>
          <w:sz w:val="24"/>
          <w:szCs w:val="24"/>
        </w:rPr>
        <w:t>S</w:t>
      </w:r>
      <w:r w:rsidR="005D0292" w:rsidRPr="007A03A6">
        <w:rPr>
          <w:rFonts w:ascii="Times New Roman" w:hAnsi="Times New Roman" w:cs="Times New Roman"/>
          <w:b/>
          <w:sz w:val="24"/>
          <w:szCs w:val="24"/>
        </w:rPr>
        <w:t>8.</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Insuficiente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capacidad</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para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realizar</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las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intervenciones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necesarias</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para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mejorar</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el</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estado</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nutricional</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de</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la</w:t>
      </w:r>
      <w:r w:rsidR="00D136BB">
        <w:rPr>
          <w:rFonts w:ascii="Times New Roman" w:hAnsi="Times New Roman" w:cs="Times New Roman"/>
          <w:b/>
          <w:sz w:val="24"/>
          <w:szCs w:val="24"/>
        </w:rPr>
        <w:t xml:space="preserve"> </w:t>
      </w:r>
      <w:r w:rsidR="005D0292" w:rsidRPr="007A03A6">
        <w:rPr>
          <w:rFonts w:ascii="Times New Roman" w:hAnsi="Times New Roman" w:cs="Times New Roman"/>
          <w:b/>
          <w:sz w:val="24"/>
          <w:szCs w:val="24"/>
        </w:rPr>
        <w:t>población.</w:t>
      </w:r>
    </w:p>
    <w:p w14:paraId="02C0FCDF" w14:textId="5BD63D3E"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Justificación:</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condiciones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económicas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laborales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permiten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familias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adecuada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alimentación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hijos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primera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infancia.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igual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importante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considerar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cambios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climáticos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modificando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composición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volviéndolos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nutritivos,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agrega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industria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alimentaria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desarrollado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campañas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publicitarias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promueven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alimentación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saludable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niños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jóvenes.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ha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contribuido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incremento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acelerado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sobrepeso,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obesidad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malnutrición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toda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dificultad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obtener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medida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objetiva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absorción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nutrientes,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sana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enfermos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crónicos,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que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puede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resolverse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utilización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isótopos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disponibles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región.</w:t>
      </w:r>
    </w:p>
    <w:p w14:paraId="40B1AAF0" w14:textId="4775BDCE" w:rsidR="005D0292" w:rsidRPr="007A03A6"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Objetivo:</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Fortalecer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realizar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mediciones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intervenciones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necesarias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nutricional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y</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evaluar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su</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efectividad.</w:t>
      </w:r>
    </w:p>
    <w:p w14:paraId="109F2DBC" w14:textId="082F011D" w:rsidR="00AA7739" w:rsidRDefault="005D0292" w:rsidP="005D0292">
      <w:pPr>
        <w:jc w:val="both"/>
        <w:rPr>
          <w:rFonts w:ascii="Times New Roman" w:hAnsi="Times New Roman" w:cs="Times New Roman"/>
          <w:sz w:val="24"/>
          <w:szCs w:val="24"/>
        </w:rPr>
      </w:pPr>
      <w:r w:rsidRPr="007A03A6">
        <w:rPr>
          <w:rFonts w:ascii="Times New Roman" w:hAnsi="Times New Roman" w:cs="Times New Roman"/>
          <w:b/>
          <w:sz w:val="24"/>
          <w:szCs w:val="24"/>
        </w:rPr>
        <w:t>Indicador:</w:t>
      </w:r>
      <w:r w:rsidR="00D136BB">
        <w:rPr>
          <w:rFonts w:ascii="Times New Roman" w:hAnsi="Times New Roman" w:cs="Times New Roman"/>
          <w:b/>
          <w:sz w:val="24"/>
          <w:szCs w:val="24"/>
        </w:rPr>
        <w:t xml:space="preserve"> </w:t>
      </w:r>
      <w:r w:rsidRPr="007A03A6">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con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en</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uso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las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de</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isótopos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estables</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evaluar</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el</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estado</w:t>
      </w:r>
      <w:r w:rsidR="00D136BB">
        <w:rPr>
          <w:rFonts w:ascii="Times New Roman" w:hAnsi="Times New Roman" w:cs="Times New Roman"/>
          <w:sz w:val="24"/>
          <w:szCs w:val="24"/>
        </w:rPr>
        <w:t xml:space="preserve"> </w:t>
      </w:r>
      <w:r w:rsidRPr="007A03A6">
        <w:rPr>
          <w:rFonts w:ascii="Times New Roman" w:hAnsi="Times New Roman" w:cs="Times New Roman"/>
          <w:sz w:val="24"/>
          <w:szCs w:val="24"/>
        </w:rPr>
        <w:t>nutricional.</w:t>
      </w:r>
    </w:p>
    <w:p w14:paraId="6D8B6B2C" w14:textId="77777777" w:rsidR="00AA7739" w:rsidRDefault="00AA7739" w:rsidP="005D0292">
      <w:pPr>
        <w:jc w:val="both"/>
        <w:rPr>
          <w:rFonts w:ascii="Times New Roman" w:hAnsi="Times New Roman" w:cs="Times New Roman"/>
          <w:sz w:val="24"/>
          <w:szCs w:val="24"/>
        </w:rPr>
      </w:pPr>
    </w:p>
    <w:p w14:paraId="22B58820" w14:textId="1F0E7C38" w:rsidR="00AA7739" w:rsidRPr="00657951" w:rsidRDefault="00AA7739" w:rsidP="00AA7739">
      <w:pPr>
        <w:rPr>
          <w:rFonts w:ascii="Times New Roman" w:hAnsi="Times New Roman" w:cs="Times New Roman"/>
          <w:b/>
        </w:rPr>
      </w:pPr>
      <w:r w:rsidRPr="00882523">
        <w:rPr>
          <w:rFonts w:ascii="Times New Roman" w:hAnsi="Times New Roman" w:cs="Times New Roman"/>
          <w:b/>
        </w:rPr>
        <w:t>IV)</w:t>
      </w:r>
      <w:r>
        <w:rPr>
          <w:rFonts w:ascii="Times New Roman" w:hAnsi="Times New Roman" w:cs="Times New Roman"/>
          <w:b/>
        </w:rPr>
        <w:t xml:space="preserve"> </w:t>
      </w:r>
      <w:r w:rsidRPr="00882523">
        <w:rPr>
          <w:rFonts w:ascii="Times New Roman" w:hAnsi="Times New Roman" w:cs="Times New Roman"/>
          <w:b/>
        </w:rPr>
        <w:t>Priorización</w:t>
      </w:r>
      <w:r>
        <w:rPr>
          <w:rFonts w:ascii="Times New Roman" w:hAnsi="Times New Roman" w:cs="Times New Roman"/>
          <w:b/>
        </w:rPr>
        <w:t xml:space="preserve"> </w:t>
      </w:r>
      <w:r w:rsidRPr="00882523">
        <w:rPr>
          <w:rFonts w:ascii="Times New Roman" w:hAnsi="Times New Roman" w:cs="Times New Roman"/>
          <w:b/>
        </w:rPr>
        <w:t>de</w:t>
      </w:r>
      <w:r>
        <w:rPr>
          <w:rFonts w:ascii="Times New Roman" w:hAnsi="Times New Roman" w:cs="Times New Roman"/>
          <w:b/>
        </w:rPr>
        <w:t xml:space="preserve"> </w:t>
      </w:r>
      <w:r w:rsidRPr="00882523">
        <w:rPr>
          <w:rFonts w:ascii="Times New Roman" w:hAnsi="Times New Roman" w:cs="Times New Roman"/>
          <w:b/>
        </w:rPr>
        <w:t>las</w:t>
      </w:r>
      <w:r>
        <w:rPr>
          <w:rFonts w:ascii="Times New Roman" w:hAnsi="Times New Roman" w:cs="Times New Roman"/>
          <w:b/>
        </w:rPr>
        <w:t xml:space="preserve"> N</w:t>
      </w:r>
      <w:r w:rsidRPr="00882523">
        <w:rPr>
          <w:rFonts w:ascii="Times New Roman" w:hAnsi="Times New Roman" w:cs="Times New Roman"/>
          <w:b/>
        </w:rPr>
        <w:t>ecesidades</w:t>
      </w:r>
      <w:r>
        <w:rPr>
          <w:rFonts w:ascii="Times New Roman" w:hAnsi="Times New Roman" w:cs="Times New Roman"/>
          <w:b/>
        </w:rPr>
        <w:t>/P</w:t>
      </w:r>
      <w:r w:rsidRPr="00882523">
        <w:rPr>
          <w:rFonts w:ascii="Times New Roman" w:hAnsi="Times New Roman" w:cs="Times New Roman"/>
          <w:b/>
        </w:rPr>
        <w:t>roblemas</w:t>
      </w:r>
      <w:r>
        <w:rPr>
          <w:rFonts w:ascii="Times New Roman" w:hAnsi="Times New Roman" w:cs="Times New Roman"/>
          <w:b/>
        </w:rPr>
        <w:t xml:space="preserve"> en Salud Humana</w:t>
      </w:r>
      <w:r w:rsidR="00A35658">
        <w:rPr>
          <w:rFonts w:ascii="Times New Roman" w:hAnsi="Times New Roman" w:cs="Times New Roman"/>
          <w:b/>
        </w:rPr>
        <w:t xml:space="preserve"> </w:t>
      </w:r>
      <w:r w:rsidR="00A35658">
        <w:rPr>
          <w:rFonts w:ascii="Times New Roman" w:hAnsi="Times New Roman" w:cs="Times New Roman"/>
          <w:b/>
          <w:bCs/>
          <w:sz w:val="24"/>
          <w:szCs w:val="24"/>
          <w:lang w:val="es-ES"/>
        </w:rPr>
        <w:t>(</w:t>
      </w:r>
      <w:r w:rsidR="00A35658" w:rsidRPr="00657951">
        <w:rPr>
          <w:rFonts w:ascii="Times New Roman" w:hAnsi="Times New Roman" w:cs="Times New Roman"/>
          <w:b/>
          <w:bCs/>
          <w:sz w:val="24"/>
          <w:szCs w:val="24"/>
          <w:lang w:val="es-ES"/>
        </w:rPr>
        <w:t>de acuerdo al enfoque metodológico del Anexo 1).</w:t>
      </w:r>
    </w:p>
    <w:p w14:paraId="2933F99C" w14:textId="77777777" w:rsidR="00AA7739" w:rsidRDefault="00AA7739" w:rsidP="00AA7739">
      <w:pPr>
        <w:rPr>
          <w:rFonts w:ascii="Times New Roman" w:hAnsi="Times New Roman" w:cs="Times New Roman"/>
        </w:rPr>
      </w:pPr>
      <w:bookmarkStart w:id="19" w:name="_Hlk31725777"/>
      <w:r>
        <w:rPr>
          <w:rFonts w:ascii="Times New Roman" w:hAnsi="Times New Roman" w:cs="Times New Roman"/>
        </w:rPr>
        <w:t>Tabla 2: Priorización de las Necesidades/Problemas en Salud Humana</w:t>
      </w:r>
    </w:p>
    <w:p w14:paraId="49FBA22C" w14:textId="77777777" w:rsidR="00AA7739" w:rsidRDefault="00AA7739" w:rsidP="00AA7739">
      <w:pPr>
        <w:rPr>
          <w:rFonts w:ascii="Times New Roman" w:hAnsi="Times New Roman" w:cs="Times New Roman"/>
        </w:rPr>
      </w:pPr>
    </w:p>
    <w:p w14:paraId="55895D48" w14:textId="77777777" w:rsidR="00AA7739" w:rsidRDefault="00AA7739" w:rsidP="00AA7739">
      <w:pPr>
        <w:rPr>
          <w:rFonts w:ascii="Times New Roman" w:hAnsi="Times New Roman" w:cs="Times New Roman"/>
        </w:rPr>
      </w:pPr>
    </w:p>
    <w:bookmarkEnd w:id="19"/>
    <w:p w14:paraId="5E7DFF3C" w14:textId="77777777" w:rsidR="00AA7739" w:rsidRPr="007A03A6" w:rsidRDefault="00AA7739" w:rsidP="005D0292">
      <w:pPr>
        <w:jc w:val="both"/>
        <w:rPr>
          <w:rFonts w:ascii="Times New Roman" w:hAnsi="Times New Roman" w:cs="Times New Roman"/>
          <w:sz w:val="24"/>
          <w:szCs w:val="24"/>
        </w:rPr>
      </w:pPr>
    </w:p>
    <w:p w14:paraId="5F1A91B4" w14:textId="77777777" w:rsidR="00853862" w:rsidRPr="007A03A6" w:rsidRDefault="00853862" w:rsidP="00853862">
      <w:pPr>
        <w:rPr>
          <w:rFonts w:ascii="Times New Roman" w:hAnsi="Times New Roman" w:cs="Times New Roman"/>
          <w:b/>
          <w:sz w:val="24"/>
          <w:szCs w:val="24"/>
          <w:highlight w:val="yellow"/>
        </w:rPr>
        <w:sectPr w:rsidR="00853862" w:rsidRPr="007A03A6" w:rsidSect="002C0920">
          <w:pgSz w:w="12240" w:h="15840"/>
          <w:pgMar w:top="1440" w:right="1077" w:bottom="1440" w:left="1077" w:header="708" w:footer="708" w:gutter="0"/>
          <w:cols w:space="708"/>
          <w:docGrid w:linePitch="360"/>
        </w:sect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360"/>
        <w:gridCol w:w="1656"/>
        <w:gridCol w:w="1560"/>
        <w:gridCol w:w="1275"/>
        <w:gridCol w:w="1701"/>
        <w:gridCol w:w="851"/>
        <w:gridCol w:w="1701"/>
        <w:gridCol w:w="709"/>
        <w:gridCol w:w="850"/>
      </w:tblGrid>
      <w:tr w:rsidR="00AA7739" w:rsidRPr="005E7B6A" w14:paraId="0613B624" w14:textId="77777777" w:rsidTr="009B6E81">
        <w:trPr>
          <w:trHeight w:val="600"/>
          <w:tblHeader/>
        </w:trPr>
        <w:tc>
          <w:tcPr>
            <w:tcW w:w="515" w:type="dxa"/>
            <w:shd w:val="clear" w:color="auto" w:fill="F79646" w:themeFill="accent6"/>
            <w:vAlign w:val="center"/>
            <w:hideMark/>
          </w:tcPr>
          <w:p w14:paraId="189B6B0D" w14:textId="77777777" w:rsidR="00AA7739" w:rsidRPr="005E7B6A" w:rsidRDefault="00AA7739" w:rsidP="009B6E81">
            <w:pPr>
              <w:spacing w:after="0"/>
              <w:rPr>
                <w:rFonts w:ascii="Times New Roman" w:hAnsi="Times New Roman" w:cs="Times New Roman"/>
                <w:b/>
                <w:sz w:val="20"/>
                <w:szCs w:val="20"/>
              </w:rPr>
            </w:pPr>
            <w:bookmarkStart w:id="20" w:name="_Hlk31655143"/>
            <w:r>
              <w:rPr>
                <w:rFonts w:ascii="Times New Roman" w:hAnsi="Times New Roman" w:cs="Times New Roman"/>
                <w:b/>
                <w:sz w:val="20"/>
                <w:szCs w:val="20"/>
              </w:rPr>
              <w:lastRenderedPageBreak/>
              <w:t>P</w:t>
            </w:r>
          </w:p>
        </w:tc>
        <w:tc>
          <w:tcPr>
            <w:tcW w:w="2360" w:type="dxa"/>
            <w:shd w:val="clear" w:color="auto" w:fill="F79646" w:themeFill="accent6"/>
            <w:vAlign w:val="center"/>
            <w:hideMark/>
          </w:tcPr>
          <w:p w14:paraId="1D669323"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Necesidad/</w:t>
            </w:r>
          </w:p>
          <w:p w14:paraId="03276F26"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Problema</w:t>
            </w:r>
          </w:p>
        </w:tc>
        <w:tc>
          <w:tcPr>
            <w:tcW w:w="1656" w:type="dxa"/>
            <w:shd w:val="clear" w:color="auto" w:fill="F79646" w:themeFill="accent6"/>
            <w:vAlign w:val="center"/>
            <w:hideMark/>
          </w:tcPr>
          <w:p w14:paraId="1ADFB895"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Severidad</w:t>
            </w:r>
          </w:p>
        </w:tc>
        <w:tc>
          <w:tcPr>
            <w:tcW w:w="1560" w:type="dxa"/>
            <w:shd w:val="clear" w:color="auto" w:fill="F79646" w:themeFill="accent6"/>
            <w:vAlign w:val="center"/>
            <w:hideMark/>
          </w:tcPr>
          <w:p w14:paraId="13B8F351"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Tiempo</w:t>
            </w:r>
          </w:p>
        </w:tc>
        <w:tc>
          <w:tcPr>
            <w:tcW w:w="1275" w:type="dxa"/>
            <w:shd w:val="clear" w:color="auto" w:fill="F79646" w:themeFill="accent6"/>
            <w:vAlign w:val="center"/>
            <w:hideMark/>
          </w:tcPr>
          <w:p w14:paraId="395B23F9"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Extensión</w:t>
            </w:r>
          </w:p>
        </w:tc>
        <w:tc>
          <w:tcPr>
            <w:tcW w:w="1701" w:type="dxa"/>
            <w:shd w:val="clear" w:color="auto" w:fill="F79646" w:themeFill="accent6"/>
            <w:vAlign w:val="center"/>
            <w:hideMark/>
          </w:tcPr>
          <w:p w14:paraId="787FCE1C"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Relevancia</w:t>
            </w:r>
          </w:p>
        </w:tc>
        <w:tc>
          <w:tcPr>
            <w:tcW w:w="851" w:type="dxa"/>
            <w:shd w:val="clear" w:color="auto" w:fill="F79646" w:themeFill="accent6"/>
            <w:vAlign w:val="center"/>
            <w:hideMark/>
          </w:tcPr>
          <w:p w14:paraId="5A131363"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Grado</w:t>
            </w:r>
          </w:p>
          <w:p w14:paraId="28DBA9B0"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Total</w:t>
            </w:r>
          </w:p>
        </w:tc>
        <w:tc>
          <w:tcPr>
            <w:tcW w:w="1701" w:type="dxa"/>
            <w:shd w:val="clear" w:color="auto" w:fill="F79646" w:themeFill="accent6"/>
            <w:vAlign w:val="center"/>
            <w:hideMark/>
          </w:tcPr>
          <w:p w14:paraId="0E098DEC"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Dificultad</w:t>
            </w:r>
          </w:p>
        </w:tc>
        <w:tc>
          <w:tcPr>
            <w:tcW w:w="709" w:type="dxa"/>
            <w:shd w:val="clear" w:color="auto" w:fill="F79646" w:themeFill="accent6"/>
            <w:vAlign w:val="center"/>
            <w:hideMark/>
          </w:tcPr>
          <w:p w14:paraId="1F964711"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R/D</w:t>
            </w:r>
          </w:p>
        </w:tc>
        <w:tc>
          <w:tcPr>
            <w:tcW w:w="850" w:type="dxa"/>
            <w:shd w:val="clear" w:color="auto" w:fill="F79646" w:themeFill="accent6"/>
            <w:vAlign w:val="center"/>
            <w:hideMark/>
          </w:tcPr>
          <w:p w14:paraId="633110B8"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Grado</w:t>
            </w:r>
          </w:p>
          <w:p w14:paraId="6C5B4FDD" w14:textId="77777777" w:rsidR="00AA7739" w:rsidRPr="005E7B6A" w:rsidRDefault="00AA7739" w:rsidP="009B6E81">
            <w:pPr>
              <w:spacing w:after="0"/>
              <w:jc w:val="center"/>
              <w:rPr>
                <w:rFonts w:ascii="Times New Roman" w:hAnsi="Times New Roman" w:cs="Times New Roman"/>
                <w:b/>
                <w:sz w:val="20"/>
                <w:szCs w:val="20"/>
              </w:rPr>
            </w:pPr>
            <w:r w:rsidRPr="005E7B6A">
              <w:rPr>
                <w:rFonts w:ascii="Times New Roman" w:hAnsi="Times New Roman" w:cs="Times New Roman"/>
                <w:b/>
                <w:sz w:val="20"/>
                <w:szCs w:val="20"/>
              </w:rPr>
              <w:t>Final</w:t>
            </w:r>
          </w:p>
        </w:tc>
      </w:tr>
      <w:tr w:rsidR="00AA7739" w:rsidRPr="005E7B6A" w14:paraId="14E4F1A4" w14:textId="77777777" w:rsidTr="009B6E81">
        <w:trPr>
          <w:trHeight w:val="598"/>
          <w:tblHeader/>
        </w:trPr>
        <w:tc>
          <w:tcPr>
            <w:tcW w:w="515" w:type="dxa"/>
            <w:vMerge w:val="restart"/>
            <w:shd w:val="clear" w:color="auto" w:fill="F79646" w:themeFill="accent6"/>
            <w:vAlign w:val="center"/>
            <w:hideMark/>
          </w:tcPr>
          <w:p w14:paraId="3D3F4970" w14:textId="77777777" w:rsidR="00AA7739" w:rsidRPr="005E7B6A" w:rsidRDefault="00AA7739" w:rsidP="009B6E81">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2360" w:type="dxa"/>
            <w:vMerge w:val="restart"/>
            <w:vAlign w:val="center"/>
            <w:hideMark/>
          </w:tcPr>
          <w:p w14:paraId="3FF116AB" w14:textId="77777777" w:rsidR="00AA7739"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S5</w:t>
            </w:r>
          </w:p>
          <w:p w14:paraId="1EFF74D1" w14:textId="77777777" w:rsidR="00AA7739" w:rsidRPr="005E7B6A" w:rsidRDefault="00AA7739" w:rsidP="009B6E81">
            <w:pPr>
              <w:spacing w:after="0"/>
              <w:jc w:val="center"/>
              <w:rPr>
                <w:rFonts w:ascii="Times New Roman" w:hAnsi="Times New Roman" w:cs="Times New Roman"/>
                <w:b/>
                <w:bCs/>
                <w:sz w:val="20"/>
                <w:szCs w:val="20"/>
              </w:rPr>
            </w:pPr>
            <w:r w:rsidRPr="005E7B6A">
              <w:rPr>
                <w:rFonts w:ascii="Times New Roman" w:hAnsi="Times New Roman" w:cs="Times New Roman"/>
                <w:b/>
                <w:bCs/>
                <w:sz w:val="20"/>
                <w:szCs w:val="20"/>
              </w:rPr>
              <w:t>Falta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servicios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radioterapia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que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dispongan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tecnología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adecuada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recurso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humano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calificado,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que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utilice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máximo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forma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segura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tecnología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disponible</w:t>
            </w:r>
          </w:p>
        </w:tc>
        <w:tc>
          <w:tcPr>
            <w:tcW w:w="1656" w:type="dxa"/>
            <w:vAlign w:val="center"/>
            <w:hideMark/>
          </w:tcPr>
          <w:p w14:paraId="49312F78"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4.75</w:t>
            </w:r>
          </w:p>
        </w:tc>
        <w:tc>
          <w:tcPr>
            <w:tcW w:w="1560" w:type="dxa"/>
            <w:vAlign w:val="center"/>
            <w:hideMark/>
          </w:tcPr>
          <w:p w14:paraId="7EF6FB9C"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1275" w:type="dxa"/>
            <w:vAlign w:val="center"/>
            <w:hideMark/>
          </w:tcPr>
          <w:p w14:paraId="641F9AE3"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4.75</w:t>
            </w:r>
          </w:p>
        </w:tc>
        <w:tc>
          <w:tcPr>
            <w:tcW w:w="1701" w:type="dxa"/>
            <w:vAlign w:val="center"/>
            <w:hideMark/>
          </w:tcPr>
          <w:p w14:paraId="2B85E330"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4.75</w:t>
            </w:r>
          </w:p>
        </w:tc>
        <w:tc>
          <w:tcPr>
            <w:tcW w:w="851" w:type="dxa"/>
            <w:vAlign w:val="center"/>
            <w:hideMark/>
          </w:tcPr>
          <w:p w14:paraId="4A69716B"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18.25</w:t>
            </w:r>
          </w:p>
        </w:tc>
        <w:tc>
          <w:tcPr>
            <w:tcW w:w="1701" w:type="dxa"/>
            <w:vAlign w:val="center"/>
            <w:hideMark/>
          </w:tcPr>
          <w:p w14:paraId="4A30EC90"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2.00</w:t>
            </w:r>
          </w:p>
        </w:tc>
        <w:tc>
          <w:tcPr>
            <w:tcW w:w="709" w:type="dxa"/>
            <w:vAlign w:val="center"/>
            <w:hideMark/>
          </w:tcPr>
          <w:p w14:paraId="51F03038"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2.38</w:t>
            </w:r>
          </w:p>
        </w:tc>
        <w:tc>
          <w:tcPr>
            <w:tcW w:w="850" w:type="dxa"/>
            <w:vAlign w:val="center"/>
            <w:hideMark/>
          </w:tcPr>
          <w:p w14:paraId="0676C15E"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43.34</w:t>
            </w:r>
          </w:p>
        </w:tc>
      </w:tr>
      <w:tr w:rsidR="00AA7739" w:rsidRPr="005E7B6A" w14:paraId="21BE7A1E" w14:textId="77777777" w:rsidTr="009B6E81">
        <w:trPr>
          <w:trHeight w:val="1140"/>
          <w:tblHeader/>
        </w:trPr>
        <w:tc>
          <w:tcPr>
            <w:tcW w:w="515" w:type="dxa"/>
            <w:vMerge/>
            <w:shd w:val="clear" w:color="auto" w:fill="F79646" w:themeFill="accent6"/>
            <w:vAlign w:val="center"/>
          </w:tcPr>
          <w:p w14:paraId="2E16E6CA" w14:textId="77777777" w:rsidR="00AA7739" w:rsidRPr="005E7B6A" w:rsidRDefault="00AA7739" w:rsidP="009B6E81">
            <w:pPr>
              <w:spacing w:after="0"/>
              <w:jc w:val="center"/>
              <w:rPr>
                <w:rFonts w:ascii="Times New Roman" w:hAnsi="Times New Roman" w:cs="Times New Roman"/>
                <w:sz w:val="20"/>
                <w:szCs w:val="20"/>
              </w:rPr>
            </w:pPr>
          </w:p>
        </w:tc>
        <w:tc>
          <w:tcPr>
            <w:tcW w:w="2360" w:type="dxa"/>
            <w:vMerge/>
            <w:vAlign w:val="center"/>
          </w:tcPr>
          <w:p w14:paraId="3FA08E6D" w14:textId="77777777" w:rsidR="00AA7739" w:rsidRPr="005E7B6A" w:rsidRDefault="00AA7739" w:rsidP="009B6E81">
            <w:pPr>
              <w:spacing w:after="0"/>
              <w:jc w:val="center"/>
              <w:rPr>
                <w:rFonts w:ascii="Times New Roman" w:hAnsi="Times New Roman" w:cs="Times New Roman"/>
                <w:b/>
                <w:bCs/>
                <w:sz w:val="20"/>
                <w:szCs w:val="20"/>
              </w:rPr>
            </w:pPr>
          </w:p>
        </w:tc>
        <w:tc>
          <w:tcPr>
            <w:tcW w:w="1656" w:type="dxa"/>
            <w:vAlign w:val="center"/>
          </w:tcPr>
          <w:p w14:paraId="0D84CA89"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Gran</w:t>
            </w:r>
            <w:r>
              <w:rPr>
                <w:rFonts w:ascii="Times New Roman" w:hAnsi="Times New Roman" w:cs="Times New Roman"/>
                <w:sz w:val="20"/>
                <w:szCs w:val="20"/>
              </w:rPr>
              <w:t xml:space="preserve"> </w:t>
            </w:r>
            <w:r w:rsidRPr="005E7B6A">
              <w:rPr>
                <w:rFonts w:ascii="Times New Roman" w:hAnsi="Times New Roman" w:cs="Times New Roman"/>
                <w:sz w:val="20"/>
                <w:szCs w:val="20"/>
              </w:rPr>
              <w:t>necesidad</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adecuación</w:t>
            </w:r>
            <w:r>
              <w:rPr>
                <w:rFonts w:ascii="Times New Roman" w:hAnsi="Times New Roman" w:cs="Times New Roman"/>
                <w:sz w:val="20"/>
                <w:szCs w:val="20"/>
              </w:rPr>
              <w:t xml:space="preserve"> </w:t>
            </w:r>
            <w:r w:rsidRPr="005E7B6A">
              <w:rPr>
                <w:rFonts w:ascii="Times New Roman" w:hAnsi="Times New Roman" w:cs="Times New Roman"/>
                <w:sz w:val="20"/>
                <w:szCs w:val="20"/>
              </w:rPr>
              <w:t>tecnológica</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recurso</w:t>
            </w:r>
            <w:r>
              <w:rPr>
                <w:rFonts w:ascii="Times New Roman" w:hAnsi="Times New Roman" w:cs="Times New Roman"/>
                <w:sz w:val="20"/>
                <w:szCs w:val="20"/>
              </w:rPr>
              <w:t xml:space="preserve"> </w:t>
            </w:r>
            <w:r w:rsidRPr="005E7B6A">
              <w:rPr>
                <w:rFonts w:ascii="Times New Roman" w:hAnsi="Times New Roman" w:cs="Times New Roman"/>
                <w:sz w:val="20"/>
                <w:szCs w:val="20"/>
              </w:rPr>
              <w:t>humano</w:t>
            </w:r>
            <w:r>
              <w:rPr>
                <w:rFonts w:ascii="Times New Roman" w:hAnsi="Times New Roman" w:cs="Times New Roman"/>
                <w:sz w:val="20"/>
                <w:szCs w:val="20"/>
              </w:rPr>
              <w:t xml:space="preserve"> </w:t>
            </w:r>
            <w:r w:rsidRPr="005E7B6A">
              <w:rPr>
                <w:rFonts w:ascii="Times New Roman" w:hAnsi="Times New Roman" w:cs="Times New Roman"/>
                <w:sz w:val="20"/>
                <w:szCs w:val="20"/>
              </w:rPr>
              <w:t>capacitado</w:t>
            </w:r>
          </w:p>
        </w:tc>
        <w:tc>
          <w:tcPr>
            <w:tcW w:w="1560" w:type="dxa"/>
            <w:vAlign w:val="center"/>
          </w:tcPr>
          <w:p w14:paraId="3A5AA291"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Urge</w:t>
            </w:r>
            <w:r>
              <w:rPr>
                <w:rFonts w:ascii="Times New Roman" w:hAnsi="Times New Roman" w:cs="Times New Roman"/>
                <w:sz w:val="20"/>
                <w:szCs w:val="20"/>
              </w:rPr>
              <w:t xml:space="preserve"> </w:t>
            </w:r>
            <w:r w:rsidRPr="005E7B6A">
              <w:rPr>
                <w:rFonts w:ascii="Times New Roman" w:hAnsi="Times New Roman" w:cs="Times New Roman"/>
                <w:sz w:val="20"/>
                <w:szCs w:val="20"/>
              </w:rPr>
              <w:t>reducir</w:t>
            </w:r>
            <w:r>
              <w:rPr>
                <w:rFonts w:ascii="Times New Roman" w:hAnsi="Times New Roman" w:cs="Times New Roman"/>
                <w:sz w:val="20"/>
                <w:szCs w:val="20"/>
              </w:rPr>
              <w:t xml:space="preserve"> </w:t>
            </w:r>
            <w:r w:rsidRPr="005E7B6A">
              <w:rPr>
                <w:rFonts w:ascii="Times New Roman" w:hAnsi="Times New Roman" w:cs="Times New Roman"/>
                <w:sz w:val="20"/>
                <w:szCs w:val="20"/>
              </w:rPr>
              <w:t>el</w:t>
            </w:r>
            <w:r>
              <w:rPr>
                <w:rFonts w:ascii="Times New Roman" w:hAnsi="Times New Roman" w:cs="Times New Roman"/>
                <w:sz w:val="20"/>
                <w:szCs w:val="20"/>
              </w:rPr>
              <w:t xml:space="preserve"> </w:t>
            </w:r>
            <w:r w:rsidRPr="005E7B6A">
              <w:rPr>
                <w:rFonts w:ascii="Times New Roman" w:hAnsi="Times New Roman" w:cs="Times New Roman"/>
                <w:sz w:val="20"/>
                <w:szCs w:val="20"/>
              </w:rPr>
              <w:t>desfasaje</w:t>
            </w:r>
            <w:r>
              <w:rPr>
                <w:rFonts w:ascii="Times New Roman" w:hAnsi="Times New Roman" w:cs="Times New Roman"/>
                <w:sz w:val="20"/>
                <w:szCs w:val="20"/>
              </w:rPr>
              <w:t xml:space="preserve"> </w:t>
            </w:r>
            <w:r w:rsidRPr="005E7B6A">
              <w:rPr>
                <w:rFonts w:ascii="Times New Roman" w:hAnsi="Times New Roman" w:cs="Times New Roman"/>
                <w:sz w:val="20"/>
                <w:szCs w:val="20"/>
              </w:rPr>
              <w:t>con</w:t>
            </w:r>
            <w:r>
              <w:rPr>
                <w:rFonts w:ascii="Times New Roman" w:hAnsi="Times New Roman" w:cs="Times New Roman"/>
                <w:sz w:val="20"/>
                <w:szCs w:val="20"/>
              </w:rPr>
              <w:t xml:space="preserve"> </w:t>
            </w:r>
            <w:r w:rsidRPr="005E7B6A">
              <w:rPr>
                <w:rFonts w:ascii="Times New Roman" w:hAnsi="Times New Roman" w:cs="Times New Roman"/>
                <w:sz w:val="20"/>
                <w:szCs w:val="20"/>
              </w:rPr>
              <w:t>respecto</w:t>
            </w:r>
            <w:r>
              <w:rPr>
                <w:rFonts w:ascii="Times New Roman" w:hAnsi="Times New Roman" w:cs="Times New Roman"/>
                <w:sz w:val="20"/>
                <w:szCs w:val="20"/>
              </w:rPr>
              <w:t xml:space="preserve"> </w:t>
            </w:r>
            <w:r w:rsidRPr="005E7B6A">
              <w:rPr>
                <w:rFonts w:ascii="Times New Roman" w:hAnsi="Times New Roman" w:cs="Times New Roman"/>
                <w:sz w:val="20"/>
                <w:szCs w:val="20"/>
              </w:rPr>
              <w:t>al</w:t>
            </w:r>
            <w:r>
              <w:rPr>
                <w:rFonts w:ascii="Times New Roman" w:hAnsi="Times New Roman" w:cs="Times New Roman"/>
                <w:sz w:val="20"/>
                <w:szCs w:val="20"/>
              </w:rPr>
              <w:t xml:space="preserve"> </w:t>
            </w:r>
            <w:r w:rsidRPr="005E7B6A">
              <w:rPr>
                <w:rFonts w:ascii="Times New Roman" w:hAnsi="Times New Roman" w:cs="Times New Roman"/>
                <w:sz w:val="20"/>
                <w:szCs w:val="20"/>
              </w:rPr>
              <w:t>estado</w:t>
            </w:r>
            <w:r>
              <w:rPr>
                <w:rFonts w:ascii="Times New Roman" w:hAnsi="Times New Roman" w:cs="Times New Roman"/>
                <w:sz w:val="20"/>
                <w:szCs w:val="20"/>
              </w:rPr>
              <w:t xml:space="preserve"> </w:t>
            </w:r>
            <w:r w:rsidRPr="005E7B6A">
              <w:rPr>
                <w:rFonts w:ascii="Times New Roman" w:hAnsi="Times New Roman" w:cs="Times New Roman"/>
                <w:sz w:val="20"/>
                <w:szCs w:val="20"/>
              </w:rPr>
              <w:t>del</w:t>
            </w:r>
            <w:r>
              <w:rPr>
                <w:rFonts w:ascii="Times New Roman" w:hAnsi="Times New Roman" w:cs="Times New Roman"/>
                <w:sz w:val="20"/>
                <w:szCs w:val="20"/>
              </w:rPr>
              <w:t xml:space="preserve"> </w:t>
            </w:r>
            <w:r w:rsidRPr="005E7B6A">
              <w:rPr>
                <w:rFonts w:ascii="Times New Roman" w:hAnsi="Times New Roman" w:cs="Times New Roman"/>
                <w:sz w:val="20"/>
                <w:szCs w:val="20"/>
              </w:rPr>
              <w:t>arte</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el</w:t>
            </w:r>
            <w:r>
              <w:rPr>
                <w:rFonts w:ascii="Times New Roman" w:hAnsi="Times New Roman" w:cs="Times New Roman"/>
                <w:sz w:val="20"/>
                <w:szCs w:val="20"/>
              </w:rPr>
              <w:t xml:space="preserve"> </w:t>
            </w:r>
            <w:r w:rsidRPr="005E7B6A">
              <w:rPr>
                <w:rFonts w:ascii="Times New Roman" w:hAnsi="Times New Roman" w:cs="Times New Roman"/>
                <w:sz w:val="20"/>
                <w:szCs w:val="20"/>
              </w:rPr>
              <w:t>tratamiento</w:t>
            </w:r>
            <w:r>
              <w:rPr>
                <w:rFonts w:ascii="Times New Roman" w:hAnsi="Times New Roman" w:cs="Times New Roman"/>
                <w:sz w:val="20"/>
                <w:szCs w:val="20"/>
              </w:rPr>
              <w:t xml:space="preserve"> </w:t>
            </w:r>
            <w:r w:rsidRPr="005E7B6A">
              <w:rPr>
                <w:rFonts w:ascii="Times New Roman" w:hAnsi="Times New Roman" w:cs="Times New Roman"/>
                <w:sz w:val="20"/>
                <w:szCs w:val="20"/>
              </w:rPr>
              <w:t>del</w:t>
            </w:r>
            <w:r>
              <w:rPr>
                <w:rFonts w:ascii="Times New Roman" w:hAnsi="Times New Roman" w:cs="Times New Roman"/>
                <w:sz w:val="20"/>
                <w:szCs w:val="20"/>
              </w:rPr>
              <w:t xml:space="preserve"> </w:t>
            </w:r>
            <w:r w:rsidRPr="005E7B6A">
              <w:rPr>
                <w:rFonts w:ascii="Times New Roman" w:hAnsi="Times New Roman" w:cs="Times New Roman"/>
                <w:sz w:val="20"/>
                <w:szCs w:val="20"/>
              </w:rPr>
              <w:t>cáncer</w:t>
            </w:r>
          </w:p>
        </w:tc>
        <w:tc>
          <w:tcPr>
            <w:tcW w:w="1275" w:type="dxa"/>
            <w:vAlign w:val="center"/>
          </w:tcPr>
          <w:p w14:paraId="421B6260"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Esta</w:t>
            </w:r>
            <w:r>
              <w:rPr>
                <w:rFonts w:ascii="Times New Roman" w:hAnsi="Times New Roman" w:cs="Times New Roman"/>
                <w:sz w:val="20"/>
                <w:szCs w:val="20"/>
              </w:rPr>
              <w:t xml:space="preserve"> </w:t>
            </w:r>
            <w:r w:rsidRPr="005E7B6A">
              <w:rPr>
                <w:rFonts w:ascii="Times New Roman" w:hAnsi="Times New Roman" w:cs="Times New Roman"/>
                <w:sz w:val="20"/>
                <w:szCs w:val="20"/>
              </w:rPr>
              <w:t>problemática</w:t>
            </w:r>
            <w:r>
              <w:rPr>
                <w:rFonts w:ascii="Times New Roman" w:hAnsi="Times New Roman" w:cs="Times New Roman"/>
                <w:sz w:val="20"/>
                <w:szCs w:val="20"/>
              </w:rPr>
              <w:t xml:space="preserve"> </w:t>
            </w:r>
            <w:r w:rsidRPr="005E7B6A">
              <w:rPr>
                <w:rFonts w:ascii="Times New Roman" w:hAnsi="Times New Roman" w:cs="Times New Roman"/>
                <w:sz w:val="20"/>
                <w:szCs w:val="20"/>
              </w:rPr>
              <w:t>afecta</w:t>
            </w:r>
            <w:r>
              <w:rPr>
                <w:rFonts w:ascii="Times New Roman" w:hAnsi="Times New Roman" w:cs="Times New Roman"/>
                <w:sz w:val="20"/>
                <w:szCs w:val="20"/>
              </w:rPr>
              <w:t xml:space="preserve"> </w:t>
            </w:r>
            <w:r w:rsidRPr="005E7B6A">
              <w:rPr>
                <w:rFonts w:ascii="Times New Roman" w:hAnsi="Times New Roman" w:cs="Times New Roman"/>
                <w:sz w:val="20"/>
                <w:szCs w:val="20"/>
              </w:rPr>
              <w:t>a</w:t>
            </w:r>
            <w:r>
              <w:rPr>
                <w:rFonts w:ascii="Times New Roman" w:hAnsi="Times New Roman" w:cs="Times New Roman"/>
                <w:sz w:val="20"/>
                <w:szCs w:val="20"/>
              </w:rPr>
              <w:t xml:space="preserve"> </w:t>
            </w:r>
            <w:r w:rsidRPr="005E7B6A">
              <w:rPr>
                <w:rFonts w:ascii="Times New Roman" w:hAnsi="Times New Roman" w:cs="Times New Roman"/>
                <w:sz w:val="20"/>
                <w:szCs w:val="20"/>
              </w:rPr>
              <w:t>toda</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p>
        </w:tc>
        <w:tc>
          <w:tcPr>
            <w:tcW w:w="1701" w:type="dxa"/>
            <w:vAlign w:val="center"/>
          </w:tcPr>
          <w:p w14:paraId="2F99E49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técnicas</w:t>
            </w:r>
            <w:r>
              <w:rPr>
                <w:rFonts w:ascii="Times New Roman" w:hAnsi="Times New Roman" w:cs="Times New Roman"/>
                <w:sz w:val="20"/>
                <w:szCs w:val="20"/>
              </w:rPr>
              <w:t xml:space="preserve"> </w:t>
            </w:r>
            <w:r w:rsidRPr="005E7B6A">
              <w:rPr>
                <w:rFonts w:ascii="Times New Roman" w:hAnsi="Times New Roman" w:cs="Times New Roman"/>
                <w:sz w:val="20"/>
                <w:szCs w:val="20"/>
              </w:rPr>
              <w:t>nucleares</w:t>
            </w:r>
            <w:r>
              <w:rPr>
                <w:rFonts w:ascii="Times New Roman" w:hAnsi="Times New Roman" w:cs="Times New Roman"/>
                <w:sz w:val="20"/>
                <w:szCs w:val="20"/>
              </w:rPr>
              <w:t xml:space="preserve"> </w:t>
            </w:r>
            <w:r w:rsidRPr="005E7B6A">
              <w:rPr>
                <w:rFonts w:ascii="Times New Roman" w:hAnsi="Times New Roman" w:cs="Times New Roman"/>
                <w:sz w:val="20"/>
                <w:szCs w:val="20"/>
              </w:rPr>
              <w:t>son</w:t>
            </w:r>
            <w:r>
              <w:rPr>
                <w:rFonts w:ascii="Times New Roman" w:hAnsi="Times New Roman" w:cs="Times New Roman"/>
                <w:sz w:val="20"/>
                <w:szCs w:val="20"/>
              </w:rPr>
              <w:t xml:space="preserve"> </w:t>
            </w:r>
            <w:r w:rsidRPr="005E7B6A">
              <w:rPr>
                <w:rFonts w:ascii="Times New Roman" w:hAnsi="Times New Roman" w:cs="Times New Roman"/>
                <w:sz w:val="20"/>
                <w:szCs w:val="20"/>
              </w:rPr>
              <w:t>parte</w:t>
            </w:r>
            <w:r>
              <w:rPr>
                <w:rFonts w:ascii="Times New Roman" w:hAnsi="Times New Roman" w:cs="Times New Roman"/>
                <w:sz w:val="20"/>
                <w:szCs w:val="20"/>
              </w:rPr>
              <w:t xml:space="preserve"> </w:t>
            </w:r>
            <w:r w:rsidRPr="005E7B6A">
              <w:rPr>
                <w:rFonts w:ascii="Times New Roman" w:hAnsi="Times New Roman" w:cs="Times New Roman"/>
                <w:sz w:val="20"/>
                <w:szCs w:val="20"/>
              </w:rPr>
              <w:t>esencial</w:t>
            </w:r>
            <w:r>
              <w:rPr>
                <w:rFonts w:ascii="Times New Roman" w:hAnsi="Times New Roman" w:cs="Times New Roman"/>
                <w:sz w:val="20"/>
                <w:szCs w:val="20"/>
              </w:rPr>
              <w:t xml:space="preserve"> </w:t>
            </w:r>
            <w:r w:rsidRPr="005E7B6A">
              <w:rPr>
                <w:rFonts w:ascii="Times New Roman" w:hAnsi="Times New Roman" w:cs="Times New Roman"/>
                <w:sz w:val="20"/>
                <w:szCs w:val="20"/>
              </w:rPr>
              <w:t>del</w:t>
            </w:r>
            <w:r>
              <w:rPr>
                <w:rFonts w:ascii="Times New Roman" w:hAnsi="Times New Roman" w:cs="Times New Roman"/>
                <w:sz w:val="20"/>
                <w:szCs w:val="20"/>
              </w:rPr>
              <w:t xml:space="preserve"> </w:t>
            </w:r>
            <w:r w:rsidRPr="005E7B6A">
              <w:rPr>
                <w:rFonts w:ascii="Times New Roman" w:hAnsi="Times New Roman" w:cs="Times New Roman"/>
                <w:sz w:val="20"/>
                <w:szCs w:val="20"/>
              </w:rPr>
              <w:t>tratamiento</w:t>
            </w:r>
            <w:r>
              <w:rPr>
                <w:rFonts w:ascii="Times New Roman" w:hAnsi="Times New Roman" w:cs="Times New Roman"/>
                <w:sz w:val="20"/>
                <w:szCs w:val="20"/>
              </w:rPr>
              <w:t xml:space="preserve"> </w:t>
            </w:r>
            <w:r w:rsidRPr="005E7B6A">
              <w:rPr>
                <w:rFonts w:ascii="Times New Roman" w:hAnsi="Times New Roman" w:cs="Times New Roman"/>
                <w:sz w:val="20"/>
                <w:szCs w:val="20"/>
              </w:rPr>
              <w:t>radiante</w:t>
            </w:r>
          </w:p>
        </w:tc>
        <w:tc>
          <w:tcPr>
            <w:tcW w:w="851" w:type="dxa"/>
            <w:vAlign w:val="center"/>
          </w:tcPr>
          <w:p w14:paraId="3DE2C43A" w14:textId="77777777" w:rsidR="00AA7739" w:rsidRPr="005E7B6A" w:rsidRDefault="00AA7739" w:rsidP="009B6E81">
            <w:pPr>
              <w:spacing w:after="0"/>
              <w:jc w:val="center"/>
              <w:rPr>
                <w:rFonts w:ascii="Times New Roman" w:hAnsi="Times New Roman" w:cs="Times New Roman"/>
                <w:sz w:val="20"/>
                <w:szCs w:val="20"/>
              </w:rPr>
            </w:pPr>
          </w:p>
        </w:tc>
        <w:tc>
          <w:tcPr>
            <w:tcW w:w="1701" w:type="dxa"/>
            <w:vAlign w:val="center"/>
          </w:tcPr>
          <w:p w14:paraId="3F8EC355"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r>
              <w:rPr>
                <w:rFonts w:ascii="Times New Roman" w:hAnsi="Times New Roman" w:cs="Times New Roman"/>
                <w:sz w:val="20"/>
                <w:szCs w:val="20"/>
              </w:rPr>
              <w:t xml:space="preserve"> </w:t>
            </w:r>
            <w:r w:rsidRPr="005E7B6A">
              <w:rPr>
                <w:rFonts w:ascii="Times New Roman" w:hAnsi="Times New Roman" w:cs="Times New Roman"/>
                <w:sz w:val="20"/>
                <w:szCs w:val="20"/>
              </w:rPr>
              <w:t>está</w:t>
            </w:r>
            <w:r>
              <w:rPr>
                <w:rFonts w:ascii="Times New Roman" w:hAnsi="Times New Roman" w:cs="Times New Roman"/>
                <w:sz w:val="20"/>
                <w:szCs w:val="20"/>
              </w:rPr>
              <w:t xml:space="preserve"> </w:t>
            </w:r>
            <w:r w:rsidRPr="005E7B6A">
              <w:rPr>
                <w:rFonts w:ascii="Times New Roman" w:hAnsi="Times New Roman" w:cs="Times New Roman"/>
                <w:sz w:val="20"/>
                <w:szCs w:val="20"/>
              </w:rPr>
              <w:t>receptiva</w:t>
            </w:r>
            <w:r>
              <w:rPr>
                <w:rFonts w:ascii="Times New Roman" w:hAnsi="Times New Roman" w:cs="Times New Roman"/>
                <w:sz w:val="20"/>
                <w:szCs w:val="20"/>
              </w:rPr>
              <w:t xml:space="preserve"> </w:t>
            </w:r>
            <w:r w:rsidRPr="005E7B6A">
              <w:rPr>
                <w:rFonts w:ascii="Times New Roman" w:hAnsi="Times New Roman" w:cs="Times New Roman"/>
                <w:sz w:val="20"/>
                <w:szCs w:val="20"/>
              </w:rPr>
              <w:t>a</w:t>
            </w:r>
            <w:r>
              <w:rPr>
                <w:rFonts w:ascii="Times New Roman" w:hAnsi="Times New Roman" w:cs="Times New Roman"/>
                <w:sz w:val="20"/>
                <w:szCs w:val="20"/>
              </w:rPr>
              <w:t xml:space="preserve"> </w:t>
            </w: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mejorías</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especialidad</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no</w:t>
            </w:r>
            <w:r>
              <w:rPr>
                <w:rFonts w:ascii="Times New Roman" w:hAnsi="Times New Roman" w:cs="Times New Roman"/>
                <w:sz w:val="20"/>
                <w:szCs w:val="20"/>
              </w:rPr>
              <w:t xml:space="preserve"> </w:t>
            </w:r>
            <w:r w:rsidRPr="005E7B6A">
              <w:rPr>
                <w:rFonts w:ascii="Times New Roman" w:hAnsi="Times New Roman" w:cs="Times New Roman"/>
                <w:sz w:val="20"/>
                <w:szCs w:val="20"/>
              </w:rPr>
              <w:t>se</w:t>
            </w:r>
            <w:r>
              <w:rPr>
                <w:rFonts w:ascii="Times New Roman" w:hAnsi="Times New Roman" w:cs="Times New Roman"/>
                <w:sz w:val="20"/>
                <w:szCs w:val="20"/>
              </w:rPr>
              <w:t xml:space="preserve"> </w:t>
            </w:r>
            <w:r w:rsidRPr="005E7B6A">
              <w:rPr>
                <w:rFonts w:ascii="Times New Roman" w:hAnsi="Times New Roman" w:cs="Times New Roman"/>
                <w:sz w:val="20"/>
                <w:szCs w:val="20"/>
              </w:rPr>
              <w:t>requieren</w:t>
            </w:r>
            <w:r>
              <w:rPr>
                <w:rFonts w:ascii="Times New Roman" w:hAnsi="Times New Roman" w:cs="Times New Roman"/>
                <w:sz w:val="20"/>
                <w:szCs w:val="20"/>
              </w:rPr>
              <w:t xml:space="preserve"> </w:t>
            </w:r>
            <w:r w:rsidRPr="005E7B6A">
              <w:rPr>
                <w:rFonts w:ascii="Times New Roman" w:hAnsi="Times New Roman" w:cs="Times New Roman"/>
                <w:sz w:val="20"/>
                <w:szCs w:val="20"/>
              </w:rPr>
              <w:t>grandes</w:t>
            </w:r>
            <w:r>
              <w:rPr>
                <w:rFonts w:ascii="Times New Roman" w:hAnsi="Times New Roman" w:cs="Times New Roman"/>
                <w:sz w:val="20"/>
                <w:szCs w:val="20"/>
              </w:rPr>
              <w:t xml:space="preserve"> </w:t>
            </w:r>
            <w:r w:rsidRPr="005E7B6A">
              <w:rPr>
                <w:rFonts w:ascii="Times New Roman" w:hAnsi="Times New Roman" w:cs="Times New Roman"/>
                <w:sz w:val="20"/>
                <w:szCs w:val="20"/>
              </w:rPr>
              <w:t>inversiones</w:t>
            </w:r>
          </w:p>
        </w:tc>
        <w:tc>
          <w:tcPr>
            <w:tcW w:w="709" w:type="dxa"/>
            <w:vAlign w:val="center"/>
          </w:tcPr>
          <w:p w14:paraId="62E85AAF" w14:textId="77777777" w:rsidR="00AA7739" w:rsidRPr="005E7B6A" w:rsidRDefault="00AA7739" w:rsidP="009B6E81">
            <w:pPr>
              <w:spacing w:after="0"/>
              <w:jc w:val="center"/>
              <w:rPr>
                <w:rFonts w:ascii="Times New Roman" w:hAnsi="Times New Roman" w:cs="Times New Roman"/>
                <w:sz w:val="20"/>
                <w:szCs w:val="20"/>
              </w:rPr>
            </w:pPr>
          </w:p>
        </w:tc>
        <w:tc>
          <w:tcPr>
            <w:tcW w:w="850" w:type="dxa"/>
            <w:vAlign w:val="center"/>
          </w:tcPr>
          <w:p w14:paraId="06EBDE5E" w14:textId="77777777" w:rsidR="00AA7739" w:rsidRPr="005E7B6A" w:rsidRDefault="00AA7739" w:rsidP="009B6E81">
            <w:pPr>
              <w:spacing w:after="0"/>
              <w:jc w:val="center"/>
              <w:rPr>
                <w:rFonts w:ascii="Times New Roman" w:hAnsi="Times New Roman" w:cs="Times New Roman"/>
                <w:sz w:val="20"/>
                <w:szCs w:val="20"/>
              </w:rPr>
            </w:pPr>
          </w:p>
        </w:tc>
      </w:tr>
      <w:tr w:rsidR="00AA7739" w:rsidRPr="005E7B6A" w14:paraId="49AAF750" w14:textId="77777777" w:rsidTr="009B6E81">
        <w:trPr>
          <w:trHeight w:val="503"/>
          <w:tblHeader/>
        </w:trPr>
        <w:tc>
          <w:tcPr>
            <w:tcW w:w="515" w:type="dxa"/>
            <w:vMerge w:val="restart"/>
            <w:shd w:val="clear" w:color="auto" w:fill="F79646" w:themeFill="accent6"/>
            <w:vAlign w:val="center"/>
            <w:hideMark/>
          </w:tcPr>
          <w:p w14:paraId="235F8CB1" w14:textId="77777777" w:rsidR="00AA7739" w:rsidRPr="005E7B6A" w:rsidRDefault="00AA7739" w:rsidP="009B6E81">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2360" w:type="dxa"/>
            <w:vMerge w:val="restart"/>
            <w:vAlign w:val="center"/>
            <w:hideMark/>
          </w:tcPr>
          <w:p w14:paraId="23A53A32" w14:textId="77777777" w:rsidR="00AA7739" w:rsidRDefault="00AA7739" w:rsidP="009B6E81">
            <w:pPr>
              <w:spacing w:after="0"/>
              <w:jc w:val="center"/>
              <w:rPr>
                <w:rFonts w:ascii="Times New Roman" w:hAnsi="Times New Roman" w:cs="Times New Roman"/>
                <w:b/>
                <w:bCs/>
                <w:sz w:val="20"/>
                <w:szCs w:val="20"/>
              </w:rPr>
            </w:pPr>
            <w:r>
              <w:rPr>
                <w:rFonts w:ascii="Times New Roman" w:hAnsi="Times New Roman" w:cs="Times New Roman"/>
                <w:b/>
                <w:bCs/>
                <w:sz w:val="20"/>
                <w:szCs w:val="20"/>
              </w:rPr>
              <w:t>S 4</w:t>
            </w:r>
          </w:p>
          <w:p w14:paraId="14B6461E" w14:textId="77777777" w:rsidR="00AA7739" w:rsidRPr="005E7B6A" w:rsidRDefault="00AA7739" w:rsidP="009B6E81">
            <w:pPr>
              <w:spacing w:after="0"/>
              <w:jc w:val="center"/>
              <w:rPr>
                <w:rFonts w:ascii="Times New Roman" w:hAnsi="Times New Roman" w:cs="Times New Roman"/>
                <w:b/>
                <w:bCs/>
                <w:sz w:val="20"/>
                <w:szCs w:val="20"/>
              </w:rPr>
            </w:pPr>
            <w:r w:rsidRPr="005E7B6A">
              <w:rPr>
                <w:rFonts w:ascii="Times New Roman" w:hAnsi="Times New Roman" w:cs="Times New Roman"/>
                <w:b/>
                <w:bCs/>
                <w:sz w:val="20"/>
                <w:szCs w:val="20"/>
              </w:rPr>
              <w:t>Insuficiencia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recurso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humano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calificado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física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médica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región</w:t>
            </w:r>
          </w:p>
        </w:tc>
        <w:tc>
          <w:tcPr>
            <w:tcW w:w="1656" w:type="dxa"/>
            <w:vAlign w:val="center"/>
            <w:hideMark/>
          </w:tcPr>
          <w:p w14:paraId="2FAC97FC"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4.50</w:t>
            </w:r>
          </w:p>
        </w:tc>
        <w:tc>
          <w:tcPr>
            <w:tcW w:w="1560" w:type="dxa"/>
            <w:vAlign w:val="center"/>
            <w:hideMark/>
          </w:tcPr>
          <w:p w14:paraId="0B4F6309"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4.75</w:t>
            </w:r>
          </w:p>
        </w:tc>
        <w:tc>
          <w:tcPr>
            <w:tcW w:w="1275" w:type="dxa"/>
            <w:vAlign w:val="center"/>
            <w:hideMark/>
          </w:tcPr>
          <w:p w14:paraId="7F97047E"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4.75</w:t>
            </w:r>
          </w:p>
        </w:tc>
        <w:tc>
          <w:tcPr>
            <w:tcW w:w="1701" w:type="dxa"/>
            <w:vAlign w:val="center"/>
            <w:hideMark/>
          </w:tcPr>
          <w:p w14:paraId="5F9446C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851" w:type="dxa"/>
            <w:vAlign w:val="center"/>
            <w:hideMark/>
          </w:tcPr>
          <w:p w14:paraId="566BA3BF"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18.00</w:t>
            </w:r>
          </w:p>
        </w:tc>
        <w:tc>
          <w:tcPr>
            <w:tcW w:w="1701" w:type="dxa"/>
            <w:vAlign w:val="center"/>
            <w:hideMark/>
          </w:tcPr>
          <w:p w14:paraId="7A75A85B"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3.00</w:t>
            </w:r>
          </w:p>
        </w:tc>
        <w:tc>
          <w:tcPr>
            <w:tcW w:w="709" w:type="dxa"/>
            <w:vAlign w:val="center"/>
            <w:hideMark/>
          </w:tcPr>
          <w:p w14:paraId="0EC8A053"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1.33</w:t>
            </w:r>
          </w:p>
        </w:tc>
        <w:tc>
          <w:tcPr>
            <w:tcW w:w="850" w:type="dxa"/>
            <w:vAlign w:val="center"/>
            <w:hideMark/>
          </w:tcPr>
          <w:p w14:paraId="41BB4DF8"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24.00</w:t>
            </w:r>
          </w:p>
        </w:tc>
      </w:tr>
      <w:tr w:rsidR="00AA7739" w:rsidRPr="005E7B6A" w14:paraId="42C2B2EA" w14:textId="77777777" w:rsidTr="009B6E81">
        <w:trPr>
          <w:trHeight w:val="3974"/>
          <w:tblHeader/>
        </w:trPr>
        <w:tc>
          <w:tcPr>
            <w:tcW w:w="515" w:type="dxa"/>
            <w:vMerge/>
            <w:shd w:val="clear" w:color="auto" w:fill="F79646" w:themeFill="accent6"/>
            <w:vAlign w:val="center"/>
          </w:tcPr>
          <w:p w14:paraId="3EDE9832" w14:textId="77777777" w:rsidR="00AA7739" w:rsidRPr="005E7B6A" w:rsidRDefault="00AA7739" w:rsidP="009B6E81">
            <w:pPr>
              <w:spacing w:after="0"/>
              <w:jc w:val="center"/>
              <w:rPr>
                <w:rFonts w:ascii="Times New Roman" w:hAnsi="Times New Roman" w:cs="Times New Roman"/>
                <w:sz w:val="20"/>
                <w:szCs w:val="20"/>
              </w:rPr>
            </w:pPr>
          </w:p>
        </w:tc>
        <w:tc>
          <w:tcPr>
            <w:tcW w:w="2360" w:type="dxa"/>
            <w:vMerge/>
            <w:vAlign w:val="center"/>
          </w:tcPr>
          <w:p w14:paraId="7C8191B9" w14:textId="77777777" w:rsidR="00AA7739" w:rsidRPr="005E7B6A" w:rsidRDefault="00AA7739" w:rsidP="009B6E81">
            <w:pPr>
              <w:spacing w:after="0"/>
              <w:jc w:val="center"/>
              <w:rPr>
                <w:rFonts w:ascii="Times New Roman" w:hAnsi="Times New Roman" w:cs="Times New Roman"/>
                <w:b/>
                <w:bCs/>
                <w:sz w:val="20"/>
                <w:szCs w:val="20"/>
              </w:rPr>
            </w:pPr>
          </w:p>
        </w:tc>
        <w:tc>
          <w:tcPr>
            <w:tcW w:w="1656" w:type="dxa"/>
            <w:vAlign w:val="center"/>
          </w:tcPr>
          <w:p w14:paraId="11C06510"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ausencia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físicos</w:t>
            </w:r>
            <w:r>
              <w:rPr>
                <w:rFonts w:ascii="Times New Roman" w:hAnsi="Times New Roman" w:cs="Times New Roman"/>
                <w:bCs/>
                <w:sz w:val="20"/>
                <w:szCs w:val="20"/>
              </w:rPr>
              <w:t xml:space="preserve"> </w:t>
            </w:r>
            <w:r w:rsidRPr="005E7B6A">
              <w:rPr>
                <w:rFonts w:ascii="Times New Roman" w:hAnsi="Times New Roman" w:cs="Times New Roman"/>
                <w:bCs/>
                <w:sz w:val="20"/>
                <w:szCs w:val="20"/>
              </w:rPr>
              <w:t>médicos</w:t>
            </w:r>
            <w:r>
              <w:rPr>
                <w:rFonts w:ascii="Times New Roman" w:hAnsi="Times New Roman" w:cs="Times New Roman"/>
                <w:bCs/>
                <w:sz w:val="20"/>
                <w:szCs w:val="20"/>
              </w:rPr>
              <w:t xml:space="preserve"> </w:t>
            </w:r>
            <w:r w:rsidRPr="005E7B6A">
              <w:rPr>
                <w:rFonts w:ascii="Times New Roman" w:hAnsi="Times New Roman" w:cs="Times New Roman"/>
                <w:bCs/>
                <w:sz w:val="20"/>
                <w:szCs w:val="20"/>
              </w:rPr>
              <w:t>impacta</w:t>
            </w:r>
            <w:r>
              <w:rPr>
                <w:rFonts w:ascii="Times New Roman" w:hAnsi="Times New Roman" w:cs="Times New Roman"/>
                <w:bCs/>
                <w:sz w:val="20"/>
                <w:szCs w:val="20"/>
              </w:rPr>
              <w:t xml:space="preserve"> </w:t>
            </w:r>
            <w:r w:rsidRPr="005E7B6A">
              <w:rPr>
                <w:rFonts w:ascii="Times New Roman" w:hAnsi="Times New Roman" w:cs="Times New Roman"/>
                <w:bCs/>
                <w:sz w:val="20"/>
                <w:szCs w:val="20"/>
              </w:rPr>
              <w:t>directa</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esencialmente</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calidad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diagnóstico</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tratamiento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paciente</w:t>
            </w:r>
          </w:p>
        </w:tc>
        <w:tc>
          <w:tcPr>
            <w:tcW w:w="1560" w:type="dxa"/>
            <w:vAlign w:val="center"/>
          </w:tcPr>
          <w:p w14:paraId="1CF1DE39"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urgente</w:t>
            </w:r>
            <w:r>
              <w:rPr>
                <w:rFonts w:ascii="Times New Roman" w:hAnsi="Times New Roman" w:cs="Times New Roman"/>
                <w:bCs/>
                <w:sz w:val="20"/>
                <w:szCs w:val="20"/>
              </w:rPr>
              <w:t xml:space="preserve"> </w:t>
            </w:r>
            <w:r w:rsidRPr="005E7B6A">
              <w:rPr>
                <w:rFonts w:ascii="Times New Roman" w:hAnsi="Times New Roman" w:cs="Times New Roman"/>
                <w:bCs/>
                <w:sz w:val="20"/>
                <w:szCs w:val="20"/>
              </w:rPr>
              <w:t>pues</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s</w:t>
            </w:r>
            <w:r w:rsidRPr="005E7B6A">
              <w:rPr>
                <w:rFonts w:ascii="Times New Roman" w:hAnsi="Times New Roman" w:cs="Times New Roman"/>
                <w:bCs/>
                <w:sz w:val="20"/>
                <w:szCs w:val="20"/>
              </w:rPr>
              <w:t>arrollo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nuevas</w:t>
            </w:r>
            <w:r>
              <w:rPr>
                <w:rFonts w:ascii="Times New Roman" w:hAnsi="Times New Roman" w:cs="Times New Roman"/>
                <w:bCs/>
                <w:sz w:val="20"/>
                <w:szCs w:val="20"/>
              </w:rPr>
              <w:t xml:space="preserve"> </w:t>
            </w:r>
            <w:r w:rsidRPr="005E7B6A">
              <w:rPr>
                <w:rFonts w:ascii="Times New Roman" w:hAnsi="Times New Roman" w:cs="Times New Roman"/>
                <w:bCs/>
                <w:sz w:val="20"/>
                <w:szCs w:val="20"/>
              </w:rPr>
              <w:t>tecnologías</w:t>
            </w:r>
            <w:r>
              <w:rPr>
                <w:rFonts w:ascii="Times New Roman" w:hAnsi="Times New Roman" w:cs="Times New Roman"/>
                <w:bCs/>
                <w:sz w:val="20"/>
                <w:szCs w:val="20"/>
              </w:rPr>
              <w:t xml:space="preserve"> </w:t>
            </w:r>
            <w:r w:rsidRPr="005E7B6A">
              <w:rPr>
                <w:rFonts w:ascii="Times New Roman" w:hAnsi="Times New Roman" w:cs="Times New Roman"/>
                <w:bCs/>
                <w:sz w:val="20"/>
                <w:szCs w:val="20"/>
              </w:rPr>
              <w:t>ha</w:t>
            </w:r>
            <w:r>
              <w:rPr>
                <w:rFonts w:ascii="Times New Roman" w:hAnsi="Times New Roman" w:cs="Times New Roman"/>
                <w:bCs/>
                <w:sz w:val="20"/>
                <w:szCs w:val="20"/>
              </w:rPr>
              <w:t xml:space="preserve"> </w:t>
            </w:r>
            <w:r w:rsidRPr="005E7B6A">
              <w:rPr>
                <w:rFonts w:ascii="Times New Roman" w:hAnsi="Times New Roman" w:cs="Times New Roman"/>
                <w:bCs/>
                <w:sz w:val="20"/>
                <w:szCs w:val="20"/>
              </w:rPr>
              <w:t>sido</w:t>
            </w:r>
            <w:r>
              <w:rPr>
                <w:rFonts w:ascii="Times New Roman" w:hAnsi="Times New Roman" w:cs="Times New Roman"/>
                <w:bCs/>
                <w:sz w:val="20"/>
                <w:szCs w:val="20"/>
              </w:rPr>
              <w:t xml:space="preserve"> </w:t>
            </w:r>
            <w:r w:rsidRPr="005E7B6A">
              <w:rPr>
                <w:rFonts w:ascii="Times New Roman" w:hAnsi="Times New Roman" w:cs="Times New Roman"/>
                <w:bCs/>
                <w:sz w:val="20"/>
                <w:szCs w:val="20"/>
              </w:rPr>
              <w:t>más</w:t>
            </w:r>
            <w:r>
              <w:rPr>
                <w:rFonts w:ascii="Times New Roman" w:hAnsi="Times New Roman" w:cs="Times New Roman"/>
                <w:bCs/>
                <w:sz w:val="20"/>
                <w:szCs w:val="20"/>
              </w:rPr>
              <w:t xml:space="preserve"> </w:t>
            </w:r>
            <w:r w:rsidRPr="005E7B6A">
              <w:rPr>
                <w:rFonts w:ascii="Times New Roman" w:hAnsi="Times New Roman" w:cs="Times New Roman"/>
                <w:bCs/>
                <w:sz w:val="20"/>
                <w:szCs w:val="20"/>
              </w:rPr>
              <w:t>rápido</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formación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físicos</w:t>
            </w:r>
            <w:r>
              <w:rPr>
                <w:rFonts w:ascii="Times New Roman" w:hAnsi="Times New Roman" w:cs="Times New Roman"/>
                <w:bCs/>
                <w:sz w:val="20"/>
                <w:szCs w:val="20"/>
              </w:rPr>
              <w:t xml:space="preserve"> </w:t>
            </w:r>
            <w:r w:rsidRPr="005E7B6A">
              <w:rPr>
                <w:rFonts w:ascii="Times New Roman" w:hAnsi="Times New Roman" w:cs="Times New Roman"/>
                <w:bCs/>
                <w:sz w:val="20"/>
                <w:szCs w:val="20"/>
              </w:rPr>
              <w:t>médicos</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esto</w:t>
            </w:r>
            <w:r>
              <w:rPr>
                <w:rFonts w:ascii="Times New Roman" w:hAnsi="Times New Roman" w:cs="Times New Roman"/>
                <w:bCs/>
                <w:sz w:val="20"/>
                <w:szCs w:val="20"/>
              </w:rPr>
              <w:t xml:space="preserve"> </w:t>
            </w:r>
            <w:r w:rsidRPr="005E7B6A">
              <w:rPr>
                <w:rFonts w:ascii="Times New Roman" w:hAnsi="Times New Roman" w:cs="Times New Roman"/>
                <w:bCs/>
                <w:sz w:val="20"/>
                <w:szCs w:val="20"/>
              </w:rPr>
              <w:t>tiene</w:t>
            </w:r>
            <w:r>
              <w:rPr>
                <w:rFonts w:ascii="Times New Roman" w:hAnsi="Times New Roman" w:cs="Times New Roman"/>
                <w:bCs/>
                <w:sz w:val="20"/>
                <w:szCs w:val="20"/>
              </w:rPr>
              <w:t xml:space="preserve"> </w:t>
            </w:r>
            <w:r w:rsidRPr="005E7B6A">
              <w:rPr>
                <w:rFonts w:ascii="Times New Roman" w:hAnsi="Times New Roman" w:cs="Times New Roman"/>
                <w:bCs/>
                <w:sz w:val="20"/>
                <w:szCs w:val="20"/>
              </w:rPr>
              <w:t>un</w:t>
            </w:r>
            <w:r>
              <w:rPr>
                <w:rFonts w:ascii="Times New Roman" w:hAnsi="Times New Roman" w:cs="Times New Roman"/>
                <w:bCs/>
                <w:sz w:val="20"/>
                <w:szCs w:val="20"/>
              </w:rPr>
              <w:t xml:space="preserve"> </w:t>
            </w:r>
            <w:r w:rsidRPr="005E7B6A">
              <w:rPr>
                <w:rFonts w:ascii="Times New Roman" w:hAnsi="Times New Roman" w:cs="Times New Roman"/>
                <w:bCs/>
                <w:sz w:val="20"/>
                <w:szCs w:val="20"/>
              </w:rPr>
              <w:t>impacto</w:t>
            </w:r>
            <w:r>
              <w:rPr>
                <w:rFonts w:ascii="Times New Roman" w:hAnsi="Times New Roman" w:cs="Times New Roman"/>
                <w:bCs/>
                <w:sz w:val="20"/>
                <w:szCs w:val="20"/>
              </w:rPr>
              <w:t xml:space="preserve"> </w:t>
            </w:r>
            <w:r w:rsidRPr="005E7B6A">
              <w:rPr>
                <w:rFonts w:ascii="Times New Roman" w:hAnsi="Times New Roman" w:cs="Times New Roman"/>
                <w:bCs/>
                <w:sz w:val="20"/>
                <w:szCs w:val="20"/>
              </w:rPr>
              <w:t>directo</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un</w:t>
            </w:r>
            <w:r>
              <w:rPr>
                <w:rFonts w:ascii="Times New Roman" w:hAnsi="Times New Roman" w:cs="Times New Roman"/>
                <w:bCs/>
                <w:sz w:val="20"/>
                <w:szCs w:val="20"/>
              </w:rPr>
              <w:t xml:space="preserve"> </w:t>
            </w:r>
            <w:r w:rsidRPr="005E7B6A">
              <w:rPr>
                <w:rFonts w:ascii="Times New Roman" w:hAnsi="Times New Roman" w:cs="Times New Roman"/>
                <w:bCs/>
                <w:sz w:val="20"/>
                <w:szCs w:val="20"/>
              </w:rPr>
              <w:t>adecuado</w:t>
            </w:r>
            <w:r>
              <w:rPr>
                <w:rFonts w:ascii="Times New Roman" w:hAnsi="Times New Roman" w:cs="Times New Roman"/>
                <w:bCs/>
                <w:sz w:val="20"/>
                <w:szCs w:val="20"/>
              </w:rPr>
              <w:t xml:space="preserve"> </w:t>
            </w:r>
            <w:r w:rsidRPr="005E7B6A">
              <w:rPr>
                <w:rFonts w:ascii="Times New Roman" w:hAnsi="Times New Roman" w:cs="Times New Roman"/>
                <w:bCs/>
                <w:sz w:val="20"/>
                <w:szCs w:val="20"/>
              </w:rPr>
              <w:t>manejo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pacientes.</w:t>
            </w:r>
          </w:p>
        </w:tc>
        <w:tc>
          <w:tcPr>
            <w:tcW w:w="1275" w:type="dxa"/>
            <w:vAlign w:val="center"/>
          </w:tcPr>
          <w:p w14:paraId="05E6E828"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Este</w:t>
            </w:r>
            <w:r>
              <w:rPr>
                <w:rFonts w:ascii="Times New Roman" w:hAnsi="Times New Roman" w:cs="Times New Roman"/>
                <w:bCs/>
                <w:sz w:val="20"/>
                <w:szCs w:val="20"/>
              </w:rPr>
              <w:t xml:space="preserve"> </w:t>
            </w: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un</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problema</w:t>
            </w:r>
            <w:r>
              <w:rPr>
                <w:rFonts w:ascii="Times New Roman" w:hAnsi="Times New Roman" w:cs="Times New Roman"/>
                <w:bCs/>
                <w:sz w:val="20"/>
                <w:szCs w:val="20"/>
              </w:rPr>
              <w:t xml:space="preserve"> </w:t>
            </w:r>
            <w:r w:rsidRPr="005E7B6A">
              <w:rPr>
                <w:rFonts w:ascii="Times New Roman" w:hAnsi="Times New Roman" w:cs="Times New Roman"/>
                <w:bCs/>
                <w:sz w:val="20"/>
                <w:szCs w:val="20"/>
              </w:rPr>
              <w:t>común</w:t>
            </w:r>
            <w:r>
              <w:rPr>
                <w:rFonts w:ascii="Times New Roman" w:hAnsi="Times New Roman" w:cs="Times New Roman"/>
                <w:bCs/>
                <w:sz w:val="20"/>
                <w:szCs w:val="20"/>
              </w:rPr>
              <w:t xml:space="preserve"> </w:t>
            </w:r>
            <w:r w:rsidRPr="005E7B6A">
              <w:rPr>
                <w:rFonts w:ascii="Times New Roman" w:hAnsi="Times New Roman" w:cs="Times New Roman"/>
                <w:bCs/>
                <w:sz w:val="20"/>
                <w:szCs w:val="20"/>
              </w:rPr>
              <w:t>a</w:t>
            </w:r>
            <w:r>
              <w:rPr>
                <w:rFonts w:ascii="Times New Roman" w:hAnsi="Times New Roman" w:cs="Times New Roman"/>
                <w:bCs/>
                <w:sz w:val="20"/>
                <w:szCs w:val="20"/>
              </w:rPr>
              <w:t xml:space="preserve"> </w:t>
            </w:r>
            <w:r w:rsidRPr="005E7B6A">
              <w:rPr>
                <w:rFonts w:ascii="Times New Roman" w:hAnsi="Times New Roman" w:cs="Times New Roman"/>
                <w:bCs/>
                <w:sz w:val="20"/>
                <w:szCs w:val="20"/>
              </w:rPr>
              <w:t>todos</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países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región.</w:t>
            </w:r>
          </w:p>
        </w:tc>
        <w:tc>
          <w:tcPr>
            <w:tcW w:w="1701" w:type="dxa"/>
            <w:vAlign w:val="center"/>
          </w:tcPr>
          <w:p w14:paraId="066509E5"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Calidad,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seguridad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(protección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paciente,</w:t>
            </w:r>
            <w:r>
              <w:rPr>
                <w:rFonts w:ascii="Times New Roman" w:hAnsi="Times New Roman" w:cs="Times New Roman"/>
                <w:bCs/>
                <w:sz w:val="20"/>
                <w:szCs w:val="20"/>
              </w:rPr>
              <w:t xml:space="preserve"> </w:t>
            </w:r>
            <w:r w:rsidRPr="005E7B6A">
              <w:rPr>
                <w:rFonts w:ascii="Times New Roman" w:hAnsi="Times New Roman" w:cs="Times New Roman"/>
                <w:bCs/>
                <w:sz w:val="20"/>
                <w:szCs w:val="20"/>
              </w:rPr>
              <w:t>ocupacional</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ambiental)</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diagnóstico</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tratamiento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dependen</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gran</w:t>
            </w:r>
            <w:r>
              <w:rPr>
                <w:rFonts w:ascii="Times New Roman" w:hAnsi="Times New Roman" w:cs="Times New Roman"/>
                <w:bCs/>
                <w:sz w:val="20"/>
                <w:szCs w:val="20"/>
              </w:rPr>
              <w:t xml:space="preserve"> </w:t>
            </w:r>
            <w:r w:rsidRPr="005E7B6A">
              <w:rPr>
                <w:rFonts w:ascii="Times New Roman" w:hAnsi="Times New Roman" w:cs="Times New Roman"/>
                <w:bCs/>
                <w:sz w:val="20"/>
                <w:szCs w:val="20"/>
              </w:rPr>
              <w:t>medida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formación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calificada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físico</w:t>
            </w:r>
            <w:r>
              <w:rPr>
                <w:rFonts w:ascii="Times New Roman" w:hAnsi="Times New Roman" w:cs="Times New Roman"/>
                <w:bCs/>
                <w:sz w:val="20"/>
                <w:szCs w:val="20"/>
              </w:rPr>
              <w:t xml:space="preserve"> </w:t>
            </w:r>
            <w:r w:rsidRPr="005E7B6A">
              <w:rPr>
                <w:rFonts w:ascii="Times New Roman" w:hAnsi="Times New Roman" w:cs="Times New Roman"/>
                <w:bCs/>
                <w:sz w:val="20"/>
                <w:szCs w:val="20"/>
              </w:rPr>
              <w:t>medico</w:t>
            </w:r>
          </w:p>
        </w:tc>
        <w:tc>
          <w:tcPr>
            <w:tcW w:w="851" w:type="dxa"/>
            <w:vAlign w:val="center"/>
          </w:tcPr>
          <w:p w14:paraId="6D3954FB" w14:textId="77777777" w:rsidR="00AA7739" w:rsidRPr="005E7B6A" w:rsidRDefault="00AA7739" w:rsidP="009B6E81">
            <w:pPr>
              <w:spacing w:after="0"/>
              <w:jc w:val="center"/>
              <w:rPr>
                <w:rFonts w:ascii="Times New Roman" w:hAnsi="Times New Roman" w:cs="Times New Roman"/>
                <w:sz w:val="20"/>
                <w:szCs w:val="20"/>
              </w:rPr>
            </w:pPr>
          </w:p>
        </w:tc>
        <w:tc>
          <w:tcPr>
            <w:tcW w:w="1701" w:type="dxa"/>
            <w:vAlign w:val="center"/>
          </w:tcPr>
          <w:p w14:paraId="4B7E034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bCs/>
                <w:sz w:val="20"/>
                <w:szCs w:val="20"/>
              </w:rPr>
              <w:t>Identificación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candidatos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para</w:t>
            </w:r>
            <w:r>
              <w:rPr>
                <w:rFonts w:ascii="Times New Roman" w:hAnsi="Times New Roman" w:cs="Times New Roman"/>
                <w:bCs/>
                <w:sz w:val="20"/>
                <w:szCs w:val="20"/>
              </w:rPr>
              <w:t xml:space="preserve"> </w:t>
            </w:r>
            <w:r w:rsidRPr="005E7B6A">
              <w:rPr>
                <w:rFonts w:ascii="Times New Roman" w:hAnsi="Times New Roman" w:cs="Times New Roman"/>
                <w:bCs/>
                <w:sz w:val="20"/>
                <w:szCs w:val="20"/>
              </w:rPr>
              <w:t>entrenamiento,</w:t>
            </w:r>
            <w:r>
              <w:rPr>
                <w:rFonts w:ascii="Times New Roman" w:hAnsi="Times New Roman" w:cs="Times New Roman"/>
                <w:bCs/>
                <w:sz w:val="20"/>
                <w:szCs w:val="20"/>
              </w:rPr>
              <w:t xml:space="preserve"> </w:t>
            </w:r>
            <w:r w:rsidRPr="005E7B6A">
              <w:rPr>
                <w:rFonts w:ascii="Times New Roman" w:hAnsi="Times New Roman" w:cs="Times New Roman"/>
                <w:bCs/>
                <w:sz w:val="20"/>
                <w:szCs w:val="20"/>
              </w:rPr>
              <w:t>limitación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programas</w:t>
            </w:r>
            <w:r>
              <w:rPr>
                <w:rFonts w:ascii="Times New Roman" w:hAnsi="Times New Roman" w:cs="Times New Roman"/>
                <w:bCs/>
                <w:sz w:val="20"/>
                <w:szCs w:val="20"/>
              </w:rPr>
              <w:t xml:space="preserve"> </w:t>
            </w:r>
            <w:r w:rsidRPr="005E7B6A">
              <w:rPr>
                <w:rFonts w:ascii="Times New Roman" w:hAnsi="Times New Roman" w:cs="Times New Roman"/>
                <w:bCs/>
                <w:sz w:val="20"/>
                <w:szCs w:val="20"/>
              </w:rPr>
              <w:t>académicos,</w:t>
            </w:r>
            <w:r>
              <w:rPr>
                <w:rFonts w:ascii="Times New Roman" w:hAnsi="Times New Roman" w:cs="Times New Roman"/>
                <w:bCs/>
                <w:sz w:val="20"/>
                <w:szCs w:val="20"/>
              </w:rPr>
              <w:t xml:space="preserve"> </w:t>
            </w:r>
            <w:r w:rsidRPr="005E7B6A">
              <w:rPr>
                <w:rFonts w:ascii="Times New Roman" w:hAnsi="Times New Roman" w:cs="Times New Roman"/>
                <w:bCs/>
                <w:sz w:val="20"/>
                <w:szCs w:val="20"/>
              </w:rPr>
              <w:t>así</w:t>
            </w:r>
            <w:r>
              <w:rPr>
                <w:rFonts w:ascii="Times New Roman" w:hAnsi="Times New Roman" w:cs="Times New Roman"/>
                <w:bCs/>
                <w:sz w:val="20"/>
                <w:szCs w:val="20"/>
              </w:rPr>
              <w:t xml:space="preserve"> </w:t>
            </w:r>
            <w:r w:rsidRPr="005E7B6A">
              <w:rPr>
                <w:rFonts w:ascii="Times New Roman" w:hAnsi="Times New Roman" w:cs="Times New Roman"/>
                <w:bCs/>
                <w:sz w:val="20"/>
                <w:szCs w:val="20"/>
              </w:rPr>
              <w:t>como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formación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clínica,</w:t>
            </w:r>
            <w:r>
              <w:rPr>
                <w:rFonts w:ascii="Times New Roman" w:hAnsi="Times New Roman" w:cs="Times New Roman"/>
                <w:bCs/>
                <w:sz w:val="20"/>
                <w:szCs w:val="20"/>
              </w:rPr>
              <w:t xml:space="preserve"> </w:t>
            </w:r>
            <w:r w:rsidRPr="005E7B6A">
              <w:rPr>
                <w:rFonts w:ascii="Times New Roman" w:hAnsi="Times New Roman" w:cs="Times New Roman"/>
                <w:bCs/>
                <w:sz w:val="20"/>
                <w:szCs w:val="20"/>
              </w:rPr>
              <w:t>falta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reconocimiento</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profesional</w:t>
            </w:r>
            <w:r>
              <w:rPr>
                <w:rFonts w:ascii="Times New Roman" w:hAnsi="Times New Roman" w:cs="Times New Roman"/>
                <w:bCs/>
                <w:sz w:val="20"/>
                <w:szCs w:val="20"/>
              </w:rPr>
              <w:t xml:space="preserve"> </w:t>
            </w:r>
            <w:r w:rsidRPr="005E7B6A">
              <w:rPr>
                <w:rFonts w:ascii="Times New Roman" w:hAnsi="Times New Roman" w:cs="Times New Roman"/>
                <w:bCs/>
                <w:sz w:val="20"/>
                <w:szCs w:val="20"/>
              </w:rPr>
              <w:t>formal.</w:t>
            </w:r>
          </w:p>
        </w:tc>
        <w:tc>
          <w:tcPr>
            <w:tcW w:w="709" w:type="dxa"/>
            <w:vAlign w:val="center"/>
          </w:tcPr>
          <w:p w14:paraId="3C5018B3" w14:textId="77777777" w:rsidR="00AA7739" w:rsidRPr="005E7B6A" w:rsidRDefault="00AA7739" w:rsidP="009B6E81">
            <w:pPr>
              <w:spacing w:after="0"/>
              <w:jc w:val="center"/>
              <w:rPr>
                <w:rFonts w:ascii="Times New Roman" w:hAnsi="Times New Roman" w:cs="Times New Roman"/>
                <w:sz w:val="20"/>
                <w:szCs w:val="20"/>
              </w:rPr>
            </w:pPr>
          </w:p>
        </w:tc>
        <w:tc>
          <w:tcPr>
            <w:tcW w:w="850" w:type="dxa"/>
            <w:vAlign w:val="center"/>
          </w:tcPr>
          <w:p w14:paraId="67D0726D" w14:textId="77777777" w:rsidR="00AA7739" w:rsidRPr="005E7B6A" w:rsidRDefault="00AA7739" w:rsidP="009B6E81">
            <w:pPr>
              <w:spacing w:after="0"/>
              <w:jc w:val="center"/>
              <w:rPr>
                <w:rFonts w:ascii="Times New Roman" w:hAnsi="Times New Roman" w:cs="Times New Roman"/>
                <w:sz w:val="20"/>
                <w:szCs w:val="20"/>
              </w:rPr>
            </w:pPr>
          </w:p>
        </w:tc>
      </w:tr>
      <w:tr w:rsidR="00AA7739" w:rsidRPr="005E7B6A" w14:paraId="5161A170" w14:textId="77777777" w:rsidTr="009B6E81">
        <w:trPr>
          <w:trHeight w:val="509"/>
          <w:tblHeader/>
        </w:trPr>
        <w:tc>
          <w:tcPr>
            <w:tcW w:w="515" w:type="dxa"/>
            <w:vMerge w:val="restart"/>
            <w:shd w:val="clear" w:color="auto" w:fill="F79646" w:themeFill="accent6"/>
            <w:vAlign w:val="center"/>
            <w:hideMark/>
          </w:tcPr>
          <w:p w14:paraId="42568364" w14:textId="77777777" w:rsidR="00AA7739" w:rsidRPr="005E7B6A" w:rsidRDefault="00AA7739" w:rsidP="009B6E81">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2360" w:type="dxa"/>
            <w:vMerge w:val="restart"/>
            <w:vAlign w:val="center"/>
            <w:hideMark/>
          </w:tcPr>
          <w:p w14:paraId="0BFB58A4" w14:textId="77777777" w:rsidR="00AA7739" w:rsidRDefault="00AA7739" w:rsidP="009B6E81">
            <w:pPr>
              <w:spacing w:after="0"/>
              <w:jc w:val="center"/>
              <w:rPr>
                <w:rFonts w:ascii="Times New Roman" w:hAnsi="Times New Roman" w:cs="Times New Roman"/>
                <w:b/>
                <w:bCs/>
                <w:sz w:val="20"/>
                <w:szCs w:val="20"/>
              </w:rPr>
            </w:pPr>
            <w:r w:rsidRPr="005D0DEA">
              <w:rPr>
                <w:rFonts w:ascii="Times New Roman" w:hAnsi="Times New Roman" w:cs="Times New Roman"/>
                <w:b/>
                <w:bCs/>
                <w:sz w:val="20"/>
                <w:szCs w:val="20"/>
              </w:rPr>
              <w:t>S1</w:t>
            </w:r>
          </w:p>
          <w:p w14:paraId="44843FBA" w14:textId="77777777" w:rsidR="00AA7739" w:rsidRPr="005E7B6A" w:rsidRDefault="00AA7739" w:rsidP="009B6E81">
            <w:pPr>
              <w:spacing w:after="0"/>
              <w:jc w:val="center"/>
              <w:rPr>
                <w:rFonts w:ascii="Times New Roman" w:hAnsi="Times New Roman" w:cs="Times New Roman"/>
                <w:b/>
                <w:bCs/>
                <w:sz w:val="20"/>
                <w:szCs w:val="20"/>
              </w:rPr>
            </w:pPr>
            <w:r w:rsidRPr="005E7B6A">
              <w:rPr>
                <w:rFonts w:ascii="Times New Roman" w:hAnsi="Times New Roman" w:cs="Times New Roman"/>
                <w:b/>
                <w:bCs/>
                <w:sz w:val="20"/>
                <w:szCs w:val="20"/>
              </w:rPr>
              <w:lastRenderedPageBreak/>
              <w:t>Insuficiente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número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profesionales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capacitados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guías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clínicas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armonizadas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para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uso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nuevas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tecnologías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marco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multimodalidad</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imágenes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para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diagnóstico,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estratificación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riesgo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así</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como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guías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para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un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tratamiento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adecuado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enfermedades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cardiovasculares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cerebrovasculares.</w:t>
            </w:r>
          </w:p>
        </w:tc>
        <w:tc>
          <w:tcPr>
            <w:tcW w:w="1656" w:type="dxa"/>
            <w:vAlign w:val="center"/>
            <w:hideMark/>
          </w:tcPr>
          <w:p w14:paraId="208DAC99"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lastRenderedPageBreak/>
              <w:t>4.50</w:t>
            </w:r>
          </w:p>
        </w:tc>
        <w:tc>
          <w:tcPr>
            <w:tcW w:w="1560" w:type="dxa"/>
            <w:vAlign w:val="center"/>
            <w:hideMark/>
          </w:tcPr>
          <w:p w14:paraId="76231DE1"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1275" w:type="dxa"/>
            <w:vAlign w:val="center"/>
            <w:hideMark/>
          </w:tcPr>
          <w:p w14:paraId="3C3E38B3"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4.75</w:t>
            </w:r>
          </w:p>
        </w:tc>
        <w:tc>
          <w:tcPr>
            <w:tcW w:w="1701" w:type="dxa"/>
            <w:vAlign w:val="center"/>
            <w:hideMark/>
          </w:tcPr>
          <w:p w14:paraId="3A11FD86"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4.50</w:t>
            </w:r>
          </w:p>
        </w:tc>
        <w:tc>
          <w:tcPr>
            <w:tcW w:w="851" w:type="dxa"/>
            <w:vAlign w:val="center"/>
            <w:hideMark/>
          </w:tcPr>
          <w:p w14:paraId="5F37D6FE"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17.75</w:t>
            </w:r>
          </w:p>
        </w:tc>
        <w:tc>
          <w:tcPr>
            <w:tcW w:w="1701" w:type="dxa"/>
            <w:vAlign w:val="center"/>
            <w:hideMark/>
          </w:tcPr>
          <w:p w14:paraId="7C3FBBE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2.00</w:t>
            </w:r>
          </w:p>
        </w:tc>
        <w:tc>
          <w:tcPr>
            <w:tcW w:w="709" w:type="dxa"/>
            <w:vAlign w:val="center"/>
            <w:hideMark/>
          </w:tcPr>
          <w:p w14:paraId="34181011"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2.25</w:t>
            </w:r>
          </w:p>
        </w:tc>
        <w:tc>
          <w:tcPr>
            <w:tcW w:w="850" w:type="dxa"/>
            <w:vAlign w:val="center"/>
            <w:hideMark/>
          </w:tcPr>
          <w:p w14:paraId="1A2D27EE"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39.94</w:t>
            </w:r>
          </w:p>
        </w:tc>
      </w:tr>
      <w:tr w:rsidR="00AA7739" w:rsidRPr="005E7B6A" w14:paraId="23377A04" w14:textId="77777777" w:rsidTr="009B6E81">
        <w:trPr>
          <w:trHeight w:val="2152"/>
          <w:tblHeader/>
        </w:trPr>
        <w:tc>
          <w:tcPr>
            <w:tcW w:w="515" w:type="dxa"/>
            <w:vMerge/>
            <w:shd w:val="clear" w:color="auto" w:fill="F79646" w:themeFill="accent6"/>
            <w:vAlign w:val="center"/>
          </w:tcPr>
          <w:p w14:paraId="297B2692" w14:textId="77777777" w:rsidR="00AA7739" w:rsidRPr="005E7B6A" w:rsidRDefault="00AA7739" w:rsidP="009B6E81">
            <w:pPr>
              <w:spacing w:after="0"/>
              <w:jc w:val="center"/>
              <w:rPr>
                <w:rFonts w:ascii="Times New Roman" w:hAnsi="Times New Roman" w:cs="Times New Roman"/>
                <w:sz w:val="20"/>
                <w:szCs w:val="20"/>
              </w:rPr>
            </w:pPr>
          </w:p>
        </w:tc>
        <w:tc>
          <w:tcPr>
            <w:tcW w:w="2360" w:type="dxa"/>
            <w:vMerge/>
            <w:vAlign w:val="center"/>
          </w:tcPr>
          <w:p w14:paraId="7483838E" w14:textId="77777777" w:rsidR="00AA7739" w:rsidRPr="005E7B6A" w:rsidRDefault="00AA7739" w:rsidP="009B6E81">
            <w:pPr>
              <w:spacing w:after="0"/>
              <w:jc w:val="center"/>
              <w:rPr>
                <w:rFonts w:ascii="Times New Roman" w:hAnsi="Times New Roman" w:cs="Times New Roman"/>
                <w:b/>
                <w:bCs/>
                <w:sz w:val="20"/>
                <w:szCs w:val="20"/>
              </w:rPr>
            </w:pPr>
          </w:p>
        </w:tc>
        <w:tc>
          <w:tcPr>
            <w:tcW w:w="1656" w:type="dxa"/>
            <w:vAlign w:val="center"/>
          </w:tcPr>
          <w:p w14:paraId="745ADA97"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enfermedades</w:t>
            </w:r>
            <w:r>
              <w:rPr>
                <w:rFonts w:ascii="Times New Roman" w:hAnsi="Times New Roman" w:cs="Times New Roman"/>
                <w:sz w:val="20"/>
                <w:szCs w:val="20"/>
              </w:rPr>
              <w:t xml:space="preserve"> </w:t>
            </w:r>
            <w:r w:rsidRPr="005E7B6A">
              <w:rPr>
                <w:rFonts w:ascii="Times New Roman" w:hAnsi="Times New Roman" w:cs="Times New Roman"/>
                <w:sz w:val="20"/>
                <w:szCs w:val="20"/>
              </w:rPr>
              <w:t>cardiovasculares,</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su</w:t>
            </w:r>
            <w:r>
              <w:rPr>
                <w:rFonts w:ascii="Times New Roman" w:hAnsi="Times New Roman" w:cs="Times New Roman"/>
                <w:sz w:val="20"/>
                <w:szCs w:val="20"/>
              </w:rPr>
              <w:t xml:space="preserve"> </w:t>
            </w:r>
            <w:r w:rsidRPr="005E7B6A">
              <w:rPr>
                <w:rFonts w:ascii="Times New Roman" w:hAnsi="Times New Roman" w:cs="Times New Roman"/>
                <w:sz w:val="20"/>
                <w:szCs w:val="20"/>
              </w:rPr>
              <w:t>mayoría</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origen</w:t>
            </w:r>
            <w:r>
              <w:rPr>
                <w:rFonts w:ascii="Times New Roman" w:hAnsi="Times New Roman" w:cs="Times New Roman"/>
                <w:sz w:val="20"/>
                <w:szCs w:val="20"/>
              </w:rPr>
              <w:t xml:space="preserve"> </w:t>
            </w:r>
            <w:r w:rsidRPr="005E7B6A">
              <w:rPr>
                <w:rFonts w:ascii="Times New Roman" w:hAnsi="Times New Roman" w:cs="Times New Roman"/>
                <w:sz w:val="20"/>
                <w:szCs w:val="20"/>
              </w:rPr>
              <w:t>aterosclerótico,</w:t>
            </w:r>
            <w:r>
              <w:rPr>
                <w:rFonts w:ascii="Times New Roman" w:hAnsi="Times New Roman" w:cs="Times New Roman"/>
                <w:sz w:val="20"/>
                <w:szCs w:val="20"/>
              </w:rPr>
              <w:t xml:space="preserve"> </w:t>
            </w:r>
            <w:r w:rsidRPr="005E7B6A">
              <w:rPr>
                <w:rFonts w:ascii="Times New Roman" w:hAnsi="Times New Roman" w:cs="Times New Roman"/>
                <w:sz w:val="20"/>
                <w:szCs w:val="20"/>
              </w:rPr>
              <w:t>son</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causa</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mortalidad</w:t>
            </w:r>
            <w:r>
              <w:rPr>
                <w:rFonts w:ascii="Times New Roman" w:hAnsi="Times New Roman" w:cs="Times New Roman"/>
                <w:sz w:val="20"/>
                <w:szCs w:val="20"/>
              </w:rPr>
              <w:t xml:space="preserve"> </w:t>
            </w:r>
            <w:r w:rsidRPr="005E7B6A">
              <w:rPr>
                <w:rFonts w:ascii="Times New Roman" w:hAnsi="Times New Roman" w:cs="Times New Roman"/>
                <w:sz w:val="20"/>
                <w:szCs w:val="20"/>
              </w:rPr>
              <w:t>más</w:t>
            </w:r>
            <w:r>
              <w:rPr>
                <w:rFonts w:ascii="Times New Roman" w:hAnsi="Times New Roman" w:cs="Times New Roman"/>
                <w:sz w:val="20"/>
                <w:szCs w:val="20"/>
              </w:rPr>
              <w:t xml:space="preserve"> </w:t>
            </w:r>
            <w:r w:rsidRPr="005E7B6A">
              <w:rPr>
                <w:rFonts w:ascii="Times New Roman" w:hAnsi="Times New Roman" w:cs="Times New Roman"/>
                <w:sz w:val="20"/>
                <w:szCs w:val="20"/>
              </w:rPr>
              <w:t>frecuente</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r>
              <w:rPr>
                <w:rFonts w:ascii="Times New Roman" w:hAnsi="Times New Roman" w:cs="Times New Roman"/>
                <w:sz w:val="20"/>
                <w:szCs w:val="20"/>
              </w:rPr>
              <w:t xml:space="preserve"> </w:t>
            </w:r>
            <w:r w:rsidRPr="005E7B6A">
              <w:rPr>
                <w:rFonts w:ascii="Times New Roman" w:hAnsi="Times New Roman" w:cs="Times New Roman"/>
                <w:sz w:val="20"/>
                <w:szCs w:val="20"/>
              </w:rPr>
              <w:t>Tanto</w:t>
            </w:r>
            <w:r>
              <w:rPr>
                <w:rFonts w:ascii="Times New Roman" w:hAnsi="Times New Roman" w:cs="Times New Roman"/>
                <w:sz w:val="20"/>
                <w:szCs w:val="20"/>
              </w:rPr>
              <w:t xml:space="preserve"> </w:t>
            </w: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enfermedades</w:t>
            </w:r>
            <w:r>
              <w:rPr>
                <w:rFonts w:ascii="Times New Roman" w:hAnsi="Times New Roman" w:cs="Times New Roman"/>
                <w:sz w:val="20"/>
                <w:szCs w:val="20"/>
              </w:rPr>
              <w:t xml:space="preserve"> </w:t>
            </w:r>
            <w:r w:rsidRPr="005E7B6A">
              <w:rPr>
                <w:rFonts w:ascii="Times New Roman" w:hAnsi="Times New Roman" w:cs="Times New Roman"/>
                <w:sz w:val="20"/>
                <w:szCs w:val="20"/>
              </w:rPr>
              <w:t>cardiovasculares</w:t>
            </w:r>
            <w:r>
              <w:rPr>
                <w:rFonts w:ascii="Times New Roman" w:hAnsi="Times New Roman" w:cs="Times New Roman"/>
                <w:sz w:val="20"/>
                <w:szCs w:val="20"/>
              </w:rPr>
              <w:t xml:space="preserve"> </w:t>
            </w:r>
            <w:r w:rsidRPr="005E7B6A">
              <w:rPr>
                <w:rFonts w:ascii="Times New Roman" w:hAnsi="Times New Roman" w:cs="Times New Roman"/>
                <w:sz w:val="20"/>
                <w:szCs w:val="20"/>
              </w:rPr>
              <w:t>como</w:t>
            </w:r>
            <w:r>
              <w:rPr>
                <w:rFonts w:ascii="Times New Roman" w:hAnsi="Times New Roman" w:cs="Times New Roman"/>
                <w:sz w:val="20"/>
                <w:szCs w:val="20"/>
              </w:rPr>
              <w:t xml:space="preserve"> </w:t>
            </w: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cerebrovasculares</w:t>
            </w:r>
            <w:r>
              <w:rPr>
                <w:rFonts w:ascii="Times New Roman" w:hAnsi="Times New Roman" w:cs="Times New Roman"/>
                <w:sz w:val="20"/>
                <w:szCs w:val="20"/>
              </w:rPr>
              <w:t xml:space="preserve"> </w:t>
            </w:r>
            <w:r w:rsidRPr="005E7B6A">
              <w:rPr>
                <w:rFonts w:ascii="Times New Roman" w:hAnsi="Times New Roman" w:cs="Times New Roman"/>
                <w:sz w:val="20"/>
                <w:szCs w:val="20"/>
              </w:rPr>
              <w:t>experimentan</w:t>
            </w:r>
            <w:r>
              <w:rPr>
                <w:rFonts w:ascii="Times New Roman" w:hAnsi="Times New Roman" w:cs="Times New Roman"/>
                <w:sz w:val="20"/>
                <w:szCs w:val="20"/>
              </w:rPr>
              <w:t xml:space="preserve"> </w:t>
            </w:r>
            <w:r w:rsidRPr="005E7B6A">
              <w:rPr>
                <w:rFonts w:ascii="Times New Roman" w:hAnsi="Times New Roman" w:cs="Times New Roman"/>
                <w:sz w:val="20"/>
                <w:szCs w:val="20"/>
              </w:rPr>
              <w:t>un</w:t>
            </w:r>
            <w:r>
              <w:rPr>
                <w:rFonts w:ascii="Times New Roman" w:hAnsi="Times New Roman" w:cs="Times New Roman"/>
                <w:sz w:val="20"/>
                <w:szCs w:val="20"/>
              </w:rPr>
              <w:t xml:space="preserve"> </w:t>
            </w:r>
            <w:r w:rsidRPr="005E7B6A">
              <w:rPr>
                <w:rFonts w:ascii="Times New Roman" w:hAnsi="Times New Roman" w:cs="Times New Roman"/>
                <w:sz w:val="20"/>
                <w:szCs w:val="20"/>
              </w:rPr>
              <w:t>incremento</w:t>
            </w:r>
            <w:r>
              <w:rPr>
                <w:rFonts w:ascii="Times New Roman" w:hAnsi="Times New Roman" w:cs="Times New Roman"/>
                <w:sz w:val="20"/>
                <w:szCs w:val="20"/>
              </w:rPr>
              <w:t xml:space="preserve"> </w:t>
            </w:r>
            <w:r w:rsidRPr="005E7B6A">
              <w:rPr>
                <w:rFonts w:ascii="Times New Roman" w:hAnsi="Times New Roman" w:cs="Times New Roman"/>
                <w:sz w:val="20"/>
                <w:szCs w:val="20"/>
              </w:rPr>
              <w:t>debido</w:t>
            </w:r>
            <w:r>
              <w:rPr>
                <w:rFonts w:ascii="Times New Roman" w:hAnsi="Times New Roman" w:cs="Times New Roman"/>
                <w:sz w:val="20"/>
                <w:szCs w:val="20"/>
              </w:rPr>
              <w:t xml:space="preserve"> </w:t>
            </w:r>
            <w:r w:rsidRPr="005E7B6A">
              <w:rPr>
                <w:rFonts w:ascii="Times New Roman" w:hAnsi="Times New Roman" w:cs="Times New Roman"/>
                <w:sz w:val="20"/>
                <w:szCs w:val="20"/>
              </w:rPr>
              <w:t>a</w:t>
            </w:r>
            <w:r>
              <w:rPr>
                <w:rFonts w:ascii="Times New Roman" w:hAnsi="Times New Roman" w:cs="Times New Roman"/>
                <w:sz w:val="20"/>
                <w:szCs w:val="20"/>
              </w:rPr>
              <w:t xml:space="preserve"> </w:t>
            </w:r>
            <w:r w:rsidRPr="005E7B6A">
              <w:rPr>
                <w:rFonts w:ascii="Times New Roman" w:hAnsi="Times New Roman" w:cs="Times New Roman"/>
                <w:sz w:val="20"/>
                <w:szCs w:val="20"/>
              </w:rPr>
              <w:t>factores</w:t>
            </w:r>
            <w:r>
              <w:rPr>
                <w:rFonts w:ascii="Times New Roman" w:hAnsi="Times New Roman" w:cs="Times New Roman"/>
                <w:sz w:val="20"/>
                <w:szCs w:val="20"/>
              </w:rPr>
              <w:t xml:space="preserve"> </w:t>
            </w:r>
            <w:r w:rsidRPr="005E7B6A">
              <w:rPr>
                <w:rFonts w:ascii="Times New Roman" w:hAnsi="Times New Roman" w:cs="Times New Roman"/>
                <w:sz w:val="20"/>
                <w:szCs w:val="20"/>
              </w:rPr>
              <w:t>demográficos</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riesgo.</w:t>
            </w:r>
          </w:p>
        </w:tc>
        <w:tc>
          <w:tcPr>
            <w:tcW w:w="1560" w:type="dxa"/>
            <w:vAlign w:val="center"/>
          </w:tcPr>
          <w:p w14:paraId="5C80C45F"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sz w:val="20"/>
                <w:szCs w:val="20"/>
              </w:rPr>
              <w:t>Es</w:t>
            </w:r>
            <w:r>
              <w:rPr>
                <w:rFonts w:ascii="Times New Roman" w:hAnsi="Times New Roman" w:cs="Times New Roman"/>
                <w:sz w:val="20"/>
                <w:szCs w:val="20"/>
              </w:rPr>
              <w:t xml:space="preserve"> </w:t>
            </w:r>
            <w:r w:rsidRPr="005E7B6A">
              <w:rPr>
                <w:rFonts w:ascii="Times New Roman" w:hAnsi="Times New Roman" w:cs="Times New Roman"/>
                <w:sz w:val="20"/>
                <w:szCs w:val="20"/>
              </w:rPr>
              <w:t>una</w:t>
            </w:r>
            <w:r>
              <w:rPr>
                <w:rFonts w:ascii="Times New Roman" w:hAnsi="Times New Roman" w:cs="Times New Roman"/>
                <w:sz w:val="20"/>
                <w:szCs w:val="20"/>
              </w:rPr>
              <w:t xml:space="preserve"> </w:t>
            </w:r>
            <w:r w:rsidRPr="005E7B6A">
              <w:rPr>
                <w:rFonts w:ascii="Times New Roman" w:hAnsi="Times New Roman" w:cs="Times New Roman"/>
                <w:sz w:val="20"/>
                <w:szCs w:val="20"/>
              </w:rPr>
              <w:t>situación</w:t>
            </w:r>
            <w:r>
              <w:rPr>
                <w:rFonts w:ascii="Times New Roman" w:hAnsi="Times New Roman" w:cs="Times New Roman"/>
                <w:sz w:val="20"/>
                <w:szCs w:val="20"/>
              </w:rPr>
              <w:t xml:space="preserve"> </w:t>
            </w:r>
            <w:r w:rsidRPr="005E7B6A">
              <w:rPr>
                <w:rFonts w:ascii="Times New Roman" w:hAnsi="Times New Roman" w:cs="Times New Roman"/>
                <w:sz w:val="20"/>
                <w:szCs w:val="20"/>
              </w:rPr>
              <w:t>que</w:t>
            </w:r>
            <w:r>
              <w:rPr>
                <w:rFonts w:ascii="Times New Roman" w:hAnsi="Times New Roman" w:cs="Times New Roman"/>
                <w:sz w:val="20"/>
                <w:szCs w:val="20"/>
              </w:rPr>
              <w:t xml:space="preserve"> </w:t>
            </w:r>
            <w:r w:rsidRPr="005E7B6A">
              <w:rPr>
                <w:rFonts w:ascii="Times New Roman" w:hAnsi="Times New Roman" w:cs="Times New Roman"/>
                <w:sz w:val="20"/>
                <w:szCs w:val="20"/>
              </w:rPr>
              <w:t>debe</w:t>
            </w:r>
            <w:r>
              <w:rPr>
                <w:rFonts w:ascii="Times New Roman" w:hAnsi="Times New Roman" w:cs="Times New Roman"/>
                <w:sz w:val="20"/>
                <w:szCs w:val="20"/>
              </w:rPr>
              <w:t xml:space="preserve"> </w:t>
            </w:r>
            <w:r w:rsidRPr="005E7B6A">
              <w:rPr>
                <w:rFonts w:ascii="Times New Roman" w:hAnsi="Times New Roman" w:cs="Times New Roman"/>
                <w:sz w:val="20"/>
                <w:szCs w:val="20"/>
              </w:rPr>
              <w:t>abordarse</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forma</w:t>
            </w:r>
            <w:r>
              <w:rPr>
                <w:rFonts w:ascii="Times New Roman" w:hAnsi="Times New Roman" w:cs="Times New Roman"/>
                <w:sz w:val="20"/>
                <w:szCs w:val="20"/>
              </w:rPr>
              <w:t xml:space="preserve"> </w:t>
            </w:r>
            <w:r w:rsidRPr="005E7B6A">
              <w:rPr>
                <w:rFonts w:ascii="Times New Roman" w:hAnsi="Times New Roman" w:cs="Times New Roman"/>
                <w:sz w:val="20"/>
                <w:szCs w:val="20"/>
              </w:rPr>
              <w:t>prioritaria.</w:t>
            </w:r>
            <w:r>
              <w:rPr>
                <w:rFonts w:ascii="Times New Roman" w:hAnsi="Times New Roman" w:cs="Times New Roman"/>
                <w:sz w:val="20"/>
                <w:szCs w:val="20"/>
              </w:rPr>
              <w:t xml:space="preserve"> </w:t>
            </w:r>
            <w:r w:rsidRPr="005E7B6A">
              <w:rPr>
                <w:rFonts w:ascii="Times New Roman" w:hAnsi="Times New Roman" w:cs="Times New Roman"/>
                <w:sz w:val="20"/>
                <w:szCs w:val="20"/>
              </w:rPr>
              <w:t>Los</w:t>
            </w:r>
            <w:r>
              <w:rPr>
                <w:rFonts w:ascii="Times New Roman" w:hAnsi="Times New Roman" w:cs="Times New Roman"/>
                <w:sz w:val="20"/>
                <w:szCs w:val="20"/>
              </w:rPr>
              <w:t xml:space="preserve"> </w:t>
            </w:r>
            <w:r w:rsidRPr="005E7B6A">
              <w:rPr>
                <w:rFonts w:ascii="Times New Roman" w:hAnsi="Times New Roman" w:cs="Times New Roman"/>
                <w:sz w:val="20"/>
                <w:szCs w:val="20"/>
              </w:rPr>
              <w:t>pacientes</w:t>
            </w:r>
            <w:r>
              <w:rPr>
                <w:rFonts w:ascii="Times New Roman" w:hAnsi="Times New Roman" w:cs="Times New Roman"/>
                <w:sz w:val="20"/>
                <w:szCs w:val="20"/>
              </w:rPr>
              <w:t xml:space="preserve"> </w:t>
            </w:r>
            <w:r w:rsidRPr="005E7B6A">
              <w:rPr>
                <w:rFonts w:ascii="Times New Roman" w:hAnsi="Times New Roman" w:cs="Times New Roman"/>
                <w:sz w:val="20"/>
                <w:szCs w:val="20"/>
              </w:rPr>
              <w:t>que</w:t>
            </w:r>
            <w:r>
              <w:rPr>
                <w:rFonts w:ascii="Times New Roman" w:hAnsi="Times New Roman" w:cs="Times New Roman"/>
                <w:sz w:val="20"/>
                <w:szCs w:val="20"/>
              </w:rPr>
              <w:t xml:space="preserve"> </w:t>
            </w:r>
            <w:r w:rsidRPr="005E7B6A">
              <w:rPr>
                <w:rFonts w:ascii="Times New Roman" w:hAnsi="Times New Roman" w:cs="Times New Roman"/>
                <w:sz w:val="20"/>
                <w:szCs w:val="20"/>
              </w:rPr>
              <w:t>ya</w:t>
            </w:r>
            <w:r>
              <w:rPr>
                <w:rFonts w:ascii="Times New Roman" w:hAnsi="Times New Roman" w:cs="Times New Roman"/>
                <w:sz w:val="20"/>
                <w:szCs w:val="20"/>
              </w:rPr>
              <w:t xml:space="preserve"> </w:t>
            </w:r>
            <w:r w:rsidRPr="005E7B6A">
              <w:rPr>
                <w:rFonts w:ascii="Times New Roman" w:hAnsi="Times New Roman" w:cs="Times New Roman"/>
                <w:sz w:val="20"/>
                <w:szCs w:val="20"/>
              </w:rPr>
              <w:t>tienen</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enfermedad,</w:t>
            </w:r>
            <w:r>
              <w:rPr>
                <w:rFonts w:ascii="Times New Roman" w:hAnsi="Times New Roman" w:cs="Times New Roman"/>
                <w:sz w:val="20"/>
                <w:szCs w:val="20"/>
              </w:rPr>
              <w:t xml:space="preserve"> </w:t>
            </w:r>
            <w:r w:rsidRPr="005E7B6A">
              <w:rPr>
                <w:rFonts w:ascii="Times New Roman" w:hAnsi="Times New Roman" w:cs="Times New Roman"/>
                <w:sz w:val="20"/>
                <w:szCs w:val="20"/>
              </w:rPr>
              <w:t>necesitan</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un</w:t>
            </w:r>
            <w:r>
              <w:rPr>
                <w:rFonts w:ascii="Times New Roman" w:hAnsi="Times New Roman" w:cs="Times New Roman"/>
                <w:sz w:val="20"/>
                <w:szCs w:val="20"/>
              </w:rPr>
              <w:t xml:space="preserve"> </w:t>
            </w:r>
            <w:r w:rsidRPr="005E7B6A">
              <w:rPr>
                <w:rFonts w:ascii="Times New Roman" w:hAnsi="Times New Roman" w:cs="Times New Roman"/>
                <w:sz w:val="20"/>
                <w:szCs w:val="20"/>
              </w:rPr>
              <w:t>diagnóstico</w:t>
            </w:r>
            <w:r>
              <w:rPr>
                <w:rFonts w:ascii="Times New Roman" w:hAnsi="Times New Roman" w:cs="Times New Roman"/>
                <w:sz w:val="20"/>
                <w:szCs w:val="20"/>
              </w:rPr>
              <w:t xml:space="preserve"> </w:t>
            </w:r>
            <w:r w:rsidRPr="005E7B6A">
              <w:rPr>
                <w:rFonts w:ascii="Times New Roman" w:hAnsi="Times New Roman" w:cs="Times New Roman"/>
                <w:sz w:val="20"/>
                <w:szCs w:val="20"/>
              </w:rPr>
              <w:t>oportuno</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certero</w:t>
            </w:r>
            <w:r>
              <w:rPr>
                <w:rFonts w:ascii="Times New Roman" w:hAnsi="Times New Roman" w:cs="Times New Roman"/>
                <w:sz w:val="20"/>
                <w:szCs w:val="20"/>
              </w:rPr>
              <w:t xml:space="preserve"> </w:t>
            </w:r>
            <w:r w:rsidRPr="005E7B6A">
              <w:rPr>
                <w:rFonts w:ascii="Times New Roman" w:hAnsi="Times New Roman" w:cs="Times New Roman"/>
                <w:sz w:val="20"/>
                <w:szCs w:val="20"/>
              </w:rPr>
              <w:t>que</w:t>
            </w:r>
            <w:r>
              <w:rPr>
                <w:rFonts w:ascii="Times New Roman" w:hAnsi="Times New Roman" w:cs="Times New Roman"/>
                <w:sz w:val="20"/>
                <w:szCs w:val="20"/>
              </w:rPr>
              <w:t xml:space="preserve"> </w:t>
            </w:r>
            <w:r w:rsidRPr="005E7B6A">
              <w:rPr>
                <w:rFonts w:ascii="Times New Roman" w:hAnsi="Times New Roman" w:cs="Times New Roman"/>
                <w:sz w:val="20"/>
                <w:szCs w:val="20"/>
              </w:rPr>
              <w:t>guíe</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terapéutica</w:t>
            </w:r>
          </w:p>
        </w:tc>
        <w:tc>
          <w:tcPr>
            <w:tcW w:w="1275" w:type="dxa"/>
            <w:vAlign w:val="center"/>
          </w:tcPr>
          <w:p w14:paraId="52FA518B"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sz w:val="20"/>
                <w:szCs w:val="20"/>
              </w:rPr>
              <w:t>Es</w:t>
            </w:r>
            <w:r>
              <w:rPr>
                <w:rFonts w:ascii="Times New Roman" w:hAnsi="Times New Roman" w:cs="Times New Roman"/>
                <w:sz w:val="20"/>
                <w:szCs w:val="20"/>
              </w:rPr>
              <w:t xml:space="preserve"> </w:t>
            </w:r>
            <w:r w:rsidRPr="005E7B6A">
              <w:rPr>
                <w:rFonts w:ascii="Times New Roman" w:hAnsi="Times New Roman" w:cs="Times New Roman"/>
                <w:sz w:val="20"/>
                <w:szCs w:val="20"/>
              </w:rPr>
              <w:t>un</w:t>
            </w:r>
            <w:r>
              <w:rPr>
                <w:rFonts w:ascii="Times New Roman" w:hAnsi="Times New Roman" w:cs="Times New Roman"/>
                <w:sz w:val="20"/>
                <w:szCs w:val="20"/>
              </w:rPr>
              <w:t xml:space="preserve"> </w:t>
            </w:r>
            <w:r w:rsidRPr="005E7B6A">
              <w:rPr>
                <w:rFonts w:ascii="Times New Roman" w:hAnsi="Times New Roman" w:cs="Times New Roman"/>
                <w:sz w:val="20"/>
                <w:szCs w:val="20"/>
              </w:rPr>
              <w:t>problema</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salud</w:t>
            </w:r>
            <w:r>
              <w:rPr>
                <w:rFonts w:ascii="Times New Roman" w:hAnsi="Times New Roman" w:cs="Times New Roman"/>
                <w:sz w:val="20"/>
                <w:szCs w:val="20"/>
              </w:rPr>
              <w:t xml:space="preserve"> </w:t>
            </w:r>
            <w:r w:rsidRPr="005E7B6A">
              <w:rPr>
                <w:rFonts w:ascii="Times New Roman" w:hAnsi="Times New Roman" w:cs="Times New Roman"/>
                <w:sz w:val="20"/>
                <w:szCs w:val="20"/>
              </w:rPr>
              <w:t>importante</w:t>
            </w:r>
            <w:r>
              <w:rPr>
                <w:rFonts w:ascii="Times New Roman" w:hAnsi="Times New Roman" w:cs="Times New Roman"/>
                <w:sz w:val="20"/>
                <w:szCs w:val="20"/>
              </w:rPr>
              <w:t xml:space="preserve"> </w:t>
            </w:r>
            <w:r w:rsidRPr="005E7B6A">
              <w:rPr>
                <w:rFonts w:ascii="Times New Roman" w:hAnsi="Times New Roman" w:cs="Times New Roman"/>
                <w:sz w:val="20"/>
                <w:szCs w:val="20"/>
              </w:rPr>
              <w:t>para</w:t>
            </w:r>
            <w:r>
              <w:rPr>
                <w:rFonts w:ascii="Times New Roman" w:hAnsi="Times New Roman" w:cs="Times New Roman"/>
                <w:sz w:val="20"/>
                <w:szCs w:val="20"/>
              </w:rPr>
              <w:t xml:space="preserve"> </w:t>
            </w:r>
            <w:r w:rsidRPr="005E7B6A">
              <w:rPr>
                <w:rFonts w:ascii="Times New Roman" w:hAnsi="Times New Roman" w:cs="Times New Roman"/>
                <w:sz w:val="20"/>
                <w:szCs w:val="20"/>
              </w:rPr>
              <w:t>toda</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p>
        </w:tc>
        <w:tc>
          <w:tcPr>
            <w:tcW w:w="1701" w:type="dxa"/>
            <w:vAlign w:val="center"/>
          </w:tcPr>
          <w:p w14:paraId="681723F3"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técnicas</w:t>
            </w:r>
            <w:r>
              <w:rPr>
                <w:rFonts w:ascii="Times New Roman" w:hAnsi="Times New Roman" w:cs="Times New Roman"/>
                <w:sz w:val="20"/>
                <w:szCs w:val="20"/>
              </w:rPr>
              <w:t xml:space="preserve"> </w:t>
            </w:r>
            <w:r w:rsidRPr="005E7B6A">
              <w:rPr>
                <w:rFonts w:ascii="Times New Roman" w:hAnsi="Times New Roman" w:cs="Times New Roman"/>
                <w:sz w:val="20"/>
                <w:szCs w:val="20"/>
              </w:rPr>
              <w:t>nucleares</w:t>
            </w:r>
            <w:r>
              <w:rPr>
                <w:rFonts w:ascii="Times New Roman" w:hAnsi="Times New Roman" w:cs="Times New Roman"/>
                <w:sz w:val="20"/>
                <w:szCs w:val="20"/>
              </w:rPr>
              <w:t xml:space="preserve"> </w:t>
            </w:r>
            <w:r w:rsidRPr="005E7B6A">
              <w:rPr>
                <w:rFonts w:ascii="Times New Roman" w:hAnsi="Times New Roman" w:cs="Times New Roman"/>
                <w:sz w:val="20"/>
                <w:szCs w:val="20"/>
              </w:rPr>
              <w:t>son</w:t>
            </w:r>
            <w:r>
              <w:rPr>
                <w:rFonts w:ascii="Times New Roman" w:hAnsi="Times New Roman" w:cs="Times New Roman"/>
                <w:sz w:val="20"/>
                <w:szCs w:val="20"/>
              </w:rPr>
              <w:t xml:space="preserve"> </w:t>
            </w:r>
            <w:r w:rsidRPr="005E7B6A">
              <w:rPr>
                <w:rFonts w:ascii="Times New Roman" w:hAnsi="Times New Roman" w:cs="Times New Roman"/>
                <w:sz w:val="20"/>
                <w:szCs w:val="20"/>
              </w:rPr>
              <w:t>esenciales</w:t>
            </w:r>
            <w:r>
              <w:rPr>
                <w:rFonts w:ascii="Times New Roman" w:hAnsi="Times New Roman" w:cs="Times New Roman"/>
                <w:sz w:val="20"/>
                <w:szCs w:val="20"/>
              </w:rPr>
              <w:t xml:space="preserve"> </w:t>
            </w:r>
            <w:r w:rsidRPr="005E7B6A">
              <w:rPr>
                <w:rFonts w:ascii="Times New Roman" w:hAnsi="Times New Roman" w:cs="Times New Roman"/>
                <w:sz w:val="20"/>
                <w:szCs w:val="20"/>
              </w:rPr>
              <w:t>para</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detección</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isquemia</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juegan</w:t>
            </w:r>
            <w:r>
              <w:rPr>
                <w:rFonts w:ascii="Times New Roman" w:hAnsi="Times New Roman" w:cs="Times New Roman"/>
                <w:sz w:val="20"/>
                <w:szCs w:val="20"/>
              </w:rPr>
              <w:t xml:space="preserve"> </w:t>
            </w:r>
            <w:r w:rsidRPr="005E7B6A">
              <w:rPr>
                <w:rFonts w:ascii="Times New Roman" w:hAnsi="Times New Roman" w:cs="Times New Roman"/>
                <w:sz w:val="20"/>
                <w:szCs w:val="20"/>
              </w:rPr>
              <w:t>un</w:t>
            </w:r>
            <w:r>
              <w:rPr>
                <w:rFonts w:ascii="Times New Roman" w:hAnsi="Times New Roman" w:cs="Times New Roman"/>
                <w:sz w:val="20"/>
                <w:szCs w:val="20"/>
              </w:rPr>
              <w:t xml:space="preserve"> </w:t>
            </w:r>
            <w:r w:rsidRPr="005E7B6A">
              <w:rPr>
                <w:rFonts w:ascii="Times New Roman" w:hAnsi="Times New Roman" w:cs="Times New Roman"/>
                <w:sz w:val="20"/>
                <w:szCs w:val="20"/>
              </w:rPr>
              <w:t>rol</w:t>
            </w:r>
            <w:r>
              <w:rPr>
                <w:rFonts w:ascii="Times New Roman" w:hAnsi="Times New Roman" w:cs="Times New Roman"/>
                <w:sz w:val="20"/>
                <w:szCs w:val="20"/>
              </w:rPr>
              <w:t xml:space="preserve"> </w:t>
            </w:r>
            <w:r w:rsidRPr="005E7B6A">
              <w:rPr>
                <w:rFonts w:ascii="Times New Roman" w:hAnsi="Times New Roman" w:cs="Times New Roman"/>
                <w:sz w:val="20"/>
                <w:szCs w:val="20"/>
              </w:rPr>
              <w:t>esencial</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evaluación</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cardiotoxicidad</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pacientes</w:t>
            </w:r>
            <w:r>
              <w:rPr>
                <w:rFonts w:ascii="Times New Roman" w:hAnsi="Times New Roman" w:cs="Times New Roman"/>
                <w:sz w:val="20"/>
                <w:szCs w:val="20"/>
              </w:rPr>
              <w:t xml:space="preserve"> </w:t>
            </w:r>
            <w:r w:rsidRPr="005E7B6A">
              <w:rPr>
                <w:rFonts w:ascii="Times New Roman" w:hAnsi="Times New Roman" w:cs="Times New Roman"/>
                <w:sz w:val="20"/>
                <w:szCs w:val="20"/>
              </w:rPr>
              <w:t>con</w:t>
            </w:r>
            <w:r>
              <w:rPr>
                <w:rFonts w:ascii="Times New Roman" w:hAnsi="Times New Roman" w:cs="Times New Roman"/>
                <w:sz w:val="20"/>
                <w:szCs w:val="20"/>
              </w:rPr>
              <w:t xml:space="preserve"> </w:t>
            </w:r>
            <w:r w:rsidRPr="005E7B6A">
              <w:rPr>
                <w:rFonts w:ascii="Times New Roman" w:hAnsi="Times New Roman" w:cs="Times New Roman"/>
                <w:sz w:val="20"/>
                <w:szCs w:val="20"/>
              </w:rPr>
              <w:t>cáncer</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mama</w:t>
            </w:r>
            <w:r>
              <w:rPr>
                <w:rFonts w:ascii="Times New Roman" w:hAnsi="Times New Roman" w:cs="Times New Roman"/>
                <w:sz w:val="20"/>
                <w:szCs w:val="20"/>
              </w:rPr>
              <w:t xml:space="preserve"> </w:t>
            </w:r>
            <w:r w:rsidRPr="005E7B6A">
              <w:rPr>
                <w:rFonts w:ascii="Times New Roman" w:hAnsi="Times New Roman" w:cs="Times New Roman"/>
                <w:sz w:val="20"/>
                <w:szCs w:val="20"/>
              </w:rPr>
              <w:t>tratadas</w:t>
            </w:r>
            <w:r>
              <w:rPr>
                <w:rFonts w:ascii="Times New Roman" w:hAnsi="Times New Roman" w:cs="Times New Roman"/>
                <w:sz w:val="20"/>
                <w:szCs w:val="20"/>
              </w:rPr>
              <w:t xml:space="preserve"> </w:t>
            </w:r>
            <w:r w:rsidRPr="005E7B6A">
              <w:rPr>
                <w:rFonts w:ascii="Times New Roman" w:hAnsi="Times New Roman" w:cs="Times New Roman"/>
                <w:sz w:val="20"/>
                <w:szCs w:val="20"/>
              </w:rPr>
              <w:t>con</w:t>
            </w:r>
            <w:r>
              <w:rPr>
                <w:rFonts w:ascii="Times New Roman" w:hAnsi="Times New Roman" w:cs="Times New Roman"/>
                <w:sz w:val="20"/>
                <w:szCs w:val="20"/>
              </w:rPr>
              <w:t xml:space="preserve"> </w:t>
            </w:r>
            <w:r w:rsidRPr="005E7B6A">
              <w:rPr>
                <w:rFonts w:ascii="Times New Roman" w:hAnsi="Times New Roman" w:cs="Times New Roman"/>
                <w:sz w:val="20"/>
                <w:szCs w:val="20"/>
              </w:rPr>
              <w:t>citostáticos</w:t>
            </w:r>
            <w:r>
              <w:rPr>
                <w:rFonts w:ascii="Times New Roman" w:hAnsi="Times New Roman" w:cs="Times New Roman"/>
                <w:sz w:val="20"/>
                <w:szCs w:val="20"/>
              </w:rPr>
              <w:t xml:space="preserve"> </w:t>
            </w:r>
            <w:r w:rsidRPr="005E7B6A">
              <w:rPr>
                <w:rFonts w:ascii="Times New Roman" w:hAnsi="Times New Roman" w:cs="Times New Roman"/>
                <w:sz w:val="20"/>
                <w:szCs w:val="20"/>
              </w:rPr>
              <w:t>y/o</w:t>
            </w:r>
            <w:r>
              <w:rPr>
                <w:rFonts w:ascii="Times New Roman" w:hAnsi="Times New Roman" w:cs="Times New Roman"/>
                <w:sz w:val="20"/>
                <w:szCs w:val="20"/>
              </w:rPr>
              <w:t xml:space="preserve"> </w:t>
            </w:r>
            <w:r w:rsidRPr="005E7B6A">
              <w:rPr>
                <w:rFonts w:ascii="Times New Roman" w:hAnsi="Times New Roman" w:cs="Times New Roman"/>
                <w:sz w:val="20"/>
                <w:szCs w:val="20"/>
              </w:rPr>
              <w:t>radioterapia.</w:t>
            </w:r>
          </w:p>
        </w:tc>
        <w:tc>
          <w:tcPr>
            <w:tcW w:w="851" w:type="dxa"/>
            <w:vAlign w:val="center"/>
          </w:tcPr>
          <w:p w14:paraId="5ACB150A" w14:textId="77777777" w:rsidR="00AA7739" w:rsidRPr="005E7B6A" w:rsidRDefault="00AA7739" w:rsidP="009B6E81">
            <w:pPr>
              <w:spacing w:after="0"/>
              <w:jc w:val="center"/>
              <w:rPr>
                <w:rFonts w:ascii="Times New Roman" w:hAnsi="Times New Roman" w:cs="Times New Roman"/>
                <w:sz w:val="20"/>
                <w:szCs w:val="20"/>
              </w:rPr>
            </w:pPr>
          </w:p>
        </w:tc>
        <w:tc>
          <w:tcPr>
            <w:tcW w:w="1701" w:type="dxa"/>
            <w:vAlign w:val="center"/>
          </w:tcPr>
          <w:p w14:paraId="3BF312D3"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bCs/>
                <w:sz w:val="20"/>
                <w:szCs w:val="20"/>
              </w:rPr>
              <w:t>No</w:t>
            </w:r>
            <w:r>
              <w:rPr>
                <w:rFonts w:ascii="Times New Roman" w:hAnsi="Times New Roman" w:cs="Times New Roman"/>
                <w:bCs/>
                <w:sz w:val="20"/>
                <w:szCs w:val="20"/>
              </w:rPr>
              <w:t xml:space="preserve"> </w:t>
            </w: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complejo</w:t>
            </w:r>
            <w:r>
              <w:rPr>
                <w:rFonts w:ascii="Times New Roman" w:hAnsi="Times New Roman" w:cs="Times New Roman"/>
                <w:bCs/>
                <w:sz w:val="20"/>
                <w:szCs w:val="20"/>
              </w:rPr>
              <w:t xml:space="preserve"> </w:t>
            </w:r>
            <w:r w:rsidRPr="005E7B6A">
              <w:rPr>
                <w:rFonts w:ascii="Times New Roman" w:hAnsi="Times New Roman" w:cs="Times New Roman"/>
                <w:bCs/>
                <w:sz w:val="20"/>
                <w:szCs w:val="20"/>
              </w:rPr>
              <w:t>ni</w:t>
            </w:r>
            <w:r>
              <w:rPr>
                <w:rFonts w:ascii="Times New Roman" w:hAnsi="Times New Roman" w:cs="Times New Roman"/>
                <w:bCs/>
                <w:sz w:val="20"/>
                <w:szCs w:val="20"/>
              </w:rPr>
              <w:t xml:space="preserve"> </w:t>
            </w:r>
            <w:r w:rsidRPr="005E7B6A">
              <w:rPr>
                <w:rFonts w:ascii="Times New Roman" w:hAnsi="Times New Roman" w:cs="Times New Roman"/>
                <w:bCs/>
                <w:sz w:val="20"/>
                <w:szCs w:val="20"/>
              </w:rPr>
              <w:t>costoso</w:t>
            </w:r>
            <w:r>
              <w:rPr>
                <w:rFonts w:ascii="Times New Roman" w:hAnsi="Times New Roman" w:cs="Times New Roman"/>
                <w:bCs/>
                <w:sz w:val="20"/>
                <w:szCs w:val="20"/>
              </w:rPr>
              <w:t xml:space="preserve"> </w:t>
            </w:r>
            <w:r w:rsidRPr="005E7B6A">
              <w:rPr>
                <w:rFonts w:ascii="Times New Roman" w:hAnsi="Times New Roman" w:cs="Times New Roman"/>
                <w:bCs/>
                <w:sz w:val="20"/>
                <w:szCs w:val="20"/>
              </w:rPr>
              <w:t>resolver</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capacitación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profesionales</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desarrollo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guías</w:t>
            </w:r>
            <w:r>
              <w:rPr>
                <w:rFonts w:ascii="Times New Roman" w:hAnsi="Times New Roman" w:cs="Times New Roman"/>
                <w:bCs/>
                <w:sz w:val="20"/>
                <w:szCs w:val="20"/>
              </w:rPr>
              <w:t xml:space="preserve"> </w:t>
            </w:r>
            <w:r w:rsidRPr="005E7B6A">
              <w:rPr>
                <w:rFonts w:ascii="Times New Roman" w:hAnsi="Times New Roman" w:cs="Times New Roman"/>
                <w:bCs/>
                <w:sz w:val="20"/>
                <w:szCs w:val="20"/>
              </w:rPr>
              <w:t>clínicas</w:t>
            </w:r>
            <w:r>
              <w:rPr>
                <w:rFonts w:ascii="Times New Roman" w:hAnsi="Times New Roman" w:cs="Times New Roman"/>
                <w:bCs/>
                <w:sz w:val="20"/>
                <w:szCs w:val="20"/>
              </w:rPr>
              <w:t xml:space="preserve"> </w:t>
            </w:r>
            <w:r w:rsidRPr="005E7B6A">
              <w:rPr>
                <w:rFonts w:ascii="Times New Roman" w:hAnsi="Times New Roman" w:cs="Times New Roman"/>
                <w:bCs/>
                <w:sz w:val="20"/>
                <w:szCs w:val="20"/>
              </w:rPr>
              <w:t>armonizadas.</w:t>
            </w:r>
            <w:r>
              <w:rPr>
                <w:rFonts w:ascii="Times New Roman" w:hAnsi="Times New Roman" w:cs="Times New Roman"/>
                <w:bCs/>
                <w:sz w:val="20"/>
                <w:szCs w:val="20"/>
              </w:rPr>
              <w:t xml:space="preserve">  </w:t>
            </w:r>
            <w:r w:rsidRPr="005E7B6A">
              <w:rPr>
                <w:rFonts w:ascii="Times New Roman" w:hAnsi="Times New Roman" w:cs="Times New Roman"/>
                <w:sz w:val="20"/>
                <w:szCs w:val="20"/>
              </w:rPr>
              <w:t>Es</w:t>
            </w:r>
            <w:r>
              <w:rPr>
                <w:rFonts w:ascii="Times New Roman" w:hAnsi="Times New Roman" w:cs="Times New Roman"/>
                <w:sz w:val="20"/>
                <w:szCs w:val="20"/>
              </w:rPr>
              <w:t xml:space="preserve"> </w:t>
            </w:r>
            <w:r w:rsidRPr="005E7B6A">
              <w:rPr>
                <w:rFonts w:ascii="Times New Roman" w:hAnsi="Times New Roman" w:cs="Times New Roman"/>
                <w:sz w:val="20"/>
                <w:szCs w:val="20"/>
              </w:rPr>
              <w:t>necesario</w:t>
            </w:r>
            <w:r>
              <w:rPr>
                <w:rFonts w:ascii="Times New Roman" w:hAnsi="Times New Roman" w:cs="Times New Roman"/>
                <w:sz w:val="20"/>
                <w:szCs w:val="20"/>
              </w:rPr>
              <w:t xml:space="preserve"> </w:t>
            </w:r>
            <w:r w:rsidRPr="005E7B6A">
              <w:rPr>
                <w:rFonts w:ascii="Times New Roman" w:hAnsi="Times New Roman" w:cs="Times New Roman"/>
                <w:sz w:val="20"/>
                <w:szCs w:val="20"/>
              </w:rPr>
              <w:t>diseminar</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información</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replicarla</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los</w:t>
            </w:r>
            <w:r>
              <w:rPr>
                <w:rFonts w:ascii="Times New Roman" w:hAnsi="Times New Roman" w:cs="Times New Roman"/>
                <w:sz w:val="20"/>
                <w:szCs w:val="20"/>
              </w:rPr>
              <w:t xml:space="preserve"> </w:t>
            </w:r>
            <w:r w:rsidRPr="005E7B6A">
              <w:rPr>
                <w:rFonts w:ascii="Times New Roman" w:hAnsi="Times New Roman" w:cs="Times New Roman"/>
                <w:sz w:val="20"/>
                <w:szCs w:val="20"/>
              </w:rPr>
              <w:t>países</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p>
        </w:tc>
        <w:tc>
          <w:tcPr>
            <w:tcW w:w="709" w:type="dxa"/>
            <w:vAlign w:val="center"/>
          </w:tcPr>
          <w:p w14:paraId="7725FB98" w14:textId="77777777" w:rsidR="00AA7739" w:rsidRPr="005E7B6A" w:rsidRDefault="00AA7739" w:rsidP="009B6E81">
            <w:pPr>
              <w:spacing w:after="0"/>
              <w:jc w:val="center"/>
              <w:rPr>
                <w:rFonts w:ascii="Times New Roman" w:hAnsi="Times New Roman" w:cs="Times New Roman"/>
                <w:sz w:val="20"/>
                <w:szCs w:val="20"/>
              </w:rPr>
            </w:pPr>
          </w:p>
        </w:tc>
        <w:tc>
          <w:tcPr>
            <w:tcW w:w="850" w:type="dxa"/>
            <w:vAlign w:val="center"/>
          </w:tcPr>
          <w:p w14:paraId="0731F959" w14:textId="77777777" w:rsidR="00AA7739" w:rsidRPr="005E7B6A" w:rsidRDefault="00AA7739" w:rsidP="009B6E81">
            <w:pPr>
              <w:spacing w:after="0"/>
              <w:jc w:val="center"/>
              <w:rPr>
                <w:rFonts w:ascii="Times New Roman" w:hAnsi="Times New Roman" w:cs="Times New Roman"/>
                <w:sz w:val="20"/>
                <w:szCs w:val="20"/>
              </w:rPr>
            </w:pPr>
          </w:p>
        </w:tc>
      </w:tr>
      <w:tr w:rsidR="00AA7739" w:rsidRPr="005E7B6A" w14:paraId="34DD9DF1" w14:textId="77777777" w:rsidTr="009B6E81">
        <w:trPr>
          <w:trHeight w:val="665"/>
          <w:tblHeader/>
        </w:trPr>
        <w:tc>
          <w:tcPr>
            <w:tcW w:w="515" w:type="dxa"/>
            <w:vMerge w:val="restart"/>
            <w:shd w:val="clear" w:color="auto" w:fill="F79646" w:themeFill="accent6"/>
            <w:vAlign w:val="center"/>
            <w:hideMark/>
          </w:tcPr>
          <w:p w14:paraId="2250A526" w14:textId="77777777" w:rsidR="00AA7739" w:rsidRPr="005E7B6A" w:rsidRDefault="00AA7739" w:rsidP="009B6E81">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2360" w:type="dxa"/>
            <w:vMerge w:val="restart"/>
            <w:vAlign w:val="center"/>
            <w:hideMark/>
          </w:tcPr>
          <w:p w14:paraId="0ADC7767" w14:textId="77777777" w:rsidR="00AA7739"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S6</w:t>
            </w:r>
          </w:p>
          <w:p w14:paraId="46DD60AA" w14:textId="77777777" w:rsidR="00AA7739" w:rsidRPr="005E7B6A" w:rsidRDefault="00AA7739" w:rsidP="009B6E81">
            <w:pPr>
              <w:spacing w:after="0"/>
              <w:jc w:val="center"/>
              <w:rPr>
                <w:rFonts w:ascii="Times New Roman" w:hAnsi="Times New Roman" w:cs="Times New Roman"/>
                <w:b/>
                <w:bCs/>
                <w:sz w:val="20"/>
                <w:szCs w:val="20"/>
              </w:rPr>
            </w:pPr>
            <w:r w:rsidRPr="005E7B6A">
              <w:rPr>
                <w:rFonts w:ascii="Times New Roman" w:hAnsi="Times New Roman" w:cs="Times New Roman"/>
                <w:b/>
                <w:bCs/>
                <w:sz w:val="20"/>
                <w:szCs w:val="20"/>
              </w:rPr>
              <w:t>Necesidad</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adecuación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tecnológica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con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aumento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número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unidades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braquiterapia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formación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recurso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humano</w:t>
            </w:r>
          </w:p>
        </w:tc>
        <w:tc>
          <w:tcPr>
            <w:tcW w:w="1656" w:type="dxa"/>
            <w:vAlign w:val="center"/>
            <w:hideMark/>
          </w:tcPr>
          <w:p w14:paraId="35D2471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4.50</w:t>
            </w:r>
          </w:p>
        </w:tc>
        <w:tc>
          <w:tcPr>
            <w:tcW w:w="1560" w:type="dxa"/>
            <w:vAlign w:val="center"/>
            <w:hideMark/>
          </w:tcPr>
          <w:p w14:paraId="5EFDA4A1"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3.75</w:t>
            </w:r>
          </w:p>
        </w:tc>
        <w:tc>
          <w:tcPr>
            <w:tcW w:w="1275" w:type="dxa"/>
            <w:vAlign w:val="center"/>
            <w:hideMark/>
          </w:tcPr>
          <w:p w14:paraId="43A19093"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4.75</w:t>
            </w:r>
          </w:p>
        </w:tc>
        <w:tc>
          <w:tcPr>
            <w:tcW w:w="1701" w:type="dxa"/>
            <w:vAlign w:val="center"/>
            <w:hideMark/>
          </w:tcPr>
          <w:p w14:paraId="28343A4F"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4.50</w:t>
            </w:r>
          </w:p>
        </w:tc>
        <w:tc>
          <w:tcPr>
            <w:tcW w:w="851" w:type="dxa"/>
            <w:vAlign w:val="center"/>
            <w:hideMark/>
          </w:tcPr>
          <w:p w14:paraId="76ADB98B"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17.50</w:t>
            </w:r>
          </w:p>
        </w:tc>
        <w:tc>
          <w:tcPr>
            <w:tcW w:w="1701" w:type="dxa"/>
            <w:vAlign w:val="center"/>
            <w:hideMark/>
          </w:tcPr>
          <w:p w14:paraId="01B4095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709" w:type="dxa"/>
            <w:vAlign w:val="center"/>
            <w:hideMark/>
          </w:tcPr>
          <w:p w14:paraId="72D68A7E"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1.13</w:t>
            </w:r>
          </w:p>
        </w:tc>
        <w:tc>
          <w:tcPr>
            <w:tcW w:w="850" w:type="dxa"/>
            <w:vAlign w:val="center"/>
            <w:hideMark/>
          </w:tcPr>
          <w:p w14:paraId="2B8BFFB5"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19.69</w:t>
            </w:r>
          </w:p>
        </w:tc>
      </w:tr>
      <w:tr w:rsidR="00AA7739" w:rsidRPr="005E7B6A" w14:paraId="4F7EE473" w14:textId="77777777" w:rsidTr="009B6E81">
        <w:trPr>
          <w:trHeight w:val="1012"/>
          <w:tblHeader/>
        </w:trPr>
        <w:tc>
          <w:tcPr>
            <w:tcW w:w="515" w:type="dxa"/>
            <w:vMerge/>
            <w:shd w:val="clear" w:color="auto" w:fill="F79646" w:themeFill="accent6"/>
            <w:vAlign w:val="center"/>
          </w:tcPr>
          <w:p w14:paraId="35010290" w14:textId="77777777" w:rsidR="00AA7739" w:rsidRPr="005E7B6A" w:rsidRDefault="00AA7739" w:rsidP="009B6E81">
            <w:pPr>
              <w:spacing w:after="0"/>
              <w:jc w:val="center"/>
              <w:rPr>
                <w:rFonts w:ascii="Times New Roman" w:hAnsi="Times New Roman" w:cs="Times New Roman"/>
                <w:sz w:val="20"/>
                <w:szCs w:val="20"/>
              </w:rPr>
            </w:pPr>
          </w:p>
        </w:tc>
        <w:tc>
          <w:tcPr>
            <w:tcW w:w="2360" w:type="dxa"/>
            <w:vMerge/>
            <w:vAlign w:val="center"/>
          </w:tcPr>
          <w:p w14:paraId="02CC2A41" w14:textId="77777777" w:rsidR="00AA7739" w:rsidRPr="005E7B6A" w:rsidRDefault="00AA7739" w:rsidP="009B6E81">
            <w:pPr>
              <w:spacing w:after="0"/>
              <w:jc w:val="center"/>
              <w:rPr>
                <w:rFonts w:ascii="Times New Roman" w:hAnsi="Times New Roman" w:cs="Times New Roman"/>
                <w:b/>
                <w:bCs/>
                <w:sz w:val="20"/>
                <w:szCs w:val="20"/>
              </w:rPr>
            </w:pPr>
          </w:p>
        </w:tc>
        <w:tc>
          <w:tcPr>
            <w:tcW w:w="1656" w:type="dxa"/>
            <w:vAlign w:val="center"/>
          </w:tcPr>
          <w:p w14:paraId="6D7DAE37"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Gran</w:t>
            </w:r>
            <w:r>
              <w:rPr>
                <w:rFonts w:ascii="Times New Roman" w:hAnsi="Times New Roman" w:cs="Times New Roman"/>
                <w:bCs/>
                <w:sz w:val="20"/>
                <w:szCs w:val="20"/>
              </w:rPr>
              <w:t xml:space="preserve"> </w:t>
            </w:r>
            <w:r w:rsidRPr="005E7B6A">
              <w:rPr>
                <w:rFonts w:ascii="Times New Roman" w:hAnsi="Times New Roman" w:cs="Times New Roman"/>
                <w:bCs/>
                <w:sz w:val="20"/>
                <w:szCs w:val="20"/>
              </w:rPr>
              <w:t>necesidad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aumento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número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unidades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braquiterapia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alta</w:t>
            </w:r>
            <w:r>
              <w:rPr>
                <w:rFonts w:ascii="Times New Roman" w:hAnsi="Times New Roman" w:cs="Times New Roman"/>
                <w:bCs/>
                <w:sz w:val="20"/>
                <w:szCs w:val="20"/>
              </w:rPr>
              <w:t xml:space="preserve"> </w:t>
            </w:r>
            <w:r w:rsidRPr="005E7B6A">
              <w:rPr>
                <w:rFonts w:ascii="Times New Roman" w:hAnsi="Times New Roman" w:cs="Times New Roman"/>
                <w:bCs/>
                <w:sz w:val="20"/>
                <w:szCs w:val="20"/>
              </w:rPr>
              <w:t>tasa</w:t>
            </w:r>
          </w:p>
        </w:tc>
        <w:tc>
          <w:tcPr>
            <w:tcW w:w="1560" w:type="dxa"/>
            <w:vAlign w:val="center"/>
          </w:tcPr>
          <w:p w14:paraId="09917371"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Gran</w:t>
            </w:r>
            <w:r>
              <w:rPr>
                <w:rFonts w:ascii="Times New Roman" w:hAnsi="Times New Roman" w:cs="Times New Roman"/>
                <w:bCs/>
                <w:sz w:val="20"/>
                <w:szCs w:val="20"/>
              </w:rPr>
              <w:t xml:space="preserve"> </w:t>
            </w:r>
            <w:r w:rsidRPr="005E7B6A">
              <w:rPr>
                <w:rFonts w:ascii="Times New Roman" w:hAnsi="Times New Roman" w:cs="Times New Roman"/>
                <w:bCs/>
                <w:sz w:val="20"/>
                <w:szCs w:val="20"/>
              </w:rPr>
              <w:t>número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servicios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radioterapia</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no</w:t>
            </w:r>
            <w:r>
              <w:rPr>
                <w:rFonts w:ascii="Times New Roman" w:hAnsi="Times New Roman" w:cs="Times New Roman"/>
                <w:bCs/>
                <w:sz w:val="20"/>
                <w:szCs w:val="20"/>
              </w:rPr>
              <w:t xml:space="preserve"> </w:t>
            </w:r>
            <w:r w:rsidRPr="005E7B6A">
              <w:rPr>
                <w:rFonts w:ascii="Times New Roman" w:hAnsi="Times New Roman" w:cs="Times New Roman"/>
                <w:bCs/>
                <w:sz w:val="20"/>
                <w:szCs w:val="20"/>
              </w:rPr>
              <w:t>disponen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braquiterapia</w:t>
            </w:r>
          </w:p>
        </w:tc>
        <w:tc>
          <w:tcPr>
            <w:tcW w:w="1275" w:type="dxa"/>
            <w:vAlign w:val="center"/>
          </w:tcPr>
          <w:p w14:paraId="2C06590B"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cáncer</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cuello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útero</w:t>
            </w:r>
            <w:r>
              <w:rPr>
                <w:rFonts w:ascii="Times New Roman" w:hAnsi="Times New Roman" w:cs="Times New Roman"/>
                <w:bCs/>
                <w:sz w:val="20"/>
                <w:szCs w:val="20"/>
              </w:rPr>
              <w:t xml:space="preserve"> </w:t>
            </w: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una</w:t>
            </w:r>
            <w:r>
              <w:rPr>
                <w:rFonts w:ascii="Times New Roman" w:hAnsi="Times New Roman" w:cs="Times New Roman"/>
                <w:bCs/>
                <w:sz w:val="20"/>
                <w:szCs w:val="20"/>
              </w:rPr>
              <w:t xml:space="preserve"> </w:t>
            </w:r>
            <w:r w:rsidRPr="005E7B6A">
              <w:rPr>
                <w:rFonts w:ascii="Times New Roman" w:hAnsi="Times New Roman" w:cs="Times New Roman"/>
                <w:bCs/>
                <w:sz w:val="20"/>
                <w:szCs w:val="20"/>
              </w:rPr>
              <w:t>enfermedad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con</w:t>
            </w:r>
            <w:r>
              <w:rPr>
                <w:rFonts w:ascii="Times New Roman" w:hAnsi="Times New Roman" w:cs="Times New Roman"/>
                <w:bCs/>
                <w:sz w:val="20"/>
                <w:szCs w:val="20"/>
              </w:rPr>
              <w:t xml:space="preserve"> </w:t>
            </w:r>
            <w:r w:rsidRPr="005E7B6A">
              <w:rPr>
                <w:rFonts w:ascii="Times New Roman" w:hAnsi="Times New Roman" w:cs="Times New Roman"/>
                <w:bCs/>
                <w:sz w:val="20"/>
                <w:szCs w:val="20"/>
              </w:rPr>
              <w:t>alta</w:t>
            </w:r>
            <w:r>
              <w:rPr>
                <w:rFonts w:ascii="Times New Roman" w:hAnsi="Times New Roman" w:cs="Times New Roman"/>
                <w:bCs/>
                <w:sz w:val="20"/>
                <w:szCs w:val="20"/>
              </w:rPr>
              <w:t xml:space="preserve"> </w:t>
            </w:r>
            <w:r w:rsidRPr="005E7B6A">
              <w:rPr>
                <w:rFonts w:ascii="Times New Roman" w:hAnsi="Times New Roman" w:cs="Times New Roman"/>
                <w:bCs/>
                <w:sz w:val="20"/>
                <w:szCs w:val="20"/>
              </w:rPr>
              <w:t>prevalencia</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mortalidad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región</w:t>
            </w:r>
          </w:p>
        </w:tc>
        <w:tc>
          <w:tcPr>
            <w:tcW w:w="1701" w:type="dxa"/>
            <w:vAlign w:val="center"/>
          </w:tcPr>
          <w:p w14:paraId="0A92CE2C"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Las</w:t>
            </w:r>
            <w:r>
              <w:rPr>
                <w:rFonts w:ascii="Times New Roman" w:hAnsi="Times New Roman" w:cs="Times New Roman"/>
                <w:bCs/>
                <w:sz w:val="20"/>
                <w:szCs w:val="20"/>
              </w:rPr>
              <w:t xml:space="preserve"> </w:t>
            </w:r>
            <w:r w:rsidRPr="005E7B6A">
              <w:rPr>
                <w:rFonts w:ascii="Times New Roman" w:hAnsi="Times New Roman" w:cs="Times New Roman"/>
                <w:bCs/>
                <w:sz w:val="20"/>
                <w:szCs w:val="20"/>
              </w:rPr>
              <w:t>técnicas</w:t>
            </w:r>
            <w:r>
              <w:rPr>
                <w:rFonts w:ascii="Times New Roman" w:hAnsi="Times New Roman" w:cs="Times New Roman"/>
                <w:bCs/>
                <w:sz w:val="20"/>
                <w:szCs w:val="20"/>
              </w:rPr>
              <w:t xml:space="preserve"> </w:t>
            </w:r>
            <w:r w:rsidRPr="005E7B6A">
              <w:rPr>
                <w:rFonts w:ascii="Times New Roman" w:hAnsi="Times New Roman" w:cs="Times New Roman"/>
                <w:bCs/>
                <w:sz w:val="20"/>
                <w:szCs w:val="20"/>
              </w:rPr>
              <w:t>nucleares</w:t>
            </w:r>
            <w:r>
              <w:rPr>
                <w:rFonts w:ascii="Times New Roman" w:hAnsi="Times New Roman" w:cs="Times New Roman"/>
                <w:bCs/>
                <w:sz w:val="20"/>
                <w:szCs w:val="20"/>
              </w:rPr>
              <w:t xml:space="preserve"> </w:t>
            </w:r>
            <w:r w:rsidRPr="005E7B6A">
              <w:rPr>
                <w:rFonts w:ascii="Times New Roman" w:hAnsi="Times New Roman" w:cs="Times New Roman"/>
                <w:bCs/>
                <w:sz w:val="20"/>
                <w:szCs w:val="20"/>
              </w:rPr>
              <w:t>son</w:t>
            </w:r>
            <w:r>
              <w:rPr>
                <w:rFonts w:ascii="Times New Roman" w:hAnsi="Times New Roman" w:cs="Times New Roman"/>
                <w:bCs/>
                <w:sz w:val="20"/>
                <w:szCs w:val="20"/>
              </w:rPr>
              <w:t xml:space="preserve"> </w:t>
            </w:r>
            <w:r w:rsidRPr="005E7B6A">
              <w:rPr>
                <w:rFonts w:ascii="Times New Roman" w:hAnsi="Times New Roman" w:cs="Times New Roman"/>
                <w:bCs/>
                <w:sz w:val="20"/>
                <w:szCs w:val="20"/>
              </w:rPr>
              <w:t>parte</w:t>
            </w:r>
            <w:r>
              <w:rPr>
                <w:rFonts w:ascii="Times New Roman" w:hAnsi="Times New Roman" w:cs="Times New Roman"/>
                <w:bCs/>
                <w:sz w:val="20"/>
                <w:szCs w:val="20"/>
              </w:rPr>
              <w:t xml:space="preserve"> </w:t>
            </w:r>
            <w:r w:rsidRPr="005E7B6A">
              <w:rPr>
                <w:rFonts w:ascii="Times New Roman" w:hAnsi="Times New Roman" w:cs="Times New Roman"/>
                <w:bCs/>
                <w:sz w:val="20"/>
                <w:szCs w:val="20"/>
              </w:rPr>
              <w:t>esencial</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tratamiento</w:t>
            </w:r>
            <w:r>
              <w:rPr>
                <w:rFonts w:ascii="Times New Roman" w:hAnsi="Times New Roman" w:cs="Times New Roman"/>
                <w:bCs/>
                <w:sz w:val="20"/>
                <w:szCs w:val="20"/>
              </w:rPr>
              <w:t xml:space="preserve"> </w:t>
            </w:r>
            <w:r w:rsidRPr="005E7B6A">
              <w:rPr>
                <w:rFonts w:ascii="Times New Roman" w:hAnsi="Times New Roman" w:cs="Times New Roman"/>
                <w:bCs/>
                <w:sz w:val="20"/>
                <w:szCs w:val="20"/>
              </w:rPr>
              <w:t>radiante</w:t>
            </w:r>
          </w:p>
        </w:tc>
        <w:tc>
          <w:tcPr>
            <w:tcW w:w="851" w:type="dxa"/>
            <w:vAlign w:val="center"/>
          </w:tcPr>
          <w:p w14:paraId="3CFC12ED" w14:textId="77777777" w:rsidR="00AA7739" w:rsidRPr="005E7B6A" w:rsidRDefault="00AA7739" w:rsidP="009B6E81">
            <w:pPr>
              <w:spacing w:after="0"/>
              <w:jc w:val="center"/>
              <w:rPr>
                <w:rFonts w:ascii="Times New Roman" w:hAnsi="Times New Roman" w:cs="Times New Roman"/>
                <w:sz w:val="20"/>
                <w:szCs w:val="20"/>
              </w:rPr>
            </w:pPr>
          </w:p>
        </w:tc>
        <w:tc>
          <w:tcPr>
            <w:tcW w:w="1701" w:type="dxa"/>
            <w:vAlign w:val="center"/>
          </w:tcPr>
          <w:p w14:paraId="2D6ED6A1"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bCs/>
                <w:sz w:val="20"/>
                <w:szCs w:val="20"/>
              </w:rPr>
              <w:t>Requiere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traslados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para</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formación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clínica</w:t>
            </w:r>
            <w:r>
              <w:rPr>
                <w:rFonts w:ascii="Times New Roman" w:hAnsi="Times New Roman" w:cs="Times New Roman"/>
                <w:bCs/>
                <w:sz w:val="20"/>
                <w:szCs w:val="20"/>
              </w:rPr>
              <w:t xml:space="preserve"> </w:t>
            </w:r>
            <w:r w:rsidRPr="005E7B6A">
              <w:rPr>
                <w:rFonts w:ascii="Times New Roman" w:hAnsi="Times New Roman" w:cs="Times New Roman"/>
                <w:bCs/>
                <w:sz w:val="20"/>
                <w:szCs w:val="20"/>
              </w:rPr>
              <w:t>práctica</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unidades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braquiterapia</w:t>
            </w:r>
          </w:p>
        </w:tc>
        <w:tc>
          <w:tcPr>
            <w:tcW w:w="709" w:type="dxa"/>
            <w:vAlign w:val="center"/>
          </w:tcPr>
          <w:p w14:paraId="102CB1BD" w14:textId="77777777" w:rsidR="00AA7739" w:rsidRPr="005E7B6A" w:rsidRDefault="00AA7739" w:rsidP="009B6E81">
            <w:pPr>
              <w:spacing w:after="0"/>
              <w:jc w:val="center"/>
              <w:rPr>
                <w:rFonts w:ascii="Times New Roman" w:hAnsi="Times New Roman" w:cs="Times New Roman"/>
                <w:sz w:val="20"/>
                <w:szCs w:val="20"/>
              </w:rPr>
            </w:pPr>
          </w:p>
        </w:tc>
        <w:tc>
          <w:tcPr>
            <w:tcW w:w="850" w:type="dxa"/>
            <w:vAlign w:val="center"/>
          </w:tcPr>
          <w:p w14:paraId="1DAB4B92" w14:textId="77777777" w:rsidR="00AA7739" w:rsidRPr="005E7B6A" w:rsidRDefault="00AA7739" w:rsidP="009B6E81">
            <w:pPr>
              <w:spacing w:after="0"/>
              <w:jc w:val="center"/>
              <w:rPr>
                <w:rFonts w:ascii="Times New Roman" w:hAnsi="Times New Roman" w:cs="Times New Roman"/>
                <w:sz w:val="20"/>
                <w:szCs w:val="20"/>
              </w:rPr>
            </w:pPr>
          </w:p>
        </w:tc>
      </w:tr>
      <w:tr w:rsidR="00AA7739" w:rsidRPr="005E7B6A" w14:paraId="5A4EBD7E" w14:textId="77777777" w:rsidTr="009B6E81">
        <w:trPr>
          <w:trHeight w:val="665"/>
          <w:tblHeader/>
        </w:trPr>
        <w:tc>
          <w:tcPr>
            <w:tcW w:w="515" w:type="dxa"/>
            <w:vMerge w:val="restart"/>
            <w:shd w:val="clear" w:color="auto" w:fill="F79646" w:themeFill="accent6"/>
            <w:vAlign w:val="center"/>
            <w:hideMark/>
          </w:tcPr>
          <w:p w14:paraId="520EE366" w14:textId="77777777" w:rsidR="00AA7739" w:rsidRPr="005E7B6A" w:rsidRDefault="00AA7739" w:rsidP="009B6E81">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2360" w:type="dxa"/>
            <w:vMerge w:val="restart"/>
            <w:vAlign w:val="center"/>
            <w:hideMark/>
          </w:tcPr>
          <w:p w14:paraId="20368ECE" w14:textId="77777777" w:rsidR="00AA7739"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S3</w:t>
            </w:r>
          </w:p>
          <w:p w14:paraId="68114B00" w14:textId="77777777" w:rsidR="00AA7739" w:rsidRPr="005E7B6A" w:rsidRDefault="00AA7739" w:rsidP="009B6E81">
            <w:pPr>
              <w:spacing w:after="0"/>
              <w:jc w:val="center"/>
              <w:rPr>
                <w:rFonts w:ascii="Times New Roman" w:hAnsi="Times New Roman" w:cs="Times New Roman"/>
                <w:b/>
                <w:bCs/>
                <w:sz w:val="20"/>
                <w:szCs w:val="20"/>
              </w:rPr>
            </w:pPr>
            <w:r w:rsidRPr="005E7B6A">
              <w:rPr>
                <w:rFonts w:ascii="Times New Roman" w:hAnsi="Times New Roman" w:cs="Times New Roman"/>
                <w:b/>
                <w:bCs/>
                <w:sz w:val="20"/>
                <w:szCs w:val="20"/>
              </w:rPr>
              <w:lastRenderedPageBreak/>
              <w:t>Insuficiente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número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profesionales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capacitados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guías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clínicas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armonizadas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para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uso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nuevas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tecnologías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medicina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nuclear</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imágenes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diagnósticas,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principalmente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equipos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híbridos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mejoramiento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equipamiento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existente.</w:t>
            </w:r>
          </w:p>
        </w:tc>
        <w:tc>
          <w:tcPr>
            <w:tcW w:w="1656" w:type="dxa"/>
            <w:vAlign w:val="center"/>
            <w:hideMark/>
          </w:tcPr>
          <w:p w14:paraId="7A773ADA"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lastRenderedPageBreak/>
              <w:t>3.75</w:t>
            </w:r>
          </w:p>
          <w:p w14:paraId="4B19C710" w14:textId="77777777" w:rsidR="00AA7739" w:rsidRPr="005E7B6A" w:rsidRDefault="00AA7739" w:rsidP="009B6E81">
            <w:pPr>
              <w:spacing w:after="0"/>
              <w:jc w:val="center"/>
              <w:rPr>
                <w:rFonts w:ascii="Times New Roman" w:hAnsi="Times New Roman" w:cs="Times New Roman"/>
                <w:sz w:val="20"/>
                <w:szCs w:val="20"/>
              </w:rPr>
            </w:pPr>
          </w:p>
        </w:tc>
        <w:tc>
          <w:tcPr>
            <w:tcW w:w="1560" w:type="dxa"/>
            <w:vAlign w:val="center"/>
            <w:hideMark/>
          </w:tcPr>
          <w:p w14:paraId="36F6930B"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3.50</w:t>
            </w:r>
          </w:p>
        </w:tc>
        <w:tc>
          <w:tcPr>
            <w:tcW w:w="1275" w:type="dxa"/>
            <w:vAlign w:val="center"/>
            <w:hideMark/>
          </w:tcPr>
          <w:p w14:paraId="2C73EBDB"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3.75</w:t>
            </w:r>
          </w:p>
        </w:tc>
        <w:tc>
          <w:tcPr>
            <w:tcW w:w="1701" w:type="dxa"/>
            <w:vAlign w:val="center"/>
            <w:hideMark/>
          </w:tcPr>
          <w:p w14:paraId="762C08BF"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4.50</w:t>
            </w:r>
          </w:p>
        </w:tc>
        <w:tc>
          <w:tcPr>
            <w:tcW w:w="851" w:type="dxa"/>
            <w:vAlign w:val="center"/>
            <w:hideMark/>
          </w:tcPr>
          <w:p w14:paraId="12587F93"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15.50</w:t>
            </w:r>
          </w:p>
        </w:tc>
        <w:tc>
          <w:tcPr>
            <w:tcW w:w="1701" w:type="dxa"/>
            <w:vAlign w:val="center"/>
            <w:hideMark/>
          </w:tcPr>
          <w:p w14:paraId="6822EB5D"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2.00</w:t>
            </w:r>
          </w:p>
        </w:tc>
        <w:tc>
          <w:tcPr>
            <w:tcW w:w="709" w:type="dxa"/>
            <w:vAlign w:val="center"/>
            <w:hideMark/>
          </w:tcPr>
          <w:p w14:paraId="1EAC3B22"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2.25</w:t>
            </w:r>
          </w:p>
        </w:tc>
        <w:tc>
          <w:tcPr>
            <w:tcW w:w="850" w:type="dxa"/>
            <w:vAlign w:val="center"/>
            <w:hideMark/>
          </w:tcPr>
          <w:p w14:paraId="506553DA"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34.88</w:t>
            </w:r>
          </w:p>
        </w:tc>
      </w:tr>
      <w:tr w:rsidR="00AA7739" w:rsidRPr="005E7B6A" w14:paraId="36155EC7" w14:textId="77777777" w:rsidTr="009B6E81">
        <w:trPr>
          <w:trHeight w:val="1642"/>
          <w:tblHeader/>
        </w:trPr>
        <w:tc>
          <w:tcPr>
            <w:tcW w:w="515" w:type="dxa"/>
            <w:vMerge/>
            <w:shd w:val="clear" w:color="auto" w:fill="F79646" w:themeFill="accent6"/>
            <w:vAlign w:val="center"/>
          </w:tcPr>
          <w:p w14:paraId="19C868D0" w14:textId="77777777" w:rsidR="00AA7739" w:rsidRPr="005E7B6A" w:rsidRDefault="00AA7739" w:rsidP="009B6E81">
            <w:pPr>
              <w:spacing w:after="0"/>
              <w:jc w:val="center"/>
              <w:rPr>
                <w:rFonts w:ascii="Times New Roman" w:hAnsi="Times New Roman" w:cs="Times New Roman"/>
                <w:sz w:val="20"/>
                <w:szCs w:val="20"/>
              </w:rPr>
            </w:pPr>
          </w:p>
        </w:tc>
        <w:tc>
          <w:tcPr>
            <w:tcW w:w="2360" w:type="dxa"/>
            <w:vMerge/>
            <w:vAlign w:val="center"/>
          </w:tcPr>
          <w:p w14:paraId="3869A577" w14:textId="77777777" w:rsidR="00AA7739" w:rsidRPr="005E7B6A" w:rsidRDefault="00AA7739" w:rsidP="009B6E81">
            <w:pPr>
              <w:spacing w:after="0"/>
              <w:jc w:val="center"/>
              <w:rPr>
                <w:rFonts w:ascii="Times New Roman" w:hAnsi="Times New Roman" w:cs="Times New Roman"/>
                <w:b/>
                <w:bCs/>
                <w:sz w:val="20"/>
                <w:szCs w:val="20"/>
              </w:rPr>
            </w:pPr>
          </w:p>
        </w:tc>
        <w:tc>
          <w:tcPr>
            <w:tcW w:w="1656" w:type="dxa"/>
            <w:vAlign w:val="center"/>
          </w:tcPr>
          <w:p w14:paraId="47FD9F05"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enfermedades</w:t>
            </w:r>
            <w:r>
              <w:rPr>
                <w:rFonts w:ascii="Times New Roman" w:hAnsi="Times New Roman" w:cs="Times New Roman"/>
                <w:sz w:val="20"/>
                <w:szCs w:val="20"/>
              </w:rPr>
              <w:t xml:space="preserve"> </w:t>
            </w:r>
            <w:r w:rsidRPr="005E7B6A">
              <w:rPr>
                <w:rFonts w:ascii="Times New Roman" w:hAnsi="Times New Roman" w:cs="Times New Roman"/>
                <w:sz w:val="20"/>
                <w:szCs w:val="20"/>
              </w:rPr>
              <w:t>cardiovasculares</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neoplasias</w:t>
            </w:r>
            <w:r>
              <w:rPr>
                <w:rFonts w:ascii="Times New Roman" w:hAnsi="Times New Roman" w:cs="Times New Roman"/>
                <w:sz w:val="20"/>
                <w:szCs w:val="20"/>
              </w:rPr>
              <w:t xml:space="preserve"> </w:t>
            </w:r>
            <w:r w:rsidRPr="005E7B6A">
              <w:rPr>
                <w:rFonts w:ascii="Times New Roman" w:hAnsi="Times New Roman" w:cs="Times New Roman"/>
                <w:sz w:val="20"/>
                <w:szCs w:val="20"/>
              </w:rPr>
              <w:t>malignas</w:t>
            </w:r>
            <w:r>
              <w:rPr>
                <w:rFonts w:ascii="Times New Roman" w:hAnsi="Times New Roman" w:cs="Times New Roman"/>
                <w:sz w:val="20"/>
                <w:szCs w:val="20"/>
              </w:rPr>
              <w:t xml:space="preserve"> </w:t>
            </w:r>
            <w:r w:rsidRPr="005E7B6A">
              <w:rPr>
                <w:rFonts w:ascii="Times New Roman" w:hAnsi="Times New Roman" w:cs="Times New Roman"/>
                <w:sz w:val="20"/>
                <w:szCs w:val="20"/>
              </w:rPr>
              <w:t>son</w:t>
            </w:r>
            <w:r>
              <w:rPr>
                <w:rFonts w:ascii="Times New Roman" w:hAnsi="Times New Roman" w:cs="Times New Roman"/>
                <w:sz w:val="20"/>
                <w:szCs w:val="20"/>
              </w:rPr>
              <w:t xml:space="preserve"> </w:t>
            </w: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causas</w:t>
            </w:r>
            <w:r>
              <w:rPr>
                <w:rFonts w:ascii="Times New Roman" w:hAnsi="Times New Roman" w:cs="Times New Roman"/>
                <w:sz w:val="20"/>
                <w:szCs w:val="20"/>
              </w:rPr>
              <w:t xml:space="preserve"> </w:t>
            </w:r>
            <w:r w:rsidRPr="005E7B6A">
              <w:rPr>
                <w:rFonts w:ascii="Times New Roman" w:hAnsi="Times New Roman" w:cs="Times New Roman"/>
                <w:sz w:val="20"/>
                <w:szCs w:val="20"/>
              </w:rPr>
              <w:t>principales</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morbimortalidad</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este</w:t>
            </w:r>
            <w:r>
              <w:rPr>
                <w:rFonts w:ascii="Times New Roman" w:hAnsi="Times New Roman" w:cs="Times New Roman"/>
                <w:sz w:val="20"/>
                <w:szCs w:val="20"/>
              </w:rPr>
              <w:t xml:space="preserve"> </w:t>
            </w:r>
            <w:r w:rsidRPr="005E7B6A">
              <w:rPr>
                <w:rFonts w:ascii="Times New Roman" w:hAnsi="Times New Roman" w:cs="Times New Roman"/>
                <w:sz w:val="20"/>
                <w:szCs w:val="20"/>
              </w:rPr>
              <w:t>contexto</w:t>
            </w:r>
            <w:r>
              <w:rPr>
                <w:rFonts w:ascii="Times New Roman" w:hAnsi="Times New Roman" w:cs="Times New Roman"/>
                <w:sz w:val="20"/>
                <w:szCs w:val="20"/>
              </w:rPr>
              <w:t xml:space="preserve"> </w:t>
            </w: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técnicas</w:t>
            </w:r>
            <w:r>
              <w:rPr>
                <w:rFonts w:ascii="Times New Roman" w:hAnsi="Times New Roman" w:cs="Times New Roman"/>
                <w:sz w:val="20"/>
                <w:szCs w:val="20"/>
              </w:rPr>
              <w:t xml:space="preserve"> </w:t>
            </w:r>
            <w:r w:rsidRPr="005E7B6A">
              <w:rPr>
                <w:rFonts w:ascii="Times New Roman" w:hAnsi="Times New Roman" w:cs="Times New Roman"/>
                <w:sz w:val="20"/>
                <w:szCs w:val="20"/>
              </w:rPr>
              <w:t>diagnósticas</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terapéuticas</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medicina</w:t>
            </w:r>
            <w:r>
              <w:rPr>
                <w:rFonts w:ascii="Times New Roman" w:hAnsi="Times New Roman" w:cs="Times New Roman"/>
                <w:sz w:val="20"/>
                <w:szCs w:val="20"/>
              </w:rPr>
              <w:t xml:space="preserve"> </w:t>
            </w:r>
            <w:r w:rsidRPr="005E7B6A">
              <w:rPr>
                <w:rFonts w:ascii="Times New Roman" w:hAnsi="Times New Roman" w:cs="Times New Roman"/>
                <w:sz w:val="20"/>
                <w:szCs w:val="20"/>
              </w:rPr>
              <w:t>nuclear</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radiología</w:t>
            </w:r>
            <w:r>
              <w:rPr>
                <w:rFonts w:ascii="Times New Roman" w:hAnsi="Times New Roman" w:cs="Times New Roman"/>
                <w:sz w:val="20"/>
                <w:szCs w:val="20"/>
              </w:rPr>
              <w:t xml:space="preserve"> </w:t>
            </w:r>
            <w:r w:rsidRPr="005E7B6A">
              <w:rPr>
                <w:rFonts w:ascii="Times New Roman" w:hAnsi="Times New Roman" w:cs="Times New Roman"/>
                <w:sz w:val="20"/>
                <w:szCs w:val="20"/>
              </w:rPr>
              <w:t>juegan</w:t>
            </w:r>
            <w:r>
              <w:rPr>
                <w:rFonts w:ascii="Times New Roman" w:hAnsi="Times New Roman" w:cs="Times New Roman"/>
                <w:sz w:val="20"/>
                <w:szCs w:val="20"/>
              </w:rPr>
              <w:t xml:space="preserve"> </w:t>
            </w:r>
            <w:r w:rsidRPr="005E7B6A">
              <w:rPr>
                <w:rFonts w:ascii="Times New Roman" w:hAnsi="Times New Roman" w:cs="Times New Roman"/>
                <w:sz w:val="20"/>
                <w:szCs w:val="20"/>
              </w:rPr>
              <w:t>un</w:t>
            </w:r>
            <w:r>
              <w:rPr>
                <w:rFonts w:ascii="Times New Roman" w:hAnsi="Times New Roman" w:cs="Times New Roman"/>
                <w:sz w:val="20"/>
                <w:szCs w:val="20"/>
              </w:rPr>
              <w:t xml:space="preserve"> </w:t>
            </w:r>
            <w:r w:rsidRPr="005E7B6A">
              <w:rPr>
                <w:rFonts w:ascii="Times New Roman" w:hAnsi="Times New Roman" w:cs="Times New Roman"/>
                <w:sz w:val="20"/>
                <w:szCs w:val="20"/>
              </w:rPr>
              <w:t>rol</w:t>
            </w:r>
            <w:r>
              <w:rPr>
                <w:rFonts w:ascii="Times New Roman" w:hAnsi="Times New Roman" w:cs="Times New Roman"/>
                <w:sz w:val="20"/>
                <w:szCs w:val="20"/>
              </w:rPr>
              <w:t xml:space="preserve"> </w:t>
            </w:r>
            <w:r w:rsidRPr="005E7B6A">
              <w:rPr>
                <w:rFonts w:ascii="Times New Roman" w:hAnsi="Times New Roman" w:cs="Times New Roman"/>
                <w:sz w:val="20"/>
                <w:szCs w:val="20"/>
              </w:rPr>
              <w:t>fundamental</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el</w:t>
            </w:r>
            <w:r>
              <w:rPr>
                <w:rFonts w:ascii="Times New Roman" w:hAnsi="Times New Roman" w:cs="Times New Roman"/>
                <w:sz w:val="20"/>
                <w:szCs w:val="20"/>
              </w:rPr>
              <w:t xml:space="preserve"> </w:t>
            </w:r>
            <w:r w:rsidRPr="005E7B6A">
              <w:rPr>
                <w:rFonts w:ascii="Times New Roman" w:hAnsi="Times New Roman" w:cs="Times New Roman"/>
                <w:sz w:val="20"/>
                <w:szCs w:val="20"/>
              </w:rPr>
              <w:t>manejo</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los</w:t>
            </w:r>
            <w:r>
              <w:rPr>
                <w:rFonts w:ascii="Times New Roman" w:hAnsi="Times New Roman" w:cs="Times New Roman"/>
                <w:sz w:val="20"/>
                <w:szCs w:val="20"/>
              </w:rPr>
              <w:t xml:space="preserve"> </w:t>
            </w:r>
            <w:r w:rsidRPr="005E7B6A">
              <w:rPr>
                <w:rFonts w:ascii="Times New Roman" w:hAnsi="Times New Roman" w:cs="Times New Roman"/>
                <w:sz w:val="20"/>
                <w:szCs w:val="20"/>
              </w:rPr>
              <w:t>pacientes.</w:t>
            </w:r>
          </w:p>
        </w:tc>
        <w:tc>
          <w:tcPr>
            <w:tcW w:w="1560" w:type="dxa"/>
            <w:vAlign w:val="center"/>
          </w:tcPr>
          <w:p w14:paraId="67CA6605"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sz w:val="20"/>
                <w:szCs w:val="20"/>
              </w:rPr>
              <w:t>Es</w:t>
            </w:r>
            <w:r>
              <w:rPr>
                <w:rFonts w:ascii="Times New Roman" w:hAnsi="Times New Roman" w:cs="Times New Roman"/>
                <w:sz w:val="20"/>
                <w:szCs w:val="20"/>
              </w:rPr>
              <w:t xml:space="preserve"> </w:t>
            </w:r>
            <w:r w:rsidRPr="005E7B6A">
              <w:rPr>
                <w:rFonts w:ascii="Times New Roman" w:hAnsi="Times New Roman" w:cs="Times New Roman"/>
                <w:sz w:val="20"/>
                <w:szCs w:val="20"/>
              </w:rPr>
              <w:t>una</w:t>
            </w:r>
            <w:r>
              <w:rPr>
                <w:rFonts w:ascii="Times New Roman" w:hAnsi="Times New Roman" w:cs="Times New Roman"/>
                <w:sz w:val="20"/>
                <w:szCs w:val="20"/>
              </w:rPr>
              <w:t xml:space="preserve"> </w:t>
            </w:r>
            <w:r w:rsidRPr="005E7B6A">
              <w:rPr>
                <w:rFonts w:ascii="Times New Roman" w:hAnsi="Times New Roman" w:cs="Times New Roman"/>
                <w:sz w:val="20"/>
                <w:szCs w:val="20"/>
              </w:rPr>
              <w:t>situación</w:t>
            </w:r>
            <w:r>
              <w:rPr>
                <w:rFonts w:ascii="Times New Roman" w:hAnsi="Times New Roman" w:cs="Times New Roman"/>
                <w:sz w:val="20"/>
                <w:szCs w:val="20"/>
              </w:rPr>
              <w:t xml:space="preserve"> </w:t>
            </w:r>
            <w:r w:rsidRPr="005E7B6A">
              <w:rPr>
                <w:rFonts w:ascii="Times New Roman" w:hAnsi="Times New Roman" w:cs="Times New Roman"/>
                <w:sz w:val="20"/>
                <w:szCs w:val="20"/>
              </w:rPr>
              <w:t>que</w:t>
            </w:r>
            <w:r>
              <w:rPr>
                <w:rFonts w:ascii="Times New Roman" w:hAnsi="Times New Roman" w:cs="Times New Roman"/>
                <w:sz w:val="20"/>
                <w:szCs w:val="20"/>
              </w:rPr>
              <w:t xml:space="preserve"> </w:t>
            </w:r>
            <w:r w:rsidRPr="005E7B6A">
              <w:rPr>
                <w:rFonts w:ascii="Times New Roman" w:hAnsi="Times New Roman" w:cs="Times New Roman"/>
                <w:sz w:val="20"/>
                <w:szCs w:val="20"/>
              </w:rPr>
              <w:t>debe</w:t>
            </w:r>
            <w:r>
              <w:rPr>
                <w:rFonts w:ascii="Times New Roman" w:hAnsi="Times New Roman" w:cs="Times New Roman"/>
                <w:sz w:val="20"/>
                <w:szCs w:val="20"/>
              </w:rPr>
              <w:t xml:space="preserve"> </w:t>
            </w:r>
            <w:r w:rsidRPr="005E7B6A">
              <w:rPr>
                <w:rFonts w:ascii="Times New Roman" w:hAnsi="Times New Roman" w:cs="Times New Roman"/>
                <w:sz w:val="20"/>
                <w:szCs w:val="20"/>
              </w:rPr>
              <w:t>abordarse</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forma</w:t>
            </w:r>
            <w:r>
              <w:rPr>
                <w:rFonts w:ascii="Times New Roman" w:hAnsi="Times New Roman" w:cs="Times New Roman"/>
                <w:sz w:val="20"/>
                <w:szCs w:val="20"/>
              </w:rPr>
              <w:t xml:space="preserve"> </w:t>
            </w:r>
            <w:r w:rsidRPr="005E7B6A">
              <w:rPr>
                <w:rFonts w:ascii="Times New Roman" w:hAnsi="Times New Roman" w:cs="Times New Roman"/>
                <w:sz w:val="20"/>
                <w:szCs w:val="20"/>
              </w:rPr>
              <w:t>rápida</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sostenida,</w:t>
            </w:r>
            <w:r>
              <w:rPr>
                <w:rFonts w:ascii="Times New Roman" w:hAnsi="Times New Roman" w:cs="Times New Roman"/>
                <w:sz w:val="20"/>
                <w:szCs w:val="20"/>
              </w:rPr>
              <w:t xml:space="preserve"> </w:t>
            </w:r>
            <w:r w:rsidRPr="005E7B6A">
              <w:rPr>
                <w:rFonts w:ascii="Times New Roman" w:hAnsi="Times New Roman" w:cs="Times New Roman"/>
                <w:sz w:val="20"/>
                <w:szCs w:val="20"/>
              </w:rPr>
              <w:t>dado</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naturaleza</w:t>
            </w:r>
            <w:r>
              <w:rPr>
                <w:rFonts w:ascii="Times New Roman" w:hAnsi="Times New Roman" w:cs="Times New Roman"/>
                <w:sz w:val="20"/>
                <w:szCs w:val="20"/>
              </w:rPr>
              <w:t xml:space="preserve"> </w:t>
            </w:r>
            <w:r w:rsidRPr="005E7B6A">
              <w:rPr>
                <w:rFonts w:ascii="Times New Roman" w:hAnsi="Times New Roman" w:cs="Times New Roman"/>
                <w:sz w:val="20"/>
                <w:szCs w:val="20"/>
              </w:rPr>
              <w:t>creciente</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las</w:t>
            </w:r>
            <w:r>
              <w:rPr>
                <w:rFonts w:ascii="Times New Roman" w:hAnsi="Times New Roman" w:cs="Times New Roman"/>
                <w:sz w:val="20"/>
                <w:szCs w:val="20"/>
              </w:rPr>
              <w:t xml:space="preserve"> </w:t>
            </w:r>
            <w:r w:rsidRPr="005E7B6A">
              <w:rPr>
                <w:rFonts w:ascii="Times New Roman" w:hAnsi="Times New Roman" w:cs="Times New Roman"/>
                <w:sz w:val="20"/>
                <w:szCs w:val="20"/>
              </w:rPr>
              <w:t>técnicas</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diagnóstico</w:t>
            </w:r>
            <w:r>
              <w:rPr>
                <w:rFonts w:ascii="Times New Roman" w:hAnsi="Times New Roman" w:cs="Times New Roman"/>
                <w:sz w:val="20"/>
                <w:szCs w:val="20"/>
              </w:rPr>
              <w:t xml:space="preserve"> </w:t>
            </w:r>
            <w:r w:rsidRPr="005E7B6A">
              <w:rPr>
                <w:rFonts w:ascii="Times New Roman" w:hAnsi="Times New Roman" w:cs="Times New Roman"/>
                <w:sz w:val="20"/>
                <w:szCs w:val="20"/>
              </w:rPr>
              <w:t>por</w:t>
            </w:r>
            <w:r>
              <w:rPr>
                <w:rFonts w:ascii="Times New Roman" w:hAnsi="Times New Roman" w:cs="Times New Roman"/>
                <w:sz w:val="20"/>
                <w:szCs w:val="20"/>
              </w:rPr>
              <w:t xml:space="preserve"> </w:t>
            </w:r>
            <w:r w:rsidRPr="005E7B6A">
              <w:rPr>
                <w:rFonts w:ascii="Times New Roman" w:hAnsi="Times New Roman" w:cs="Times New Roman"/>
                <w:sz w:val="20"/>
                <w:szCs w:val="20"/>
              </w:rPr>
              <w:t>imágenes,</w:t>
            </w:r>
            <w:r>
              <w:rPr>
                <w:rFonts w:ascii="Times New Roman" w:hAnsi="Times New Roman" w:cs="Times New Roman"/>
                <w:sz w:val="20"/>
                <w:szCs w:val="20"/>
              </w:rPr>
              <w:t xml:space="preserve"> </w:t>
            </w:r>
            <w:r w:rsidRPr="005E7B6A">
              <w:rPr>
                <w:rFonts w:ascii="Times New Roman" w:hAnsi="Times New Roman" w:cs="Times New Roman"/>
                <w:sz w:val="20"/>
                <w:szCs w:val="20"/>
              </w:rPr>
              <w:t>pero</w:t>
            </w:r>
            <w:r>
              <w:rPr>
                <w:rFonts w:ascii="Times New Roman" w:hAnsi="Times New Roman" w:cs="Times New Roman"/>
                <w:sz w:val="20"/>
                <w:szCs w:val="20"/>
              </w:rPr>
              <w:t xml:space="preserve"> </w:t>
            </w:r>
            <w:r w:rsidRPr="005E7B6A">
              <w:rPr>
                <w:rFonts w:ascii="Times New Roman" w:hAnsi="Times New Roman" w:cs="Times New Roman"/>
                <w:sz w:val="20"/>
                <w:szCs w:val="20"/>
              </w:rPr>
              <w:t>que</w:t>
            </w:r>
            <w:r>
              <w:rPr>
                <w:rFonts w:ascii="Times New Roman" w:hAnsi="Times New Roman" w:cs="Times New Roman"/>
                <w:sz w:val="20"/>
                <w:szCs w:val="20"/>
              </w:rPr>
              <w:t xml:space="preserve"> </w:t>
            </w:r>
            <w:r w:rsidRPr="005E7B6A">
              <w:rPr>
                <w:rFonts w:ascii="Times New Roman" w:hAnsi="Times New Roman" w:cs="Times New Roman"/>
                <w:sz w:val="20"/>
                <w:szCs w:val="20"/>
              </w:rPr>
              <w:t>su</w:t>
            </w:r>
            <w:r>
              <w:rPr>
                <w:rFonts w:ascii="Times New Roman" w:hAnsi="Times New Roman" w:cs="Times New Roman"/>
                <w:sz w:val="20"/>
                <w:szCs w:val="20"/>
              </w:rPr>
              <w:t xml:space="preserve"> </w:t>
            </w:r>
            <w:r w:rsidRPr="005E7B6A">
              <w:rPr>
                <w:rFonts w:ascii="Times New Roman" w:hAnsi="Times New Roman" w:cs="Times New Roman"/>
                <w:sz w:val="20"/>
                <w:szCs w:val="20"/>
              </w:rPr>
              <w:t>incremento</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el</w:t>
            </w:r>
            <w:r>
              <w:rPr>
                <w:rFonts w:ascii="Times New Roman" w:hAnsi="Times New Roman" w:cs="Times New Roman"/>
                <w:sz w:val="20"/>
                <w:szCs w:val="20"/>
              </w:rPr>
              <w:t xml:space="preserve"> </w:t>
            </w:r>
            <w:r w:rsidRPr="005E7B6A">
              <w:rPr>
                <w:rFonts w:ascii="Times New Roman" w:hAnsi="Times New Roman" w:cs="Times New Roman"/>
                <w:sz w:val="20"/>
                <w:szCs w:val="20"/>
              </w:rPr>
              <w:t>tiempo</w:t>
            </w:r>
            <w:r>
              <w:rPr>
                <w:rFonts w:ascii="Times New Roman" w:hAnsi="Times New Roman" w:cs="Times New Roman"/>
                <w:sz w:val="20"/>
                <w:szCs w:val="20"/>
              </w:rPr>
              <w:t xml:space="preserve"> </w:t>
            </w:r>
            <w:r w:rsidRPr="005E7B6A">
              <w:rPr>
                <w:rFonts w:ascii="Times New Roman" w:hAnsi="Times New Roman" w:cs="Times New Roman"/>
                <w:sz w:val="20"/>
                <w:szCs w:val="20"/>
              </w:rPr>
              <w:t>no</w:t>
            </w:r>
            <w:r>
              <w:rPr>
                <w:rFonts w:ascii="Times New Roman" w:hAnsi="Times New Roman" w:cs="Times New Roman"/>
                <w:sz w:val="20"/>
                <w:szCs w:val="20"/>
              </w:rPr>
              <w:t xml:space="preserve"> </w:t>
            </w:r>
            <w:r w:rsidRPr="005E7B6A">
              <w:rPr>
                <w:rFonts w:ascii="Times New Roman" w:hAnsi="Times New Roman" w:cs="Times New Roman"/>
                <w:sz w:val="20"/>
                <w:szCs w:val="20"/>
              </w:rPr>
              <w:t>dependerá</w:t>
            </w:r>
            <w:r>
              <w:rPr>
                <w:rFonts w:ascii="Times New Roman" w:hAnsi="Times New Roman" w:cs="Times New Roman"/>
                <w:sz w:val="20"/>
                <w:szCs w:val="20"/>
              </w:rPr>
              <w:t xml:space="preserve"> </w:t>
            </w:r>
            <w:r w:rsidRPr="005E7B6A">
              <w:rPr>
                <w:rFonts w:ascii="Times New Roman" w:hAnsi="Times New Roman" w:cs="Times New Roman"/>
                <w:sz w:val="20"/>
                <w:szCs w:val="20"/>
              </w:rPr>
              <w:t>exclusivamente</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capacitación</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los</w:t>
            </w:r>
            <w:r>
              <w:rPr>
                <w:rFonts w:ascii="Times New Roman" w:hAnsi="Times New Roman" w:cs="Times New Roman"/>
                <w:sz w:val="20"/>
                <w:szCs w:val="20"/>
              </w:rPr>
              <w:t xml:space="preserve"> </w:t>
            </w:r>
            <w:r w:rsidRPr="005E7B6A">
              <w:rPr>
                <w:rFonts w:ascii="Times New Roman" w:hAnsi="Times New Roman" w:cs="Times New Roman"/>
                <w:sz w:val="20"/>
                <w:szCs w:val="20"/>
              </w:rPr>
              <w:t>profesionales</w:t>
            </w:r>
          </w:p>
        </w:tc>
        <w:tc>
          <w:tcPr>
            <w:tcW w:w="1275" w:type="dxa"/>
            <w:vAlign w:val="center"/>
          </w:tcPr>
          <w:p w14:paraId="5AB8BA89"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sz w:val="20"/>
                <w:szCs w:val="20"/>
              </w:rPr>
              <w:t>Es</w:t>
            </w:r>
            <w:r>
              <w:rPr>
                <w:rFonts w:ascii="Times New Roman" w:hAnsi="Times New Roman" w:cs="Times New Roman"/>
                <w:sz w:val="20"/>
                <w:szCs w:val="20"/>
              </w:rPr>
              <w:t xml:space="preserve"> </w:t>
            </w:r>
            <w:r w:rsidRPr="005E7B6A">
              <w:rPr>
                <w:rFonts w:ascii="Times New Roman" w:hAnsi="Times New Roman" w:cs="Times New Roman"/>
                <w:sz w:val="20"/>
                <w:szCs w:val="20"/>
              </w:rPr>
              <w:t>un</w:t>
            </w:r>
            <w:r>
              <w:rPr>
                <w:rFonts w:ascii="Times New Roman" w:hAnsi="Times New Roman" w:cs="Times New Roman"/>
                <w:sz w:val="20"/>
                <w:szCs w:val="20"/>
              </w:rPr>
              <w:t xml:space="preserve"> </w:t>
            </w:r>
            <w:r w:rsidRPr="005E7B6A">
              <w:rPr>
                <w:rFonts w:ascii="Times New Roman" w:hAnsi="Times New Roman" w:cs="Times New Roman"/>
                <w:sz w:val="20"/>
                <w:szCs w:val="20"/>
              </w:rPr>
              <w:t>problema</w:t>
            </w:r>
            <w:r>
              <w:rPr>
                <w:rFonts w:ascii="Times New Roman" w:hAnsi="Times New Roman" w:cs="Times New Roman"/>
                <w:sz w:val="20"/>
                <w:szCs w:val="20"/>
              </w:rPr>
              <w:t xml:space="preserve"> </w:t>
            </w:r>
            <w:r w:rsidRPr="005E7B6A">
              <w:rPr>
                <w:rFonts w:ascii="Times New Roman" w:hAnsi="Times New Roman" w:cs="Times New Roman"/>
                <w:sz w:val="20"/>
                <w:szCs w:val="20"/>
              </w:rPr>
              <w:t>extendido</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r>
              <w:rPr>
                <w:rFonts w:ascii="Times New Roman" w:hAnsi="Times New Roman" w:cs="Times New Roman"/>
                <w:sz w:val="20"/>
                <w:szCs w:val="20"/>
              </w:rPr>
              <w:t xml:space="preserve"> </w:t>
            </w:r>
            <w:r w:rsidRPr="005E7B6A">
              <w:rPr>
                <w:rFonts w:ascii="Times New Roman" w:hAnsi="Times New Roman" w:cs="Times New Roman"/>
                <w:sz w:val="20"/>
                <w:szCs w:val="20"/>
              </w:rPr>
              <w:t>debido</w:t>
            </w:r>
            <w:r>
              <w:rPr>
                <w:rFonts w:ascii="Times New Roman" w:hAnsi="Times New Roman" w:cs="Times New Roman"/>
                <w:sz w:val="20"/>
                <w:szCs w:val="20"/>
              </w:rPr>
              <w:t xml:space="preserve"> </w:t>
            </w:r>
            <w:r w:rsidRPr="005E7B6A">
              <w:rPr>
                <w:rFonts w:ascii="Times New Roman" w:hAnsi="Times New Roman" w:cs="Times New Roman"/>
                <w:sz w:val="20"/>
                <w:szCs w:val="20"/>
              </w:rPr>
              <w:t>al</w:t>
            </w:r>
            <w:r>
              <w:rPr>
                <w:rFonts w:ascii="Times New Roman" w:hAnsi="Times New Roman" w:cs="Times New Roman"/>
                <w:sz w:val="20"/>
                <w:szCs w:val="20"/>
              </w:rPr>
              <w:t xml:space="preserve"> </w:t>
            </w:r>
            <w:r w:rsidRPr="005E7B6A">
              <w:rPr>
                <w:rFonts w:ascii="Times New Roman" w:hAnsi="Times New Roman" w:cs="Times New Roman"/>
                <w:sz w:val="20"/>
                <w:szCs w:val="20"/>
              </w:rPr>
              <w:t>incremento</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actualización</w:t>
            </w:r>
            <w:r>
              <w:rPr>
                <w:rFonts w:ascii="Times New Roman" w:hAnsi="Times New Roman" w:cs="Times New Roman"/>
                <w:sz w:val="20"/>
                <w:szCs w:val="20"/>
              </w:rPr>
              <w:t xml:space="preserve"> </w:t>
            </w:r>
            <w:r w:rsidRPr="005E7B6A">
              <w:rPr>
                <w:rFonts w:ascii="Times New Roman" w:hAnsi="Times New Roman" w:cs="Times New Roman"/>
                <w:sz w:val="20"/>
                <w:szCs w:val="20"/>
              </w:rPr>
              <w:t>tecnológica</w:t>
            </w:r>
          </w:p>
        </w:tc>
        <w:tc>
          <w:tcPr>
            <w:tcW w:w="1701" w:type="dxa"/>
            <w:vAlign w:val="center"/>
          </w:tcPr>
          <w:p w14:paraId="7BD9091C"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sz w:val="20"/>
                <w:szCs w:val="20"/>
              </w:rPr>
              <w:t>Es</w:t>
            </w:r>
            <w:r>
              <w:rPr>
                <w:rFonts w:ascii="Times New Roman" w:hAnsi="Times New Roman" w:cs="Times New Roman"/>
                <w:sz w:val="20"/>
                <w:szCs w:val="20"/>
              </w:rPr>
              <w:t xml:space="preserve"> </w:t>
            </w:r>
            <w:r w:rsidRPr="005E7B6A">
              <w:rPr>
                <w:rFonts w:ascii="Times New Roman" w:hAnsi="Times New Roman" w:cs="Times New Roman"/>
                <w:sz w:val="20"/>
                <w:szCs w:val="20"/>
              </w:rPr>
              <w:t>importante</w:t>
            </w:r>
            <w:r>
              <w:rPr>
                <w:rFonts w:ascii="Times New Roman" w:hAnsi="Times New Roman" w:cs="Times New Roman"/>
                <w:sz w:val="20"/>
                <w:szCs w:val="20"/>
              </w:rPr>
              <w:t xml:space="preserve"> </w:t>
            </w:r>
            <w:r w:rsidRPr="005E7B6A">
              <w:rPr>
                <w:rFonts w:ascii="Times New Roman" w:hAnsi="Times New Roman" w:cs="Times New Roman"/>
                <w:sz w:val="20"/>
                <w:szCs w:val="20"/>
              </w:rPr>
              <w:t>el</w:t>
            </w:r>
            <w:r>
              <w:rPr>
                <w:rFonts w:ascii="Times New Roman" w:hAnsi="Times New Roman" w:cs="Times New Roman"/>
                <w:sz w:val="20"/>
                <w:szCs w:val="20"/>
              </w:rPr>
              <w:t xml:space="preserve"> </w:t>
            </w:r>
            <w:r w:rsidRPr="005E7B6A">
              <w:rPr>
                <w:rFonts w:ascii="Times New Roman" w:hAnsi="Times New Roman" w:cs="Times New Roman"/>
                <w:sz w:val="20"/>
                <w:szCs w:val="20"/>
              </w:rPr>
              <w:t>aporte</w:t>
            </w:r>
            <w:r>
              <w:rPr>
                <w:rFonts w:ascii="Times New Roman" w:hAnsi="Times New Roman" w:cs="Times New Roman"/>
                <w:sz w:val="20"/>
                <w:szCs w:val="20"/>
              </w:rPr>
              <w:t xml:space="preserve"> </w:t>
            </w:r>
            <w:r w:rsidRPr="005E7B6A">
              <w:rPr>
                <w:rFonts w:ascii="Times New Roman" w:hAnsi="Times New Roman" w:cs="Times New Roman"/>
                <w:sz w:val="20"/>
                <w:szCs w:val="20"/>
              </w:rPr>
              <w:t>que</w:t>
            </w:r>
            <w:r>
              <w:rPr>
                <w:rFonts w:ascii="Times New Roman" w:hAnsi="Times New Roman" w:cs="Times New Roman"/>
                <w:sz w:val="20"/>
                <w:szCs w:val="20"/>
              </w:rPr>
              <w:t xml:space="preserve"> </w:t>
            </w:r>
            <w:r w:rsidRPr="005E7B6A">
              <w:rPr>
                <w:rFonts w:ascii="Times New Roman" w:hAnsi="Times New Roman" w:cs="Times New Roman"/>
                <w:sz w:val="20"/>
                <w:szCs w:val="20"/>
              </w:rPr>
              <w:t>puede</w:t>
            </w:r>
            <w:r>
              <w:rPr>
                <w:rFonts w:ascii="Times New Roman" w:hAnsi="Times New Roman" w:cs="Times New Roman"/>
                <w:sz w:val="20"/>
                <w:szCs w:val="20"/>
              </w:rPr>
              <w:t xml:space="preserve"> </w:t>
            </w:r>
            <w:r w:rsidRPr="005E7B6A">
              <w:rPr>
                <w:rFonts w:ascii="Times New Roman" w:hAnsi="Times New Roman" w:cs="Times New Roman"/>
                <w:sz w:val="20"/>
                <w:szCs w:val="20"/>
              </w:rPr>
              <w:t>hacer</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medicina</w:t>
            </w:r>
            <w:r>
              <w:rPr>
                <w:rFonts w:ascii="Times New Roman" w:hAnsi="Times New Roman" w:cs="Times New Roman"/>
                <w:sz w:val="20"/>
                <w:szCs w:val="20"/>
              </w:rPr>
              <w:t xml:space="preserve"> </w:t>
            </w:r>
            <w:r w:rsidRPr="005E7B6A">
              <w:rPr>
                <w:rFonts w:ascii="Times New Roman" w:hAnsi="Times New Roman" w:cs="Times New Roman"/>
                <w:sz w:val="20"/>
                <w:szCs w:val="20"/>
              </w:rPr>
              <w:t>nuclear</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el</w:t>
            </w:r>
            <w:r>
              <w:rPr>
                <w:rFonts w:ascii="Times New Roman" w:hAnsi="Times New Roman" w:cs="Times New Roman"/>
                <w:sz w:val="20"/>
                <w:szCs w:val="20"/>
              </w:rPr>
              <w:t xml:space="preserve"> </w:t>
            </w:r>
            <w:r w:rsidRPr="005E7B6A">
              <w:rPr>
                <w:rFonts w:ascii="Times New Roman" w:hAnsi="Times New Roman" w:cs="Times New Roman"/>
                <w:sz w:val="20"/>
                <w:szCs w:val="20"/>
              </w:rPr>
              <w:t>marco</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multimodalidad</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imágenes,</w:t>
            </w:r>
            <w:r>
              <w:rPr>
                <w:rFonts w:ascii="Times New Roman" w:hAnsi="Times New Roman" w:cs="Times New Roman"/>
                <w:sz w:val="20"/>
                <w:szCs w:val="20"/>
              </w:rPr>
              <w:t xml:space="preserve"> </w:t>
            </w:r>
            <w:r w:rsidRPr="005E7B6A">
              <w:rPr>
                <w:rFonts w:ascii="Times New Roman" w:hAnsi="Times New Roman" w:cs="Times New Roman"/>
                <w:sz w:val="20"/>
                <w:szCs w:val="20"/>
              </w:rPr>
              <w:t>principalmente</w:t>
            </w:r>
            <w:r>
              <w:rPr>
                <w:rFonts w:ascii="Times New Roman" w:hAnsi="Times New Roman" w:cs="Times New Roman"/>
                <w:sz w:val="20"/>
                <w:szCs w:val="20"/>
              </w:rPr>
              <w:t xml:space="preserve"> </w:t>
            </w:r>
            <w:r w:rsidRPr="005E7B6A">
              <w:rPr>
                <w:rFonts w:ascii="Times New Roman" w:hAnsi="Times New Roman" w:cs="Times New Roman"/>
                <w:sz w:val="20"/>
                <w:szCs w:val="20"/>
              </w:rPr>
              <w:t>equipos</w:t>
            </w:r>
            <w:r>
              <w:rPr>
                <w:rFonts w:ascii="Times New Roman" w:hAnsi="Times New Roman" w:cs="Times New Roman"/>
                <w:sz w:val="20"/>
                <w:szCs w:val="20"/>
              </w:rPr>
              <w:t xml:space="preserve"> </w:t>
            </w:r>
            <w:r w:rsidRPr="005E7B6A">
              <w:rPr>
                <w:rFonts w:ascii="Times New Roman" w:hAnsi="Times New Roman" w:cs="Times New Roman"/>
                <w:sz w:val="20"/>
                <w:szCs w:val="20"/>
              </w:rPr>
              <w:t>híbridos,</w:t>
            </w:r>
            <w:r>
              <w:rPr>
                <w:rFonts w:ascii="Times New Roman" w:hAnsi="Times New Roman" w:cs="Times New Roman"/>
                <w:sz w:val="20"/>
                <w:szCs w:val="20"/>
              </w:rPr>
              <w:t xml:space="preserve"> </w:t>
            </w:r>
            <w:r w:rsidRPr="005E7B6A">
              <w:rPr>
                <w:rFonts w:ascii="Times New Roman" w:hAnsi="Times New Roman" w:cs="Times New Roman"/>
                <w:sz w:val="20"/>
                <w:szCs w:val="20"/>
              </w:rPr>
              <w:t>para</w:t>
            </w:r>
            <w:r>
              <w:rPr>
                <w:rFonts w:ascii="Times New Roman" w:hAnsi="Times New Roman" w:cs="Times New Roman"/>
                <w:sz w:val="20"/>
                <w:szCs w:val="20"/>
              </w:rPr>
              <w:t xml:space="preserve"> </w:t>
            </w:r>
            <w:r w:rsidRPr="005E7B6A">
              <w:rPr>
                <w:rFonts w:ascii="Times New Roman" w:hAnsi="Times New Roman" w:cs="Times New Roman"/>
                <w:sz w:val="20"/>
                <w:szCs w:val="20"/>
              </w:rPr>
              <w:t>el</w:t>
            </w:r>
            <w:r>
              <w:rPr>
                <w:rFonts w:ascii="Times New Roman" w:hAnsi="Times New Roman" w:cs="Times New Roman"/>
                <w:sz w:val="20"/>
                <w:szCs w:val="20"/>
              </w:rPr>
              <w:t xml:space="preserve"> </w:t>
            </w:r>
            <w:r w:rsidRPr="005E7B6A">
              <w:rPr>
                <w:rFonts w:ascii="Times New Roman" w:hAnsi="Times New Roman" w:cs="Times New Roman"/>
                <w:sz w:val="20"/>
                <w:szCs w:val="20"/>
              </w:rPr>
              <w:t>manejo</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pacientes</w:t>
            </w:r>
            <w:r>
              <w:rPr>
                <w:rFonts w:ascii="Times New Roman" w:hAnsi="Times New Roman" w:cs="Times New Roman"/>
                <w:sz w:val="20"/>
                <w:szCs w:val="20"/>
              </w:rPr>
              <w:t xml:space="preserve"> </w:t>
            </w:r>
            <w:r w:rsidRPr="005E7B6A">
              <w:rPr>
                <w:rFonts w:ascii="Times New Roman" w:hAnsi="Times New Roman" w:cs="Times New Roman"/>
                <w:sz w:val="20"/>
                <w:szCs w:val="20"/>
              </w:rPr>
              <w:t>con</w:t>
            </w:r>
            <w:r>
              <w:rPr>
                <w:rFonts w:ascii="Times New Roman" w:hAnsi="Times New Roman" w:cs="Times New Roman"/>
                <w:sz w:val="20"/>
                <w:szCs w:val="20"/>
              </w:rPr>
              <w:t xml:space="preserve"> </w:t>
            </w:r>
            <w:r w:rsidRPr="005E7B6A">
              <w:rPr>
                <w:rFonts w:ascii="Times New Roman" w:hAnsi="Times New Roman" w:cs="Times New Roman"/>
                <w:sz w:val="20"/>
                <w:szCs w:val="20"/>
              </w:rPr>
              <w:t>estas</w:t>
            </w:r>
            <w:r>
              <w:rPr>
                <w:rFonts w:ascii="Times New Roman" w:hAnsi="Times New Roman" w:cs="Times New Roman"/>
                <w:sz w:val="20"/>
                <w:szCs w:val="20"/>
              </w:rPr>
              <w:t xml:space="preserve"> </w:t>
            </w:r>
            <w:r w:rsidRPr="005E7B6A">
              <w:rPr>
                <w:rFonts w:ascii="Times New Roman" w:hAnsi="Times New Roman" w:cs="Times New Roman"/>
                <w:sz w:val="20"/>
                <w:szCs w:val="20"/>
              </w:rPr>
              <w:t>enfermedades</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p>
        </w:tc>
        <w:tc>
          <w:tcPr>
            <w:tcW w:w="851" w:type="dxa"/>
            <w:vAlign w:val="center"/>
          </w:tcPr>
          <w:p w14:paraId="503F743A" w14:textId="77777777" w:rsidR="00AA7739" w:rsidRPr="005E7B6A" w:rsidRDefault="00AA7739" w:rsidP="009B6E81">
            <w:pPr>
              <w:spacing w:after="0"/>
              <w:jc w:val="center"/>
              <w:rPr>
                <w:rFonts w:ascii="Times New Roman" w:hAnsi="Times New Roman" w:cs="Times New Roman"/>
                <w:sz w:val="20"/>
                <w:szCs w:val="20"/>
              </w:rPr>
            </w:pPr>
          </w:p>
        </w:tc>
        <w:tc>
          <w:tcPr>
            <w:tcW w:w="1701" w:type="dxa"/>
            <w:vAlign w:val="center"/>
          </w:tcPr>
          <w:p w14:paraId="2D5AB50E"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bCs/>
                <w:sz w:val="20"/>
                <w:szCs w:val="20"/>
              </w:rPr>
              <w:t>No</w:t>
            </w:r>
            <w:r>
              <w:rPr>
                <w:rFonts w:ascii="Times New Roman" w:hAnsi="Times New Roman" w:cs="Times New Roman"/>
                <w:bCs/>
                <w:sz w:val="20"/>
                <w:szCs w:val="20"/>
              </w:rPr>
              <w:t xml:space="preserve"> </w:t>
            </w: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complejo</w:t>
            </w:r>
            <w:r>
              <w:rPr>
                <w:rFonts w:ascii="Times New Roman" w:hAnsi="Times New Roman" w:cs="Times New Roman"/>
                <w:bCs/>
                <w:sz w:val="20"/>
                <w:szCs w:val="20"/>
              </w:rPr>
              <w:t xml:space="preserve"> </w:t>
            </w:r>
            <w:r w:rsidRPr="005E7B6A">
              <w:rPr>
                <w:rFonts w:ascii="Times New Roman" w:hAnsi="Times New Roman" w:cs="Times New Roman"/>
                <w:bCs/>
                <w:sz w:val="20"/>
                <w:szCs w:val="20"/>
              </w:rPr>
              <w:t>ni</w:t>
            </w:r>
            <w:r>
              <w:rPr>
                <w:rFonts w:ascii="Times New Roman" w:hAnsi="Times New Roman" w:cs="Times New Roman"/>
                <w:bCs/>
                <w:sz w:val="20"/>
                <w:szCs w:val="20"/>
              </w:rPr>
              <w:t xml:space="preserve"> </w:t>
            </w:r>
            <w:r w:rsidRPr="005E7B6A">
              <w:rPr>
                <w:rFonts w:ascii="Times New Roman" w:hAnsi="Times New Roman" w:cs="Times New Roman"/>
                <w:bCs/>
                <w:sz w:val="20"/>
                <w:szCs w:val="20"/>
              </w:rPr>
              <w:t>costoso</w:t>
            </w:r>
            <w:r>
              <w:rPr>
                <w:rFonts w:ascii="Times New Roman" w:hAnsi="Times New Roman" w:cs="Times New Roman"/>
                <w:bCs/>
                <w:sz w:val="20"/>
                <w:szCs w:val="20"/>
              </w:rPr>
              <w:t xml:space="preserve"> </w:t>
            </w:r>
            <w:r w:rsidRPr="005E7B6A">
              <w:rPr>
                <w:rFonts w:ascii="Times New Roman" w:hAnsi="Times New Roman" w:cs="Times New Roman"/>
                <w:bCs/>
                <w:sz w:val="20"/>
                <w:szCs w:val="20"/>
              </w:rPr>
              <w:t>resolver</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capacitación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profesionales</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desarrollo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guías</w:t>
            </w:r>
            <w:r>
              <w:rPr>
                <w:rFonts w:ascii="Times New Roman" w:hAnsi="Times New Roman" w:cs="Times New Roman"/>
                <w:bCs/>
                <w:sz w:val="20"/>
                <w:szCs w:val="20"/>
              </w:rPr>
              <w:t xml:space="preserve"> </w:t>
            </w:r>
            <w:r w:rsidRPr="005E7B6A">
              <w:rPr>
                <w:rFonts w:ascii="Times New Roman" w:hAnsi="Times New Roman" w:cs="Times New Roman"/>
                <w:bCs/>
                <w:sz w:val="20"/>
                <w:szCs w:val="20"/>
              </w:rPr>
              <w:t>clínicas</w:t>
            </w:r>
            <w:r>
              <w:rPr>
                <w:rFonts w:ascii="Times New Roman" w:hAnsi="Times New Roman" w:cs="Times New Roman"/>
                <w:bCs/>
                <w:sz w:val="20"/>
                <w:szCs w:val="20"/>
              </w:rPr>
              <w:t xml:space="preserve"> </w:t>
            </w:r>
            <w:r w:rsidRPr="005E7B6A">
              <w:rPr>
                <w:rFonts w:ascii="Times New Roman" w:hAnsi="Times New Roman" w:cs="Times New Roman"/>
                <w:bCs/>
                <w:sz w:val="20"/>
                <w:szCs w:val="20"/>
              </w:rPr>
              <w:t>armonizadas.</w:t>
            </w:r>
            <w:r>
              <w:rPr>
                <w:rFonts w:ascii="Times New Roman" w:hAnsi="Times New Roman" w:cs="Times New Roman"/>
                <w:bCs/>
                <w:sz w:val="20"/>
                <w:szCs w:val="20"/>
              </w:rPr>
              <w:t xml:space="preserve">  </w:t>
            </w:r>
            <w:r w:rsidRPr="005E7B6A">
              <w:rPr>
                <w:rFonts w:ascii="Times New Roman" w:hAnsi="Times New Roman" w:cs="Times New Roman"/>
                <w:sz w:val="20"/>
                <w:szCs w:val="20"/>
              </w:rPr>
              <w:t>Es</w:t>
            </w:r>
            <w:r>
              <w:rPr>
                <w:rFonts w:ascii="Times New Roman" w:hAnsi="Times New Roman" w:cs="Times New Roman"/>
                <w:sz w:val="20"/>
                <w:szCs w:val="20"/>
              </w:rPr>
              <w:t xml:space="preserve"> </w:t>
            </w:r>
            <w:r w:rsidRPr="005E7B6A">
              <w:rPr>
                <w:rFonts w:ascii="Times New Roman" w:hAnsi="Times New Roman" w:cs="Times New Roman"/>
                <w:sz w:val="20"/>
                <w:szCs w:val="20"/>
              </w:rPr>
              <w:t>necesario</w:t>
            </w:r>
            <w:r>
              <w:rPr>
                <w:rFonts w:ascii="Times New Roman" w:hAnsi="Times New Roman" w:cs="Times New Roman"/>
                <w:sz w:val="20"/>
                <w:szCs w:val="20"/>
              </w:rPr>
              <w:t xml:space="preserve"> </w:t>
            </w:r>
            <w:r w:rsidRPr="005E7B6A">
              <w:rPr>
                <w:rFonts w:ascii="Times New Roman" w:hAnsi="Times New Roman" w:cs="Times New Roman"/>
                <w:sz w:val="20"/>
                <w:szCs w:val="20"/>
              </w:rPr>
              <w:t>diseminar</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información</w:t>
            </w:r>
            <w:r>
              <w:rPr>
                <w:rFonts w:ascii="Times New Roman" w:hAnsi="Times New Roman" w:cs="Times New Roman"/>
                <w:sz w:val="20"/>
                <w:szCs w:val="20"/>
              </w:rPr>
              <w:t xml:space="preserve"> </w:t>
            </w:r>
            <w:r w:rsidRPr="005E7B6A">
              <w:rPr>
                <w:rFonts w:ascii="Times New Roman" w:hAnsi="Times New Roman" w:cs="Times New Roman"/>
                <w:sz w:val="20"/>
                <w:szCs w:val="20"/>
              </w:rPr>
              <w:t>y</w:t>
            </w:r>
            <w:r>
              <w:rPr>
                <w:rFonts w:ascii="Times New Roman" w:hAnsi="Times New Roman" w:cs="Times New Roman"/>
                <w:sz w:val="20"/>
                <w:szCs w:val="20"/>
              </w:rPr>
              <w:t xml:space="preserve"> </w:t>
            </w:r>
            <w:r w:rsidRPr="005E7B6A">
              <w:rPr>
                <w:rFonts w:ascii="Times New Roman" w:hAnsi="Times New Roman" w:cs="Times New Roman"/>
                <w:sz w:val="20"/>
                <w:szCs w:val="20"/>
              </w:rPr>
              <w:t>replicarla</w:t>
            </w:r>
            <w:r>
              <w:rPr>
                <w:rFonts w:ascii="Times New Roman" w:hAnsi="Times New Roman" w:cs="Times New Roman"/>
                <w:sz w:val="20"/>
                <w:szCs w:val="20"/>
              </w:rPr>
              <w:t xml:space="preserve"> </w:t>
            </w:r>
            <w:r w:rsidRPr="005E7B6A">
              <w:rPr>
                <w:rFonts w:ascii="Times New Roman" w:hAnsi="Times New Roman" w:cs="Times New Roman"/>
                <w:sz w:val="20"/>
                <w:szCs w:val="20"/>
              </w:rPr>
              <w:t>en</w:t>
            </w:r>
            <w:r>
              <w:rPr>
                <w:rFonts w:ascii="Times New Roman" w:hAnsi="Times New Roman" w:cs="Times New Roman"/>
                <w:sz w:val="20"/>
                <w:szCs w:val="20"/>
              </w:rPr>
              <w:t xml:space="preserve"> </w:t>
            </w:r>
            <w:r w:rsidRPr="005E7B6A">
              <w:rPr>
                <w:rFonts w:ascii="Times New Roman" w:hAnsi="Times New Roman" w:cs="Times New Roman"/>
                <w:sz w:val="20"/>
                <w:szCs w:val="20"/>
              </w:rPr>
              <w:t>los</w:t>
            </w:r>
            <w:r>
              <w:rPr>
                <w:rFonts w:ascii="Times New Roman" w:hAnsi="Times New Roman" w:cs="Times New Roman"/>
                <w:sz w:val="20"/>
                <w:szCs w:val="20"/>
              </w:rPr>
              <w:t xml:space="preserve"> </w:t>
            </w:r>
            <w:r w:rsidRPr="005E7B6A">
              <w:rPr>
                <w:rFonts w:ascii="Times New Roman" w:hAnsi="Times New Roman" w:cs="Times New Roman"/>
                <w:sz w:val="20"/>
                <w:szCs w:val="20"/>
              </w:rPr>
              <w:t>países</w:t>
            </w:r>
            <w:r>
              <w:rPr>
                <w:rFonts w:ascii="Times New Roman" w:hAnsi="Times New Roman" w:cs="Times New Roman"/>
                <w:sz w:val="20"/>
                <w:szCs w:val="20"/>
              </w:rPr>
              <w:t xml:space="preserve"> </w:t>
            </w:r>
            <w:r w:rsidRPr="005E7B6A">
              <w:rPr>
                <w:rFonts w:ascii="Times New Roman" w:hAnsi="Times New Roman" w:cs="Times New Roman"/>
                <w:sz w:val="20"/>
                <w:szCs w:val="20"/>
              </w:rPr>
              <w:t>de</w:t>
            </w:r>
            <w:r>
              <w:rPr>
                <w:rFonts w:ascii="Times New Roman" w:hAnsi="Times New Roman" w:cs="Times New Roman"/>
                <w:sz w:val="20"/>
                <w:szCs w:val="20"/>
              </w:rPr>
              <w:t xml:space="preserve"> </w:t>
            </w:r>
            <w:r w:rsidRPr="005E7B6A">
              <w:rPr>
                <w:rFonts w:ascii="Times New Roman" w:hAnsi="Times New Roman" w:cs="Times New Roman"/>
                <w:sz w:val="20"/>
                <w:szCs w:val="20"/>
              </w:rPr>
              <w:t>la</w:t>
            </w:r>
            <w:r>
              <w:rPr>
                <w:rFonts w:ascii="Times New Roman" w:hAnsi="Times New Roman" w:cs="Times New Roman"/>
                <w:sz w:val="20"/>
                <w:szCs w:val="20"/>
              </w:rPr>
              <w:t xml:space="preserve"> </w:t>
            </w:r>
            <w:r w:rsidRPr="005E7B6A">
              <w:rPr>
                <w:rFonts w:ascii="Times New Roman" w:hAnsi="Times New Roman" w:cs="Times New Roman"/>
                <w:sz w:val="20"/>
                <w:szCs w:val="20"/>
              </w:rPr>
              <w:t>región</w:t>
            </w:r>
          </w:p>
        </w:tc>
        <w:tc>
          <w:tcPr>
            <w:tcW w:w="709" w:type="dxa"/>
            <w:vAlign w:val="center"/>
          </w:tcPr>
          <w:p w14:paraId="0BE0A7B7" w14:textId="77777777" w:rsidR="00AA7739" w:rsidRPr="005E7B6A" w:rsidRDefault="00AA7739" w:rsidP="009B6E81">
            <w:pPr>
              <w:spacing w:after="0"/>
              <w:jc w:val="center"/>
              <w:rPr>
                <w:rFonts w:ascii="Times New Roman" w:hAnsi="Times New Roman" w:cs="Times New Roman"/>
                <w:sz w:val="20"/>
                <w:szCs w:val="20"/>
              </w:rPr>
            </w:pPr>
          </w:p>
        </w:tc>
        <w:tc>
          <w:tcPr>
            <w:tcW w:w="850" w:type="dxa"/>
            <w:vAlign w:val="center"/>
          </w:tcPr>
          <w:p w14:paraId="448ED1DA" w14:textId="77777777" w:rsidR="00AA7739" w:rsidRPr="005E7B6A" w:rsidRDefault="00AA7739" w:rsidP="009B6E81">
            <w:pPr>
              <w:spacing w:after="0"/>
              <w:jc w:val="center"/>
              <w:rPr>
                <w:rFonts w:ascii="Times New Roman" w:hAnsi="Times New Roman" w:cs="Times New Roman"/>
                <w:sz w:val="20"/>
                <w:szCs w:val="20"/>
              </w:rPr>
            </w:pPr>
          </w:p>
        </w:tc>
      </w:tr>
      <w:tr w:rsidR="00AA7739" w:rsidRPr="005E7B6A" w14:paraId="5E663BD4" w14:textId="77777777" w:rsidTr="009B6E81">
        <w:trPr>
          <w:trHeight w:val="807"/>
          <w:tblHeader/>
        </w:trPr>
        <w:tc>
          <w:tcPr>
            <w:tcW w:w="515" w:type="dxa"/>
            <w:vMerge w:val="restart"/>
            <w:shd w:val="clear" w:color="auto" w:fill="F79646" w:themeFill="accent6"/>
            <w:vAlign w:val="center"/>
            <w:hideMark/>
          </w:tcPr>
          <w:p w14:paraId="6CE1D62D" w14:textId="77777777" w:rsidR="00AA7739" w:rsidRPr="005E7B6A" w:rsidRDefault="00AA7739" w:rsidP="009B6E81">
            <w:pPr>
              <w:spacing w:after="0"/>
              <w:jc w:val="center"/>
              <w:rPr>
                <w:rFonts w:ascii="Times New Roman" w:hAnsi="Times New Roman" w:cs="Times New Roman"/>
                <w:sz w:val="20"/>
                <w:szCs w:val="20"/>
              </w:rPr>
            </w:pPr>
            <w:r>
              <w:rPr>
                <w:rFonts w:ascii="Times New Roman" w:hAnsi="Times New Roman" w:cs="Times New Roman"/>
                <w:sz w:val="20"/>
                <w:szCs w:val="20"/>
              </w:rPr>
              <w:t>6</w:t>
            </w:r>
          </w:p>
        </w:tc>
        <w:tc>
          <w:tcPr>
            <w:tcW w:w="2360" w:type="dxa"/>
            <w:vMerge w:val="restart"/>
            <w:vAlign w:val="center"/>
            <w:hideMark/>
          </w:tcPr>
          <w:p w14:paraId="2EE26D0B" w14:textId="77777777" w:rsidR="00AA7739"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S2</w:t>
            </w:r>
          </w:p>
          <w:p w14:paraId="3F7DF9AA" w14:textId="77777777" w:rsidR="00AA7739" w:rsidRPr="005E7B6A" w:rsidRDefault="00AA7739" w:rsidP="009B6E81">
            <w:pPr>
              <w:spacing w:after="0"/>
              <w:jc w:val="center"/>
              <w:rPr>
                <w:rFonts w:ascii="Times New Roman" w:hAnsi="Times New Roman" w:cs="Times New Roman"/>
                <w:b/>
                <w:bCs/>
                <w:sz w:val="20"/>
                <w:szCs w:val="20"/>
              </w:rPr>
            </w:pPr>
            <w:r w:rsidRPr="005E7B6A">
              <w:rPr>
                <w:rFonts w:ascii="Times New Roman" w:hAnsi="Times New Roman" w:cs="Times New Roman"/>
                <w:b/>
                <w:bCs/>
                <w:sz w:val="20"/>
                <w:szCs w:val="20"/>
              </w:rPr>
              <w:t>Insuficiente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número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profesionales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lastRenderedPageBreak/>
              <w:t>capacitados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guías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clínicas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armonizadas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para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utilización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desarrollo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radiofármacos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para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diagnóstico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tratamiento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con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teranósticos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y</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mejoramiento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equipamiento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existente.</w:t>
            </w:r>
          </w:p>
        </w:tc>
        <w:tc>
          <w:tcPr>
            <w:tcW w:w="1656" w:type="dxa"/>
            <w:vAlign w:val="center"/>
            <w:hideMark/>
          </w:tcPr>
          <w:p w14:paraId="5EDFD136"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lastRenderedPageBreak/>
              <w:t>3.25</w:t>
            </w:r>
          </w:p>
        </w:tc>
        <w:tc>
          <w:tcPr>
            <w:tcW w:w="1560" w:type="dxa"/>
            <w:vAlign w:val="center"/>
            <w:hideMark/>
          </w:tcPr>
          <w:p w14:paraId="4B69F862"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1275" w:type="dxa"/>
            <w:vAlign w:val="center"/>
            <w:hideMark/>
          </w:tcPr>
          <w:p w14:paraId="3B6A936E"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3.50</w:t>
            </w:r>
          </w:p>
        </w:tc>
        <w:tc>
          <w:tcPr>
            <w:tcW w:w="1701" w:type="dxa"/>
            <w:vAlign w:val="center"/>
            <w:hideMark/>
          </w:tcPr>
          <w:p w14:paraId="02A6B5E9"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4.50</w:t>
            </w:r>
          </w:p>
        </w:tc>
        <w:tc>
          <w:tcPr>
            <w:tcW w:w="851" w:type="dxa"/>
            <w:vAlign w:val="center"/>
            <w:hideMark/>
          </w:tcPr>
          <w:p w14:paraId="509D620B"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15.25</w:t>
            </w:r>
          </w:p>
        </w:tc>
        <w:tc>
          <w:tcPr>
            <w:tcW w:w="1701" w:type="dxa"/>
            <w:vAlign w:val="center"/>
            <w:hideMark/>
          </w:tcPr>
          <w:p w14:paraId="40C714E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3.50</w:t>
            </w:r>
          </w:p>
        </w:tc>
        <w:tc>
          <w:tcPr>
            <w:tcW w:w="709" w:type="dxa"/>
            <w:vAlign w:val="center"/>
            <w:hideMark/>
          </w:tcPr>
          <w:p w14:paraId="307957F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1.29</w:t>
            </w:r>
          </w:p>
        </w:tc>
        <w:tc>
          <w:tcPr>
            <w:tcW w:w="850" w:type="dxa"/>
            <w:vAlign w:val="center"/>
            <w:hideMark/>
          </w:tcPr>
          <w:p w14:paraId="3A2FFF69"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19.61</w:t>
            </w:r>
          </w:p>
        </w:tc>
      </w:tr>
      <w:tr w:rsidR="00AA7739" w:rsidRPr="005E7B6A" w14:paraId="270795D5" w14:textId="77777777" w:rsidTr="009B6E81">
        <w:trPr>
          <w:trHeight w:val="1642"/>
          <w:tblHeader/>
        </w:trPr>
        <w:tc>
          <w:tcPr>
            <w:tcW w:w="515" w:type="dxa"/>
            <w:vMerge/>
            <w:shd w:val="clear" w:color="auto" w:fill="F79646" w:themeFill="accent6"/>
            <w:vAlign w:val="center"/>
          </w:tcPr>
          <w:p w14:paraId="1312284F" w14:textId="77777777" w:rsidR="00AA7739" w:rsidRPr="005E7B6A" w:rsidRDefault="00AA7739" w:rsidP="009B6E81">
            <w:pPr>
              <w:spacing w:after="0"/>
              <w:jc w:val="center"/>
              <w:rPr>
                <w:rFonts w:ascii="Times New Roman" w:hAnsi="Times New Roman" w:cs="Times New Roman"/>
                <w:sz w:val="20"/>
                <w:szCs w:val="20"/>
              </w:rPr>
            </w:pPr>
          </w:p>
        </w:tc>
        <w:tc>
          <w:tcPr>
            <w:tcW w:w="2360" w:type="dxa"/>
            <w:vMerge/>
            <w:vAlign w:val="center"/>
          </w:tcPr>
          <w:p w14:paraId="3AA10E94" w14:textId="77777777" w:rsidR="00AA7739" w:rsidRPr="005E7B6A" w:rsidRDefault="00AA7739" w:rsidP="009B6E81">
            <w:pPr>
              <w:spacing w:after="0"/>
              <w:jc w:val="center"/>
              <w:rPr>
                <w:rFonts w:ascii="Times New Roman" w:hAnsi="Times New Roman" w:cs="Times New Roman"/>
                <w:b/>
                <w:bCs/>
                <w:sz w:val="20"/>
                <w:szCs w:val="20"/>
              </w:rPr>
            </w:pPr>
          </w:p>
        </w:tc>
        <w:tc>
          <w:tcPr>
            <w:tcW w:w="1656" w:type="dxa"/>
            <w:vAlign w:val="center"/>
          </w:tcPr>
          <w:p w14:paraId="4FB9203A"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una</w:t>
            </w:r>
            <w:r>
              <w:rPr>
                <w:rFonts w:ascii="Times New Roman" w:hAnsi="Times New Roman" w:cs="Times New Roman"/>
                <w:bCs/>
                <w:sz w:val="20"/>
                <w:szCs w:val="20"/>
              </w:rPr>
              <w:t xml:space="preserve"> </w:t>
            </w:r>
            <w:r w:rsidRPr="005E7B6A">
              <w:rPr>
                <w:rFonts w:ascii="Times New Roman" w:hAnsi="Times New Roman" w:cs="Times New Roman"/>
                <w:bCs/>
                <w:sz w:val="20"/>
                <w:szCs w:val="20"/>
              </w:rPr>
              <w:t>necesidad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tiene</w:t>
            </w:r>
            <w:r>
              <w:rPr>
                <w:rFonts w:ascii="Times New Roman" w:hAnsi="Times New Roman" w:cs="Times New Roman"/>
                <w:bCs/>
                <w:sz w:val="20"/>
                <w:szCs w:val="20"/>
              </w:rPr>
              <w:t xml:space="preserve"> </w:t>
            </w:r>
            <w:r w:rsidRPr="005E7B6A">
              <w:rPr>
                <w:rFonts w:ascii="Times New Roman" w:hAnsi="Times New Roman" w:cs="Times New Roman"/>
                <w:bCs/>
                <w:sz w:val="20"/>
                <w:szCs w:val="20"/>
              </w:rPr>
              <w:t>importancia</w:t>
            </w:r>
            <w:r>
              <w:rPr>
                <w:rFonts w:ascii="Times New Roman" w:hAnsi="Times New Roman" w:cs="Times New Roman"/>
                <w:bCs/>
                <w:sz w:val="20"/>
                <w:szCs w:val="20"/>
              </w:rPr>
              <w:t xml:space="preserve"> </w:t>
            </w:r>
            <w:r w:rsidRPr="005E7B6A">
              <w:rPr>
                <w:rFonts w:ascii="Times New Roman" w:hAnsi="Times New Roman" w:cs="Times New Roman"/>
                <w:bCs/>
                <w:sz w:val="20"/>
                <w:szCs w:val="20"/>
              </w:rPr>
              <w:t>media</w:t>
            </w:r>
            <w:r>
              <w:rPr>
                <w:rFonts w:ascii="Times New Roman" w:hAnsi="Times New Roman" w:cs="Times New Roman"/>
                <w:bCs/>
                <w:sz w:val="20"/>
                <w:szCs w:val="20"/>
              </w:rPr>
              <w:t xml:space="preserve"> </w:t>
            </w:r>
            <w:r w:rsidRPr="005E7B6A">
              <w:rPr>
                <w:rFonts w:ascii="Times New Roman" w:hAnsi="Times New Roman" w:cs="Times New Roman"/>
                <w:bCs/>
                <w:sz w:val="20"/>
                <w:szCs w:val="20"/>
              </w:rPr>
              <w:t>porque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incidencia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algunas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las</w:t>
            </w:r>
            <w:r>
              <w:rPr>
                <w:rFonts w:ascii="Times New Roman" w:hAnsi="Times New Roman" w:cs="Times New Roman"/>
                <w:bCs/>
                <w:sz w:val="20"/>
                <w:szCs w:val="20"/>
              </w:rPr>
              <w:t xml:space="preserve"> </w:t>
            </w:r>
            <w:r w:rsidRPr="005E7B6A">
              <w:rPr>
                <w:rFonts w:ascii="Times New Roman" w:hAnsi="Times New Roman" w:cs="Times New Roman"/>
                <w:bCs/>
                <w:sz w:val="20"/>
                <w:szCs w:val="20"/>
              </w:rPr>
              <w:t>patologías</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se</w:t>
            </w:r>
            <w:r>
              <w:rPr>
                <w:rFonts w:ascii="Times New Roman" w:hAnsi="Times New Roman" w:cs="Times New Roman"/>
                <w:bCs/>
                <w:sz w:val="20"/>
                <w:szCs w:val="20"/>
              </w:rPr>
              <w:t xml:space="preserve"> </w:t>
            </w:r>
            <w:r w:rsidRPr="005E7B6A">
              <w:rPr>
                <w:rFonts w:ascii="Times New Roman" w:hAnsi="Times New Roman" w:cs="Times New Roman"/>
                <w:bCs/>
                <w:sz w:val="20"/>
                <w:szCs w:val="20"/>
              </w:rPr>
              <w:t>benefician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esta</w:t>
            </w:r>
            <w:r>
              <w:rPr>
                <w:rFonts w:ascii="Times New Roman" w:hAnsi="Times New Roman" w:cs="Times New Roman"/>
                <w:bCs/>
                <w:sz w:val="20"/>
                <w:szCs w:val="20"/>
              </w:rPr>
              <w:t xml:space="preserve"> </w:t>
            </w:r>
            <w:r w:rsidRPr="005E7B6A">
              <w:rPr>
                <w:rFonts w:ascii="Times New Roman" w:hAnsi="Times New Roman" w:cs="Times New Roman"/>
                <w:bCs/>
                <w:sz w:val="20"/>
                <w:szCs w:val="20"/>
              </w:rPr>
              <w:t>tecnología</w:t>
            </w:r>
            <w:r>
              <w:rPr>
                <w:rFonts w:ascii="Times New Roman" w:hAnsi="Times New Roman" w:cs="Times New Roman"/>
                <w:bCs/>
                <w:sz w:val="20"/>
                <w:szCs w:val="20"/>
              </w:rPr>
              <w:t xml:space="preserve"> </w:t>
            </w: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menor</w:t>
            </w:r>
            <w:r>
              <w:rPr>
                <w:rFonts w:ascii="Times New Roman" w:hAnsi="Times New Roman" w:cs="Times New Roman"/>
                <w:bCs/>
                <w:sz w:val="20"/>
                <w:szCs w:val="20"/>
              </w:rPr>
              <w:t xml:space="preserve"> </w:t>
            </w:r>
            <w:r w:rsidRPr="005E7B6A">
              <w:rPr>
                <w:rFonts w:ascii="Times New Roman" w:hAnsi="Times New Roman" w:cs="Times New Roman"/>
                <w:bCs/>
                <w:sz w:val="20"/>
                <w:szCs w:val="20"/>
              </w:rPr>
              <w:t>comparativamente</w:t>
            </w:r>
            <w:r>
              <w:rPr>
                <w:rFonts w:ascii="Times New Roman" w:hAnsi="Times New Roman" w:cs="Times New Roman"/>
                <w:bCs/>
                <w:sz w:val="20"/>
                <w:szCs w:val="20"/>
              </w:rPr>
              <w:t xml:space="preserve"> </w:t>
            </w:r>
            <w:r w:rsidRPr="005E7B6A">
              <w:rPr>
                <w:rFonts w:ascii="Times New Roman" w:hAnsi="Times New Roman" w:cs="Times New Roman"/>
                <w:bCs/>
                <w:sz w:val="20"/>
                <w:szCs w:val="20"/>
              </w:rPr>
              <w:t>con</w:t>
            </w:r>
            <w:r>
              <w:rPr>
                <w:rFonts w:ascii="Times New Roman" w:hAnsi="Times New Roman" w:cs="Times New Roman"/>
                <w:bCs/>
                <w:sz w:val="20"/>
                <w:szCs w:val="20"/>
              </w:rPr>
              <w:t xml:space="preserve"> </w:t>
            </w:r>
            <w:r w:rsidRPr="005E7B6A">
              <w:rPr>
                <w:rFonts w:ascii="Times New Roman" w:hAnsi="Times New Roman" w:cs="Times New Roman"/>
                <w:bCs/>
                <w:sz w:val="20"/>
                <w:szCs w:val="20"/>
              </w:rPr>
              <w:t>otros</w:t>
            </w:r>
            <w:r>
              <w:rPr>
                <w:rFonts w:ascii="Times New Roman" w:hAnsi="Times New Roman" w:cs="Times New Roman"/>
                <w:bCs/>
                <w:sz w:val="20"/>
                <w:szCs w:val="20"/>
              </w:rPr>
              <w:t xml:space="preserve"> </w:t>
            </w:r>
            <w:r w:rsidRPr="005E7B6A">
              <w:rPr>
                <w:rFonts w:ascii="Times New Roman" w:hAnsi="Times New Roman" w:cs="Times New Roman"/>
                <w:bCs/>
                <w:sz w:val="20"/>
                <w:szCs w:val="20"/>
              </w:rPr>
              <w:t>tumores</w:t>
            </w:r>
            <w:r>
              <w:rPr>
                <w:rFonts w:ascii="Times New Roman" w:hAnsi="Times New Roman" w:cs="Times New Roman"/>
                <w:bCs/>
                <w:sz w:val="20"/>
                <w:szCs w:val="20"/>
              </w:rPr>
              <w:t xml:space="preserve"> </w:t>
            </w:r>
            <w:r w:rsidRPr="005E7B6A">
              <w:rPr>
                <w:rFonts w:ascii="Times New Roman" w:hAnsi="Times New Roman" w:cs="Times New Roman"/>
                <w:bCs/>
                <w:sz w:val="20"/>
                <w:szCs w:val="20"/>
              </w:rPr>
              <w:t>más</w:t>
            </w:r>
            <w:r>
              <w:rPr>
                <w:rFonts w:ascii="Times New Roman" w:hAnsi="Times New Roman" w:cs="Times New Roman"/>
                <w:bCs/>
                <w:sz w:val="20"/>
                <w:szCs w:val="20"/>
              </w:rPr>
              <w:t xml:space="preserve"> </w:t>
            </w:r>
            <w:r w:rsidRPr="005E7B6A">
              <w:rPr>
                <w:rFonts w:ascii="Times New Roman" w:hAnsi="Times New Roman" w:cs="Times New Roman"/>
                <w:bCs/>
                <w:sz w:val="20"/>
                <w:szCs w:val="20"/>
              </w:rPr>
              <w:t>frecuentes</w:t>
            </w:r>
          </w:p>
        </w:tc>
        <w:tc>
          <w:tcPr>
            <w:tcW w:w="1560" w:type="dxa"/>
            <w:vAlign w:val="center"/>
          </w:tcPr>
          <w:p w14:paraId="0C163075"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desarrollo</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utilización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nuevos</w:t>
            </w:r>
            <w:r>
              <w:rPr>
                <w:rFonts w:ascii="Times New Roman" w:hAnsi="Times New Roman" w:cs="Times New Roman"/>
                <w:bCs/>
                <w:sz w:val="20"/>
                <w:szCs w:val="20"/>
              </w:rPr>
              <w:t xml:space="preserve"> </w:t>
            </w:r>
            <w:r w:rsidRPr="005E7B6A">
              <w:rPr>
                <w:rFonts w:ascii="Times New Roman" w:hAnsi="Times New Roman" w:cs="Times New Roman"/>
                <w:bCs/>
                <w:sz w:val="20"/>
                <w:szCs w:val="20"/>
              </w:rPr>
              <w:t>fármacos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para</w:t>
            </w:r>
            <w:r>
              <w:rPr>
                <w:rFonts w:ascii="Times New Roman" w:hAnsi="Times New Roman" w:cs="Times New Roman"/>
                <w:bCs/>
                <w:sz w:val="20"/>
                <w:szCs w:val="20"/>
              </w:rPr>
              <w:t xml:space="preserve"> </w:t>
            </w:r>
            <w:r w:rsidRPr="005E7B6A">
              <w:rPr>
                <w:rFonts w:ascii="Times New Roman" w:hAnsi="Times New Roman" w:cs="Times New Roman"/>
                <w:bCs/>
                <w:sz w:val="20"/>
                <w:szCs w:val="20"/>
              </w:rPr>
              <w:t>teranóstico</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otras</w:t>
            </w:r>
            <w:r>
              <w:rPr>
                <w:rFonts w:ascii="Times New Roman" w:hAnsi="Times New Roman" w:cs="Times New Roman"/>
                <w:bCs/>
                <w:sz w:val="20"/>
                <w:szCs w:val="20"/>
              </w:rPr>
              <w:t xml:space="preserve"> </w:t>
            </w:r>
            <w:r w:rsidRPr="005E7B6A">
              <w:rPr>
                <w:rFonts w:ascii="Times New Roman" w:hAnsi="Times New Roman" w:cs="Times New Roman"/>
                <w:bCs/>
                <w:sz w:val="20"/>
                <w:szCs w:val="20"/>
              </w:rPr>
              <w:t>regiones</w:t>
            </w:r>
            <w:r>
              <w:rPr>
                <w:rFonts w:ascii="Times New Roman" w:hAnsi="Times New Roman" w:cs="Times New Roman"/>
                <w:bCs/>
                <w:sz w:val="20"/>
                <w:szCs w:val="20"/>
              </w:rPr>
              <w:t xml:space="preserve"> </w:t>
            </w:r>
            <w:r w:rsidRPr="005E7B6A">
              <w:rPr>
                <w:rFonts w:ascii="Times New Roman" w:hAnsi="Times New Roman" w:cs="Times New Roman"/>
                <w:bCs/>
                <w:sz w:val="20"/>
                <w:szCs w:val="20"/>
              </w:rPr>
              <w:t>ha</w:t>
            </w:r>
            <w:r>
              <w:rPr>
                <w:rFonts w:ascii="Times New Roman" w:hAnsi="Times New Roman" w:cs="Times New Roman"/>
                <w:bCs/>
                <w:sz w:val="20"/>
                <w:szCs w:val="20"/>
              </w:rPr>
              <w:t xml:space="preserve"> </w:t>
            </w:r>
            <w:r w:rsidRPr="005E7B6A">
              <w:rPr>
                <w:rFonts w:ascii="Times New Roman" w:hAnsi="Times New Roman" w:cs="Times New Roman"/>
                <w:bCs/>
                <w:sz w:val="20"/>
                <w:szCs w:val="20"/>
              </w:rPr>
              <w:t>sido</w:t>
            </w:r>
            <w:r>
              <w:rPr>
                <w:rFonts w:ascii="Times New Roman" w:hAnsi="Times New Roman" w:cs="Times New Roman"/>
                <w:bCs/>
                <w:sz w:val="20"/>
                <w:szCs w:val="20"/>
              </w:rPr>
              <w:t xml:space="preserve"> </w:t>
            </w:r>
            <w:r w:rsidRPr="005E7B6A">
              <w:rPr>
                <w:rFonts w:ascii="Times New Roman" w:hAnsi="Times New Roman" w:cs="Times New Roman"/>
                <w:bCs/>
                <w:sz w:val="20"/>
                <w:szCs w:val="20"/>
              </w:rPr>
              <w:t>mucho</w:t>
            </w:r>
            <w:r>
              <w:rPr>
                <w:rFonts w:ascii="Times New Roman" w:hAnsi="Times New Roman" w:cs="Times New Roman"/>
                <w:bCs/>
                <w:sz w:val="20"/>
                <w:szCs w:val="20"/>
              </w:rPr>
              <w:t xml:space="preserve"> </w:t>
            </w:r>
            <w:r w:rsidRPr="005E7B6A">
              <w:rPr>
                <w:rFonts w:ascii="Times New Roman" w:hAnsi="Times New Roman" w:cs="Times New Roman"/>
                <w:bCs/>
                <w:sz w:val="20"/>
                <w:szCs w:val="20"/>
              </w:rPr>
              <w:t>más</w:t>
            </w:r>
            <w:r>
              <w:rPr>
                <w:rFonts w:ascii="Times New Roman" w:hAnsi="Times New Roman" w:cs="Times New Roman"/>
                <w:bCs/>
                <w:sz w:val="20"/>
                <w:szCs w:val="20"/>
              </w:rPr>
              <w:t xml:space="preserve"> </w:t>
            </w:r>
            <w:r w:rsidRPr="005E7B6A">
              <w:rPr>
                <w:rFonts w:ascii="Times New Roman" w:hAnsi="Times New Roman" w:cs="Times New Roman"/>
                <w:bCs/>
                <w:sz w:val="20"/>
                <w:szCs w:val="20"/>
              </w:rPr>
              <w:t>rápido</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ALC</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esto</w:t>
            </w:r>
            <w:r>
              <w:rPr>
                <w:rFonts w:ascii="Times New Roman" w:hAnsi="Times New Roman" w:cs="Times New Roman"/>
                <w:bCs/>
                <w:sz w:val="20"/>
                <w:szCs w:val="20"/>
              </w:rPr>
              <w:t xml:space="preserve"> </w:t>
            </w: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una</w:t>
            </w:r>
            <w:r>
              <w:rPr>
                <w:rFonts w:ascii="Times New Roman" w:hAnsi="Times New Roman" w:cs="Times New Roman"/>
                <w:bCs/>
                <w:sz w:val="20"/>
                <w:szCs w:val="20"/>
              </w:rPr>
              <w:t xml:space="preserve"> </w:t>
            </w:r>
            <w:r w:rsidRPr="005E7B6A">
              <w:rPr>
                <w:rFonts w:ascii="Times New Roman" w:hAnsi="Times New Roman" w:cs="Times New Roman"/>
                <w:bCs/>
                <w:sz w:val="20"/>
                <w:szCs w:val="20"/>
              </w:rPr>
              <w:t>causa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desigualdad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para</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pacientes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región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no</w:t>
            </w:r>
            <w:r>
              <w:rPr>
                <w:rFonts w:ascii="Times New Roman" w:hAnsi="Times New Roman" w:cs="Times New Roman"/>
                <w:bCs/>
                <w:sz w:val="20"/>
                <w:szCs w:val="20"/>
              </w:rPr>
              <w:t xml:space="preserve"> </w:t>
            </w:r>
            <w:r w:rsidRPr="005E7B6A">
              <w:rPr>
                <w:rFonts w:ascii="Times New Roman" w:hAnsi="Times New Roman" w:cs="Times New Roman"/>
                <w:bCs/>
                <w:sz w:val="20"/>
                <w:szCs w:val="20"/>
              </w:rPr>
              <w:t>tienen</w:t>
            </w:r>
            <w:r>
              <w:rPr>
                <w:rFonts w:ascii="Times New Roman" w:hAnsi="Times New Roman" w:cs="Times New Roman"/>
                <w:bCs/>
                <w:sz w:val="20"/>
                <w:szCs w:val="20"/>
              </w:rPr>
              <w:t xml:space="preserve"> </w:t>
            </w:r>
            <w:r w:rsidRPr="005E7B6A">
              <w:rPr>
                <w:rFonts w:ascii="Times New Roman" w:hAnsi="Times New Roman" w:cs="Times New Roman"/>
                <w:bCs/>
                <w:sz w:val="20"/>
                <w:szCs w:val="20"/>
              </w:rPr>
              <w:t>acceso</w:t>
            </w:r>
            <w:r>
              <w:rPr>
                <w:rFonts w:ascii="Times New Roman" w:hAnsi="Times New Roman" w:cs="Times New Roman"/>
                <w:bCs/>
                <w:sz w:val="20"/>
                <w:szCs w:val="20"/>
              </w:rPr>
              <w:t xml:space="preserve"> </w:t>
            </w:r>
            <w:r w:rsidRPr="005E7B6A">
              <w:rPr>
                <w:rFonts w:ascii="Times New Roman" w:hAnsi="Times New Roman" w:cs="Times New Roman"/>
                <w:bCs/>
                <w:sz w:val="20"/>
                <w:szCs w:val="20"/>
              </w:rPr>
              <w:t>a</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técnica.</w:t>
            </w:r>
          </w:p>
        </w:tc>
        <w:tc>
          <w:tcPr>
            <w:tcW w:w="1275" w:type="dxa"/>
            <w:vAlign w:val="center"/>
          </w:tcPr>
          <w:p w14:paraId="4A4DB4BF"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Este</w:t>
            </w:r>
            <w:r>
              <w:rPr>
                <w:rFonts w:ascii="Times New Roman" w:hAnsi="Times New Roman" w:cs="Times New Roman"/>
                <w:bCs/>
                <w:sz w:val="20"/>
                <w:szCs w:val="20"/>
              </w:rPr>
              <w:t xml:space="preserve"> </w:t>
            </w: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un</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problema</w:t>
            </w:r>
            <w:r>
              <w:rPr>
                <w:rFonts w:ascii="Times New Roman" w:hAnsi="Times New Roman" w:cs="Times New Roman"/>
                <w:bCs/>
                <w:sz w:val="20"/>
                <w:szCs w:val="20"/>
              </w:rPr>
              <w:t xml:space="preserve"> </w:t>
            </w:r>
            <w:r w:rsidRPr="005E7B6A">
              <w:rPr>
                <w:rFonts w:ascii="Times New Roman" w:hAnsi="Times New Roman" w:cs="Times New Roman"/>
                <w:bCs/>
                <w:sz w:val="20"/>
                <w:szCs w:val="20"/>
              </w:rPr>
              <w:t>común</w:t>
            </w:r>
            <w:r>
              <w:rPr>
                <w:rFonts w:ascii="Times New Roman" w:hAnsi="Times New Roman" w:cs="Times New Roman"/>
                <w:bCs/>
                <w:sz w:val="20"/>
                <w:szCs w:val="20"/>
              </w:rPr>
              <w:t xml:space="preserve"> </w:t>
            </w:r>
            <w:r w:rsidRPr="005E7B6A">
              <w:rPr>
                <w:rFonts w:ascii="Times New Roman" w:hAnsi="Times New Roman" w:cs="Times New Roman"/>
                <w:bCs/>
                <w:sz w:val="20"/>
                <w:szCs w:val="20"/>
              </w:rPr>
              <w:t>a</w:t>
            </w:r>
            <w:r>
              <w:rPr>
                <w:rFonts w:ascii="Times New Roman" w:hAnsi="Times New Roman" w:cs="Times New Roman"/>
                <w:bCs/>
                <w:sz w:val="20"/>
                <w:szCs w:val="20"/>
              </w:rPr>
              <w:t xml:space="preserve"> </w:t>
            </w:r>
            <w:r w:rsidRPr="005E7B6A">
              <w:rPr>
                <w:rFonts w:ascii="Times New Roman" w:hAnsi="Times New Roman" w:cs="Times New Roman"/>
                <w:bCs/>
                <w:sz w:val="20"/>
                <w:szCs w:val="20"/>
              </w:rPr>
              <w:t>todos</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países</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están</w:t>
            </w:r>
            <w:r>
              <w:rPr>
                <w:rFonts w:ascii="Times New Roman" w:hAnsi="Times New Roman" w:cs="Times New Roman"/>
                <w:bCs/>
                <w:sz w:val="20"/>
                <w:szCs w:val="20"/>
              </w:rPr>
              <w:t xml:space="preserve"> </w:t>
            </w:r>
            <w:r w:rsidRPr="005E7B6A">
              <w:rPr>
                <w:rFonts w:ascii="Times New Roman" w:hAnsi="Times New Roman" w:cs="Times New Roman"/>
                <w:bCs/>
                <w:sz w:val="20"/>
                <w:szCs w:val="20"/>
              </w:rPr>
              <w:t>utilizando</w:t>
            </w:r>
            <w:r>
              <w:rPr>
                <w:rFonts w:ascii="Times New Roman" w:hAnsi="Times New Roman" w:cs="Times New Roman"/>
                <w:bCs/>
                <w:sz w:val="20"/>
                <w:szCs w:val="20"/>
              </w:rPr>
              <w:t xml:space="preserve"> </w:t>
            </w:r>
            <w:r w:rsidRPr="005E7B6A">
              <w:rPr>
                <w:rFonts w:ascii="Times New Roman" w:hAnsi="Times New Roman" w:cs="Times New Roman"/>
                <w:bCs/>
                <w:sz w:val="20"/>
                <w:szCs w:val="20"/>
              </w:rPr>
              <w:t>o</w:t>
            </w:r>
            <w:r>
              <w:rPr>
                <w:rFonts w:ascii="Times New Roman" w:hAnsi="Times New Roman" w:cs="Times New Roman"/>
                <w:bCs/>
                <w:sz w:val="20"/>
                <w:szCs w:val="20"/>
              </w:rPr>
              <w:t xml:space="preserve"> </w:t>
            </w:r>
            <w:r w:rsidRPr="005E7B6A">
              <w:rPr>
                <w:rFonts w:ascii="Times New Roman" w:hAnsi="Times New Roman" w:cs="Times New Roman"/>
                <w:bCs/>
                <w:sz w:val="20"/>
                <w:szCs w:val="20"/>
              </w:rPr>
              <w:t>planeando</w:t>
            </w:r>
            <w:r>
              <w:rPr>
                <w:rFonts w:ascii="Times New Roman" w:hAnsi="Times New Roman" w:cs="Times New Roman"/>
                <w:bCs/>
                <w:sz w:val="20"/>
                <w:szCs w:val="20"/>
              </w:rPr>
              <w:t xml:space="preserve"> </w:t>
            </w:r>
            <w:r w:rsidRPr="005E7B6A">
              <w:rPr>
                <w:rFonts w:ascii="Times New Roman" w:hAnsi="Times New Roman" w:cs="Times New Roman"/>
                <w:bCs/>
                <w:sz w:val="20"/>
                <w:szCs w:val="20"/>
              </w:rPr>
              <w:t>usar</w:t>
            </w:r>
            <w:r>
              <w:rPr>
                <w:rFonts w:ascii="Times New Roman" w:hAnsi="Times New Roman" w:cs="Times New Roman"/>
                <w:bCs/>
                <w:sz w:val="20"/>
                <w:szCs w:val="20"/>
              </w:rPr>
              <w:t xml:space="preserve"> </w:t>
            </w:r>
            <w:r w:rsidRPr="005E7B6A">
              <w:rPr>
                <w:rFonts w:ascii="Times New Roman" w:hAnsi="Times New Roman" w:cs="Times New Roman"/>
                <w:bCs/>
                <w:sz w:val="20"/>
                <w:szCs w:val="20"/>
              </w:rPr>
              <w:t>teranóstico</w:t>
            </w:r>
            <w:r>
              <w:rPr>
                <w:rFonts w:ascii="Times New Roman" w:hAnsi="Times New Roman" w:cs="Times New Roman"/>
                <w:bCs/>
                <w:sz w:val="20"/>
                <w:szCs w:val="20"/>
              </w:rPr>
              <w:t xml:space="preserve"> </w:t>
            </w:r>
            <w:r w:rsidRPr="005E7B6A">
              <w:rPr>
                <w:rFonts w:ascii="Times New Roman" w:hAnsi="Times New Roman" w:cs="Times New Roman"/>
                <w:bCs/>
                <w:sz w:val="20"/>
                <w:szCs w:val="20"/>
              </w:rPr>
              <w:t>como</w:t>
            </w:r>
            <w:r>
              <w:rPr>
                <w:rFonts w:ascii="Times New Roman" w:hAnsi="Times New Roman" w:cs="Times New Roman"/>
                <w:bCs/>
                <w:sz w:val="20"/>
                <w:szCs w:val="20"/>
              </w:rPr>
              <w:t xml:space="preserve"> </w:t>
            </w:r>
            <w:r w:rsidRPr="005E7B6A">
              <w:rPr>
                <w:rFonts w:ascii="Times New Roman" w:hAnsi="Times New Roman" w:cs="Times New Roman"/>
                <w:bCs/>
                <w:sz w:val="20"/>
                <w:szCs w:val="20"/>
              </w:rPr>
              <w:t>herramienta</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abordaje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cáncer.</w:t>
            </w:r>
          </w:p>
        </w:tc>
        <w:tc>
          <w:tcPr>
            <w:tcW w:w="1701" w:type="dxa"/>
            <w:vAlign w:val="center"/>
          </w:tcPr>
          <w:p w14:paraId="221BDEBA"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Con</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avance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medicina</w:t>
            </w:r>
            <w:r>
              <w:rPr>
                <w:rFonts w:ascii="Times New Roman" w:hAnsi="Times New Roman" w:cs="Times New Roman"/>
                <w:bCs/>
                <w:sz w:val="20"/>
                <w:szCs w:val="20"/>
              </w:rPr>
              <w:t xml:space="preserve"> </w:t>
            </w:r>
            <w:r w:rsidRPr="005E7B6A">
              <w:rPr>
                <w:rFonts w:ascii="Times New Roman" w:hAnsi="Times New Roman" w:cs="Times New Roman"/>
                <w:bCs/>
                <w:sz w:val="20"/>
                <w:szCs w:val="20"/>
              </w:rPr>
              <w:t>nuclear,</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abordaje</w:t>
            </w:r>
            <w:r>
              <w:rPr>
                <w:rFonts w:ascii="Times New Roman" w:hAnsi="Times New Roman" w:cs="Times New Roman"/>
                <w:bCs/>
                <w:sz w:val="20"/>
                <w:szCs w:val="20"/>
              </w:rPr>
              <w:t xml:space="preserve"> </w:t>
            </w:r>
            <w:r w:rsidRPr="005E7B6A">
              <w:rPr>
                <w:rFonts w:ascii="Times New Roman" w:hAnsi="Times New Roman" w:cs="Times New Roman"/>
                <w:bCs/>
                <w:sz w:val="20"/>
                <w:szCs w:val="20"/>
              </w:rPr>
              <w:t>teranóstico</w:t>
            </w:r>
            <w:r>
              <w:rPr>
                <w:rFonts w:ascii="Times New Roman" w:hAnsi="Times New Roman" w:cs="Times New Roman"/>
                <w:bCs/>
                <w:sz w:val="20"/>
                <w:szCs w:val="20"/>
              </w:rPr>
              <w:t xml:space="preserve"> </w:t>
            </w:r>
            <w:r w:rsidRPr="005E7B6A">
              <w:rPr>
                <w:rFonts w:ascii="Times New Roman" w:hAnsi="Times New Roman" w:cs="Times New Roman"/>
                <w:bCs/>
                <w:sz w:val="20"/>
                <w:szCs w:val="20"/>
              </w:rPr>
              <w:t>es</w:t>
            </w:r>
            <w:r>
              <w:rPr>
                <w:rFonts w:ascii="Times New Roman" w:hAnsi="Times New Roman" w:cs="Times New Roman"/>
                <w:bCs/>
                <w:sz w:val="20"/>
                <w:szCs w:val="20"/>
              </w:rPr>
              <w:t xml:space="preserve"> </w:t>
            </w:r>
            <w:r w:rsidRPr="005E7B6A">
              <w:rPr>
                <w:rFonts w:ascii="Times New Roman" w:hAnsi="Times New Roman" w:cs="Times New Roman"/>
                <w:bCs/>
                <w:sz w:val="20"/>
                <w:szCs w:val="20"/>
              </w:rPr>
              <w:t>un</w:t>
            </w:r>
            <w:r>
              <w:rPr>
                <w:rFonts w:ascii="Times New Roman" w:hAnsi="Times New Roman" w:cs="Times New Roman"/>
                <w:bCs/>
                <w:sz w:val="20"/>
                <w:szCs w:val="20"/>
              </w:rPr>
              <w:t xml:space="preserve"> </w:t>
            </w:r>
            <w:r w:rsidRPr="005E7B6A">
              <w:rPr>
                <w:rFonts w:ascii="Times New Roman" w:hAnsi="Times New Roman" w:cs="Times New Roman"/>
                <w:bCs/>
                <w:sz w:val="20"/>
                <w:szCs w:val="20"/>
              </w:rPr>
              <w:t>avance</w:t>
            </w:r>
            <w:r>
              <w:rPr>
                <w:rFonts w:ascii="Times New Roman" w:hAnsi="Times New Roman" w:cs="Times New Roman"/>
                <w:bCs/>
                <w:sz w:val="20"/>
                <w:szCs w:val="20"/>
              </w:rPr>
              <w:t xml:space="preserve"> </w:t>
            </w:r>
            <w:r w:rsidRPr="005E7B6A">
              <w:rPr>
                <w:rFonts w:ascii="Times New Roman" w:hAnsi="Times New Roman" w:cs="Times New Roman"/>
                <w:bCs/>
                <w:sz w:val="20"/>
                <w:szCs w:val="20"/>
              </w:rPr>
              <w:t>crítico</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manejo</w:t>
            </w:r>
            <w:r>
              <w:rPr>
                <w:rFonts w:ascii="Times New Roman" w:hAnsi="Times New Roman" w:cs="Times New Roman"/>
                <w:bCs/>
                <w:sz w:val="20"/>
                <w:szCs w:val="20"/>
              </w:rPr>
              <w:t xml:space="preserve"> </w:t>
            </w:r>
            <w:r w:rsidRPr="005E7B6A">
              <w:rPr>
                <w:rFonts w:ascii="Times New Roman" w:hAnsi="Times New Roman" w:cs="Times New Roman"/>
                <w:bCs/>
                <w:sz w:val="20"/>
                <w:szCs w:val="20"/>
              </w:rPr>
              <w:t>adecuado</w:t>
            </w:r>
            <w:r>
              <w:rPr>
                <w:rFonts w:ascii="Times New Roman" w:hAnsi="Times New Roman" w:cs="Times New Roman"/>
                <w:bCs/>
                <w:sz w:val="20"/>
                <w:szCs w:val="20"/>
              </w:rPr>
              <w:t xml:space="preserve"> </w:t>
            </w:r>
            <w:r w:rsidRPr="005E7B6A">
              <w:rPr>
                <w:rFonts w:ascii="Times New Roman" w:hAnsi="Times New Roman" w:cs="Times New Roman"/>
                <w:bCs/>
                <w:sz w:val="20"/>
                <w:szCs w:val="20"/>
              </w:rPr>
              <w:t>integral</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paciente</w:t>
            </w:r>
            <w:r>
              <w:rPr>
                <w:rFonts w:ascii="Times New Roman" w:hAnsi="Times New Roman" w:cs="Times New Roman"/>
                <w:bCs/>
                <w:sz w:val="20"/>
                <w:szCs w:val="20"/>
              </w:rPr>
              <w:t xml:space="preserve"> </w:t>
            </w:r>
            <w:r w:rsidRPr="005E7B6A">
              <w:rPr>
                <w:rFonts w:ascii="Times New Roman" w:hAnsi="Times New Roman" w:cs="Times New Roman"/>
                <w:bCs/>
                <w:sz w:val="20"/>
                <w:szCs w:val="20"/>
              </w:rPr>
              <w:t>oncológico</w:t>
            </w:r>
          </w:p>
        </w:tc>
        <w:tc>
          <w:tcPr>
            <w:tcW w:w="851" w:type="dxa"/>
            <w:vAlign w:val="center"/>
          </w:tcPr>
          <w:p w14:paraId="223C4928" w14:textId="77777777" w:rsidR="00AA7739" w:rsidRPr="005E7B6A" w:rsidRDefault="00AA7739" w:rsidP="009B6E81">
            <w:pPr>
              <w:spacing w:after="0"/>
              <w:jc w:val="center"/>
              <w:rPr>
                <w:rFonts w:ascii="Times New Roman" w:hAnsi="Times New Roman" w:cs="Times New Roman"/>
                <w:sz w:val="20"/>
                <w:szCs w:val="20"/>
              </w:rPr>
            </w:pPr>
          </w:p>
        </w:tc>
        <w:tc>
          <w:tcPr>
            <w:tcW w:w="1701" w:type="dxa"/>
            <w:vAlign w:val="center"/>
          </w:tcPr>
          <w:p w14:paraId="7DCF5739"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bCs/>
                <w:sz w:val="20"/>
                <w:szCs w:val="20"/>
              </w:rPr>
              <w:t>Dificultad</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acceso</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desarrollo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fármacos,</w:t>
            </w:r>
            <w:r>
              <w:rPr>
                <w:rFonts w:ascii="Times New Roman" w:hAnsi="Times New Roman" w:cs="Times New Roman"/>
                <w:bCs/>
                <w:sz w:val="20"/>
                <w:szCs w:val="20"/>
              </w:rPr>
              <w:t xml:space="preserve"> </w:t>
            </w:r>
            <w:r w:rsidRPr="005E7B6A">
              <w:rPr>
                <w:rFonts w:ascii="Times New Roman" w:hAnsi="Times New Roman" w:cs="Times New Roman"/>
                <w:bCs/>
                <w:sz w:val="20"/>
                <w:szCs w:val="20"/>
              </w:rPr>
              <w:t>falta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personal</w:t>
            </w:r>
            <w:r>
              <w:rPr>
                <w:rFonts w:ascii="Times New Roman" w:hAnsi="Times New Roman" w:cs="Times New Roman"/>
                <w:bCs/>
                <w:sz w:val="20"/>
                <w:szCs w:val="20"/>
              </w:rPr>
              <w:t xml:space="preserve"> </w:t>
            </w:r>
            <w:r w:rsidRPr="005E7B6A">
              <w:rPr>
                <w:rFonts w:ascii="Times New Roman" w:hAnsi="Times New Roman" w:cs="Times New Roman"/>
                <w:bCs/>
                <w:sz w:val="20"/>
                <w:szCs w:val="20"/>
              </w:rPr>
              <w:t>entrenado,</w:t>
            </w:r>
            <w:r>
              <w:rPr>
                <w:rFonts w:ascii="Times New Roman" w:hAnsi="Times New Roman" w:cs="Times New Roman"/>
                <w:bCs/>
                <w:sz w:val="20"/>
                <w:szCs w:val="20"/>
              </w:rPr>
              <w:t xml:space="preserve"> </w:t>
            </w:r>
            <w:r w:rsidRPr="005E7B6A">
              <w:rPr>
                <w:rFonts w:ascii="Times New Roman" w:hAnsi="Times New Roman" w:cs="Times New Roman"/>
                <w:bCs/>
                <w:sz w:val="20"/>
                <w:szCs w:val="20"/>
              </w:rPr>
              <w:t>falta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centros</w:t>
            </w:r>
            <w:r>
              <w:rPr>
                <w:rFonts w:ascii="Times New Roman" w:hAnsi="Times New Roman" w:cs="Times New Roman"/>
                <w:bCs/>
                <w:sz w:val="20"/>
                <w:szCs w:val="20"/>
              </w:rPr>
              <w:t xml:space="preserve"> </w:t>
            </w:r>
            <w:r w:rsidRPr="005E7B6A">
              <w:rPr>
                <w:rFonts w:ascii="Times New Roman" w:hAnsi="Times New Roman" w:cs="Times New Roman"/>
                <w:bCs/>
                <w:sz w:val="20"/>
                <w:szCs w:val="20"/>
              </w:rPr>
              <w:t>formadores/productores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teranósticos.</w:t>
            </w:r>
          </w:p>
        </w:tc>
        <w:tc>
          <w:tcPr>
            <w:tcW w:w="709" w:type="dxa"/>
            <w:vAlign w:val="center"/>
          </w:tcPr>
          <w:p w14:paraId="165221CB" w14:textId="77777777" w:rsidR="00AA7739" w:rsidRPr="005E7B6A" w:rsidRDefault="00AA7739" w:rsidP="009B6E81">
            <w:pPr>
              <w:spacing w:after="0"/>
              <w:jc w:val="center"/>
              <w:rPr>
                <w:rFonts w:ascii="Times New Roman" w:hAnsi="Times New Roman" w:cs="Times New Roman"/>
                <w:sz w:val="20"/>
                <w:szCs w:val="20"/>
              </w:rPr>
            </w:pPr>
          </w:p>
        </w:tc>
        <w:tc>
          <w:tcPr>
            <w:tcW w:w="850" w:type="dxa"/>
            <w:vAlign w:val="center"/>
          </w:tcPr>
          <w:p w14:paraId="67E7146D" w14:textId="77777777" w:rsidR="00AA7739" w:rsidRPr="005E7B6A" w:rsidRDefault="00AA7739" w:rsidP="009B6E81">
            <w:pPr>
              <w:spacing w:after="0"/>
              <w:jc w:val="center"/>
              <w:rPr>
                <w:rFonts w:ascii="Times New Roman" w:hAnsi="Times New Roman" w:cs="Times New Roman"/>
                <w:sz w:val="20"/>
                <w:szCs w:val="20"/>
              </w:rPr>
            </w:pPr>
          </w:p>
        </w:tc>
      </w:tr>
      <w:tr w:rsidR="00AA7739" w:rsidRPr="005E7B6A" w14:paraId="3F4F6242" w14:textId="77777777" w:rsidTr="009B6E81">
        <w:trPr>
          <w:trHeight w:val="654"/>
          <w:tblHeader/>
        </w:trPr>
        <w:tc>
          <w:tcPr>
            <w:tcW w:w="515" w:type="dxa"/>
            <w:vMerge w:val="restart"/>
            <w:shd w:val="clear" w:color="auto" w:fill="F79646" w:themeFill="accent6"/>
            <w:vAlign w:val="center"/>
            <w:hideMark/>
          </w:tcPr>
          <w:p w14:paraId="690BC5FF" w14:textId="77777777" w:rsidR="00AA7739" w:rsidRPr="005E7B6A" w:rsidRDefault="00AA7739" w:rsidP="009B6E81">
            <w:pPr>
              <w:spacing w:after="0"/>
              <w:jc w:val="center"/>
              <w:rPr>
                <w:rFonts w:ascii="Times New Roman" w:hAnsi="Times New Roman" w:cs="Times New Roman"/>
                <w:sz w:val="20"/>
                <w:szCs w:val="20"/>
              </w:rPr>
            </w:pPr>
            <w:r>
              <w:rPr>
                <w:rFonts w:ascii="Times New Roman" w:hAnsi="Times New Roman" w:cs="Times New Roman"/>
                <w:sz w:val="20"/>
                <w:szCs w:val="20"/>
              </w:rPr>
              <w:t>7</w:t>
            </w:r>
          </w:p>
        </w:tc>
        <w:tc>
          <w:tcPr>
            <w:tcW w:w="2360" w:type="dxa"/>
            <w:vMerge w:val="restart"/>
            <w:vAlign w:val="center"/>
            <w:hideMark/>
          </w:tcPr>
          <w:p w14:paraId="03B7BBA1" w14:textId="77777777" w:rsidR="00AA7739"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S7</w:t>
            </w:r>
          </w:p>
          <w:p w14:paraId="3AA5C9DC" w14:textId="77777777" w:rsidR="00AA7739" w:rsidRPr="005E7B6A" w:rsidRDefault="00AA7739" w:rsidP="009B6E81">
            <w:pPr>
              <w:spacing w:after="0"/>
              <w:jc w:val="center"/>
              <w:rPr>
                <w:rFonts w:ascii="Times New Roman" w:hAnsi="Times New Roman" w:cs="Times New Roman"/>
                <w:b/>
                <w:bCs/>
                <w:sz w:val="20"/>
                <w:szCs w:val="20"/>
              </w:rPr>
            </w:pPr>
            <w:r w:rsidRPr="005E7B6A">
              <w:rPr>
                <w:rFonts w:ascii="Times New Roman" w:hAnsi="Times New Roman" w:cs="Times New Roman"/>
                <w:b/>
                <w:bCs/>
                <w:sz w:val="20"/>
                <w:szCs w:val="20"/>
              </w:rPr>
              <w:t>Existe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una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necesidad</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región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fortalecer</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los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sistemas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gestión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calidad</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en</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medicina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radiaciones</w:t>
            </w:r>
          </w:p>
        </w:tc>
        <w:tc>
          <w:tcPr>
            <w:tcW w:w="1656" w:type="dxa"/>
            <w:vAlign w:val="center"/>
            <w:hideMark/>
          </w:tcPr>
          <w:p w14:paraId="053DC382"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3.75</w:t>
            </w:r>
          </w:p>
        </w:tc>
        <w:tc>
          <w:tcPr>
            <w:tcW w:w="1560" w:type="dxa"/>
            <w:vAlign w:val="center"/>
            <w:hideMark/>
          </w:tcPr>
          <w:p w14:paraId="2D8209C0"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3.00</w:t>
            </w:r>
          </w:p>
        </w:tc>
        <w:tc>
          <w:tcPr>
            <w:tcW w:w="1275" w:type="dxa"/>
            <w:vAlign w:val="center"/>
            <w:hideMark/>
          </w:tcPr>
          <w:p w14:paraId="70BCD51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1701" w:type="dxa"/>
            <w:vAlign w:val="center"/>
            <w:hideMark/>
          </w:tcPr>
          <w:p w14:paraId="1747414D"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851" w:type="dxa"/>
            <w:vAlign w:val="center"/>
            <w:hideMark/>
          </w:tcPr>
          <w:p w14:paraId="23A0E324"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14.75</w:t>
            </w:r>
          </w:p>
        </w:tc>
        <w:tc>
          <w:tcPr>
            <w:tcW w:w="1701" w:type="dxa"/>
            <w:vAlign w:val="center"/>
            <w:hideMark/>
          </w:tcPr>
          <w:p w14:paraId="6E36B072"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709" w:type="dxa"/>
            <w:vAlign w:val="center"/>
            <w:hideMark/>
          </w:tcPr>
          <w:p w14:paraId="431BF37C"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1.00</w:t>
            </w:r>
          </w:p>
        </w:tc>
        <w:tc>
          <w:tcPr>
            <w:tcW w:w="850" w:type="dxa"/>
            <w:vAlign w:val="center"/>
            <w:hideMark/>
          </w:tcPr>
          <w:p w14:paraId="2258AF72"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14.75</w:t>
            </w:r>
          </w:p>
        </w:tc>
      </w:tr>
      <w:tr w:rsidR="00AA7739" w:rsidRPr="005E7B6A" w14:paraId="26200746" w14:textId="77777777" w:rsidTr="009B6E81">
        <w:trPr>
          <w:trHeight w:val="757"/>
          <w:tblHeader/>
        </w:trPr>
        <w:tc>
          <w:tcPr>
            <w:tcW w:w="515" w:type="dxa"/>
            <w:vMerge/>
            <w:shd w:val="clear" w:color="auto" w:fill="F79646" w:themeFill="accent6"/>
            <w:vAlign w:val="center"/>
          </w:tcPr>
          <w:p w14:paraId="63796081" w14:textId="77777777" w:rsidR="00AA7739" w:rsidRPr="005E7B6A" w:rsidRDefault="00AA7739" w:rsidP="009B6E81">
            <w:pPr>
              <w:spacing w:after="0"/>
              <w:jc w:val="center"/>
              <w:rPr>
                <w:rFonts w:ascii="Times New Roman" w:hAnsi="Times New Roman" w:cs="Times New Roman"/>
                <w:sz w:val="20"/>
                <w:szCs w:val="20"/>
              </w:rPr>
            </w:pPr>
          </w:p>
        </w:tc>
        <w:tc>
          <w:tcPr>
            <w:tcW w:w="2360" w:type="dxa"/>
            <w:vMerge/>
            <w:vAlign w:val="center"/>
          </w:tcPr>
          <w:p w14:paraId="42782F99" w14:textId="77777777" w:rsidR="00AA7739" w:rsidRPr="005E7B6A" w:rsidRDefault="00AA7739" w:rsidP="009B6E81">
            <w:pPr>
              <w:spacing w:after="0"/>
              <w:jc w:val="center"/>
              <w:rPr>
                <w:rFonts w:ascii="Times New Roman" w:hAnsi="Times New Roman" w:cs="Times New Roman"/>
                <w:b/>
                <w:bCs/>
                <w:sz w:val="20"/>
                <w:szCs w:val="20"/>
              </w:rPr>
            </w:pPr>
          </w:p>
        </w:tc>
        <w:tc>
          <w:tcPr>
            <w:tcW w:w="1656" w:type="dxa"/>
            <w:vAlign w:val="center"/>
          </w:tcPr>
          <w:p w14:paraId="17C6C84B"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Complejidad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creciente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las</w:t>
            </w:r>
            <w:r>
              <w:rPr>
                <w:rFonts w:ascii="Times New Roman" w:hAnsi="Times New Roman" w:cs="Times New Roman"/>
                <w:bCs/>
                <w:sz w:val="20"/>
                <w:szCs w:val="20"/>
              </w:rPr>
              <w:t xml:space="preserve"> </w:t>
            </w:r>
            <w:r w:rsidRPr="005E7B6A">
              <w:rPr>
                <w:rFonts w:ascii="Times New Roman" w:hAnsi="Times New Roman" w:cs="Times New Roman"/>
                <w:bCs/>
                <w:sz w:val="20"/>
                <w:szCs w:val="20"/>
              </w:rPr>
              <w:t>modalidades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medicina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radiación</w:t>
            </w:r>
          </w:p>
        </w:tc>
        <w:tc>
          <w:tcPr>
            <w:tcW w:w="1560" w:type="dxa"/>
            <w:vAlign w:val="center"/>
          </w:tcPr>
          <w:p w14:paraId="3FFE9234"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Requiere</w:t>
            </w:r>
            <w:r>
              <w:rPr>
                <w:rFonts w:ascii="Times New Roman" w:hAnsi="Times New Roman" w:cs="Times New Roman"/>
                <w:bCs/>
                <w:sz w:val="20"/>
                <w:szCs w:val="20"/>
              </w:rPr>
              <w:t xml:space="preserve"> </w:t>
            </w:r>
            <w:r w:rsidRPr="005E7B6A">
              <w:rPr>
                <w:rFonts w:ascii="Times New Roman" w:hAnsi="Times New Roman" w:cs="Times New Roman"/>
                <w:bCs/>
                <w:sz w:val="20"/>
                <w:szCs w:val="20"/>
              </w:rPr>
              <w:t>una</w:t>
            </w:r>
            <w:r>
              <w:rPr>
                <w:rFonts w:ascii="Times New Roman" w:hAnsi="Times New Roman" w:cs="Times New Roman"/>
                <w:bCs/>
                <w:sz w:val="20"/>
                <w:szCs w:val="20"/>
              </w:rPr>
              <w:t xml:space="preserve"> </w:t>
            </w:r>
            <w:r w:rsidRPr="005E7B6A">
              <w:rPr>
                <w:rFonts w:ascii="Times New Roman" w:hAnsi="Times New Roman" w:cs="Times New Roman"/>
                <w:bCs/>
                <w:sz w:val="20"/>
                <w:szCs w:val="20"/>
              </w:rPr>
              <w:t>continuidad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en</w:t>
            </w:r>
            <w:r>
              <w:rPr>
                <w:rFonts w:ascii="Times New Roman" w:hAnsi="Times New Roman" w:cs="Times New Roman"/>
                <w:bCs/>
                <w:sz w:val="20"/>
                <w:szCs w:val="20"/>
              </w:rPr>
              <w:t xml:space="preserve"> </w:t>
            </w:r>
            <w:r w:rsidRPr="005E7B6A">
              <w:rPr>
                <w:rFonts w:ascii="Times New Roman" w:hAnsi="Times New Roman" w:cs="Times New Roman"/>
                <w:bCs/>
                <w:sz w:val="20"/>
                <w:szCs w:val="20"/>
              </w:rPr>
              <w:t>el</w:t>
            </w:r>
            <w:r>
              <w:rPr>
                <w:rFonts w:ascii="Times New Roman" w:hAnsi="Times New Roman" w:cs="Times New Roman"/>
                <w:bCs/>
                <w:sz w:val="20"/>
                <w:szCs w:val="20"/>
              </w:rPr>
              <w:t xml:space="preserve"> </w:t>
            </w:r>
            <w:r w:rsidRPr="005E7B6A">
              <w:rPr>
                <w:rFonts w:ascii="Times New Roman" w:hAnsi="Times New Roman" w:cs="Times New Roman"/>
                <w:bCs/>
                <w:sz w:val="20"/>
                <w:szCs w:val="20"/>
              </w:rPr>
              <w:t>tiempo</w:t>
            </w:r>
            <w:r>
              <w:rPr>
                <w:rFonts w:ascii="Times New Roman" w:hAnsi="Times New Roman" w:cs="Times New Roman"/>
                <w:bCs/>
                <w:sz w:val="20"/>
                <w:szCs w:val="20"/>
              </w:rPr>
              <w:t xml:space="preserve"> </w:t>
            </w:r>
            <w:r w:rsidRPr="005E7B6A">
              <w:rPr>
                <w:rFonts w:ascii="Times New Roman" w:hAnsi="Times New Roman" w:cs="Times New Roman"/>
                <w:bCs/>
                <w:sz w:val="20"/>
                <w:szCs w:val="20"/>
              </w:rPr>
              <w:t>con</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programas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gestión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calidad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se</w:t>
            </w:r>
            <w:r>
              <w:rPr>
                <w:rFonts w:ascii="Times New Roman" w:hAnsi="Times New Roman" w:cs="Times New Roman"/>
                <w:bCs/>
                <w:sz w:val="20"/>
                <w:szCs w:val="20"/>
              </w:rPr>
              <w:t xml:space="preserve"> </w:t>
            </w:r>
            <w:r w:rsidRPr="005E7B6A">
              <w:rPr>
                <w:rFonts w:ascii="Times New Roman" w:hAnsi="Times New Roman" w:cs="Times New Roman"/>
                <w:bCs/>
                <w:sz w:val="20"/>
                <w:szCs w:val="20"/>
              </w:rPr>
              <w:t>están</w:t>
            </w:r>
            <w:r>
              <w:rPr>
                <w:rFonts w:ascii="Times New Roman" w:hAnsi="Times New Roman" w:cs="Times New Roman"/>
                <w:bCs/>
                <w:sz w:val="20"/>
                <w:szCs w:val="20"/>
              </w:rPr>
              <w:t xml:space="preserve"> </w:t>
            </w:r>
            <w:r w:rsidRPr="005E7B6A">
              <w:rPr>
                <w:rFonts w:ascii="Times New Roman" w:hAnsi="Times New Roman" w:cs="Times New Roman"/>
                <w:bCs/>
                <w:sz w:val="20"/>
                <w:szCs w:val="20"/>
              </w:rPr>
              <w:t>iniciando</w:t>
            </w:r>
          </w:p>
        </w:tc>
        <w:tc>
          <w:tcPr>
            <w:tcW w:w="1275" w:type="dxa"/>
            <w:vAlign w:val="center"/>
          </w:tcPr>
          <w:p w14:paraId="243BAE22"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Esta</w:t>
            </w:r>
            <w:r>
              <w:rPr>
                <w:rFonts w:ascii="Times New Roman" w:hAnsi="Times New Roman" w:cs="Times New Roman"/>
                <w:bCs/>
                <w:sz w:val="20"/>
                <w:szCs w:val="20"/>
              </w:rPr>
              <w:t xml:space="preserve"> </w:t>
            </w:r>
            <w:r w:rsidRPr="005E7B6A">
              <w:rPr>
                <w:rFonts w:ascii="Times New Roman" w:hAnsi="Times New Roman" w:cs="Times New Roman"/>
                <w:bCs/>
                <w:sz w:val="20"/>
                <w:szCs w:val="20"/>
              </w:rPr>
              <w:t>problemática</w:t>
            </w:r>
            <w:r>
              <w:rPr>
                <w:rFonts w:ascii="Times New Roman" w:hAnsi="Times New Roman" w:cs="Times New Roman"/>
                <w:bCs/>
                <w:sz w:val="20"/>
                <w:szCs w:val="20"/>
              </w:rPr>
              <w:t xml:space="preserve"> </w:t>
            </w:r>
            <w:r w:rsidRPr="005E7B6A">
              <w:rPr>
                <w:rFonts w:ascii="Times New Roman" w:hAnsi="Times New Roman" w:cs="Times New Roman"/>
                <w:bCs/>
                <w:sz w:val="20"/>
                <w:szCs w:val="20"/>
              </w:rPr>
              <w:t>afecta</w:t>
            </w:r>
            <w:r>
              <w:rPr>
                <w:rFonts w:ascii="Times New Roman" w:hAnsi="Times New Roman" w:cs="Times New Roman"/>
                <w:bCs/>
                <w:sz w:val="20"/>
                <w:szCs w:val="20"/>
              </w:rPr>
              <w:t xml:space="preserve"> </w:t>
            </w:r>
            <w:r w:rsidRPr="005E7B6A">
              <w:rPr>
                <w:rFonts w:ascii="Times New Roman" w:hAnsi="Times New Roman" w:cs="Times New Roman"/>
                <w:bCs/>
                <w:sz w:val="20"/>
                <w:szCs w:val="20"/>
              </w:rPr>
              <w:t>a</w:t>
            </w:r>
            <w:r>
              <w:rPr>
                <w:rFonts w:ascii="Times New Roman" w:hAnsi="Times New Roman" w:cs="Times New Roman"/>
                <w:bCs/>
                <w:sz w:val="20"/>
                <w:szCs w:val="20"/>
              </w:rPr>
              <w:t xml:space="preserve"> </w:t>
            </w:r>
            <w:r w:rsidRPr="005E7B6A">
              <w:rPr>
                <w:rFonts w:ascii="Times New Roman" w:hAnsi="Times New Roman" w:cs="Times New Roman"/>
                <w:bCs/>
                <w:sz w:val="20"/>
                <w:szCs w:val="20"/>
              </w:rPr>
              <w:t>toda</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región</w:t>
            </w:r>
          </w:p>
        </w:tc>
        <w:tc>
          <w:tcPr>
            <w:tcW w:w="1701" w:type="dxa"/>
            <w:vAlign w:val="center"/>
          </w:tcPr>
          <w:p w14:paraId="20940EA4"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Importante</w:t>
            </w:r>
            <w:r>
              <w:rPr>
                <w:rFonts w:ascii="Times New Roman" w:hAnsi="Times New Roman" w:cs="Times New Roman"/>
                <w:bCs/>
                <w:sz w:val="20"/>
                <w:szCs w:val="20"/>
              </w:rPr>
              <w:t xml:space="preserve"> </w:t>
            </w:r>
            <w:r w:rsidRPr="005E7B6A">
              <w:rPr>
                <w:rFonts w:ascii="Times New Roman" w:hAnsi="Times New Roman" w:cs="Times New Roman"/>
                <w:bCs/>
                <w:sz w:val="20"/>
                <w:szCs w:val="20"/>
              </w:rPr>
              <w:t>requisito</w:t>
            </w:r>
            <w:r>
              <w:rPr>
                <w:rFonts w:ascii="Times New Roman" w:hAnsi="Times New Roman" w:cs="Times New Roman"/>
                <w:bCs/>
                <w:sz w:val="20"/>
                <w:szCs w:val="20"/>
              </w:rPr>
              <w:t xml:space="preserve"> </w:t>
            </w:r>
            <w:r w:rsidRPr="005E7B6A">
              <w:rPr>
                <w:rFonts w:ascii="Times New Roman" w:hAnsi="Times New Roman" w:cs="Times New Roman"/>
                <w:bCs/>
                <w:sz w:val="20"/>
                <w:szCs w:val="20"/>
              </w:rPr>
              <w:t>para</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aplicación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efectiva</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segura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las</w:t>
            </w:r>
            <w:r>
              <w:rPr>
                <w:rFonts w:ascii="Times New Roman" w:hAnsi="Times New Roman" w:cs="Times New Roman"/>
                <w:bCs/>
                <w:sz w:val="20"/>
                <w:szCs w:val="20"/>
              </w:rPr>
              <w:t xml:space="preserve"> </w:t>
            </w:r>
            <w:r w:rsidRPr="005E7B6A">
              <w:rPr>
                <w:rFonts w:ascii="Times New Roman" w:hAnsi="Times New Roman" w:cs="Times New Roman"/>
                <w:bCs/>
                <w:sz w:val="20"/>
                <w:szCs w:val="20"/>
              </w:rPr>
              <w:t>técnicas</w:t>
            </w:r>
            <w:r>
              <w:rPr>
                <w:rFonts w:ascii="Times New Roman" w:hAnsi="Times New Roman" w:cs="Times New Roman"/>
                <w:bCs/>
                <w:sz w:val="20"/>
                <w:szCs w:val="20"/>
              </w:rPr>
              <w:t xml:space="preserve"> </w:t>
            </w:r>
            <w:r w:rsidRPr="005E7B6A">
              <w:rPr>
                <w:rFonts w:ascii="Times New Roman" w:hAnsi="Times New Roman" w:cs="Times New Roman"/>
                <w:bCs/>
                <w:sz w:val="20"/>
                <w:szCs w:val="20"/>
              </w:rPr>
              <w:t>nucleares</w:t>
            </w:r>
          </w:p>
        </w:tc>
        <w:tc>
          <w:tcPr>
            <w:tcW w:w="851" w:type="dxa"/>
            <w:vAlign w:val="center"/>
          </w:tcPr>
          <w:p w14:paraId="6B027D92" w14:textId="77777777" w:rsidR="00AA7739" w:rsidRPr="005E7B6A" w:rsidRDefault="00AA7739" w:rsidP="009B6E81">
            <w:pPr>
              <w:spacing w:after="0"/>
              <w:jc w:val="center"/>
              <w:rPr>
                <w:rFonts w:ascii="Times New Roman" w:hAnsi="Times New Roman" w:cs="Times New Roman"/>
                <w:sz w:val="20"/>
                <w:szCs w:val="20"/>
              </w:rPr>
            </w:pPr>
          </w:p>
        </w:tc>
        <w:tc>
          <w:tcPr>
            <w:tcW w:w="1701" w:type="dxa"/>
            <w:vAlign w:val="center"/>
          </w:tcPr>
          <w:p w14:paraId="59983BA1"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bCs/>
                <w:sz w:val="20"/>
                <w:szCs w:val="20"/>
              </w:rPr>
              <w:t>Requiere</w:t>
            </w:r>
            <w:r>
              <w:rPr>
                <w:rFonts w:ascii="Times New Roman" w:hAnsi="Times New Roman" w:cs="Times New Roman"/>
                <w:bCs/>
                <w:sz w:val="20"/>
                <w:szCs w:val="20"/>
              </w:rPr>
              <w:t xml:space="preserve"> </w:t>
            </w:r>
            <w:r w:rsidRPr="005E7B6A">
              <w:rPr>
                <w:rFonts w:ascii="Times New Roman" w:hAnsi="Times New Roman" w:cs="Times New Roman"/>
                <w:bCs/>
                <w:sz w:val="20"/>
                <w:szCs w:val="20"/>
              </w:rPr>
              <w:t>gasto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tiempo,</w:t>
            </w:r>
            <w:r>
              <w:rPr>
                <w:rFonts w:ascii="Times New Roman" w:hAnsi="Times New Roman" w:cs="Times New Roman"/>
                <w:bCs/>
                <w:sz w:val="20"/>
                <w:szCs w:val="20"/>
              </w:rPr>
              <w:t xml:space="preserve"> </w:t>
            </w:r>
            <w:r w:rsidRPr="005E7B6A">
              <w:rPr>
                <w:rFonts w:ascii="Times New Roman" w:hAnsi="Times New Roman" w:cs="Times New Roman"/>
                <w:bCs/>
                <w:sz w:val="20"/>
                <w:szCs w:val="20"/>
              </w:rPr>
              <w:t>recursos</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coordinación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dentro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un</w:t>
            </w:r>
            <w:r>
              <w:rPr>
                <w:rFonts w:ascii="Times New Roman" w:hAnsi="Times New Roman" w:cs="Times New Roman"/>
                <w:bCs/>
                <w:sz w:val="20"/>
                <w:szCs w:val="20"/>
              </w:rPr>
              <w:t xml:space="preserve"> </w:t>
            </w:r>
            <w:r w:rsidRPr="005E7B6A">
              <w:rPr>
                <w:rFonts w:ascii="Times New Roman" w:hAnsi="Times New Roman" w:cs="Times New Roman"/>
                <w:bCs/>
                <w:sz w:val="20"/>
                <w:szCs w:val="20"/>
              </w:rPr>
              <w:t>servicio</w:t>
            </w:r>
          </w:p>
        </w:tc>
        <w:tc>
          <w:tcPr>
            <w:tcW w:w="709" w:type="dxa"/>
            <w:vAlign w:val="center"/>
          </w:tcPr>
          <w:p w14:paraId="4034776A" w14:textId="77777777" w:rsidR="00AA7739" w:rsidRPr="005E7B6A" w:rsidRDefault="00AA7739" w:rsidP="009B6E81">
            <w:pPr>
              <w:spacing w:after="0"/>
              <w:jc w:val="center"/>
              <w:rPr>
                <w:rFonts w:ascii="Times New Roman" w:hAnsi="Times New Roman" w:cs="Times New Roman"/>
                <w:sz w:val="20"/>
                <w:szCs w:val="20"/>
              </w:rPr>
            </w:pPr>
          </w:p>
        </w:tc>
        <w:tc>
          <w:tcPr>
            <w:tcW w:w="850" w:type="dxa"/>
            <w:vAlign w:val="center"/>
          </w:tcPr>
          <w:p w14:paraId="37D5F4E0" w14:textId="77777777" w:rsidR="00AA7739" w:rsidRPr="005E7B6A" w:rsidRDefault="00AA7739" w:rsidP="009B6E81">
            <w:pPr>
              <w:spacing w:after="0"/>
              <w:jc w:val="center"/>
              <w:rPr>
                <w:rFonts w:ascii="Times New Roman" w:hAnsi="Times New Roman" w:cs="Times New Roman"/>
                <w:sz w:val="20"/>
                <w:szCs w:val="20"/>
              </w:rPr>
            </w:pPr>
          </w:p>
        </w:tc>
      </w:tr>
      <w:tr w:rsidR="00AA7739" w:rsidRPr="005E7B6A" w14:paraId="2F90AB7F" w14:textId="77777777" w:rsidTr="009B6E81">
        <w:trPr>
          <w:trHeight w:val="650"/>
          <w:tblHeader/>
        </w:trPr>
        <w:tc>
          <w:tcPr>
            <w:tcW w:w="515" w:type="dxa"/>
            <w:vMerge w:val="restart"/>
            <w:shd w:val="clear" w:color="auto" w:fill="F79646" w:themeFill="accent6"/>
            <w:vAlign w:val="center"/>
            <w:hideMark/>
          </w:tcPr>
          <w:p w14:paraId="35C3D05D" w14:textId="77777777" w:rsidR="00AA7739" w:rsidRPr="005E7B6A" w:rsidRDefault="00AA7739" w:rsidP="009B6E81">
            <w:pPr>
              <w:spacing w:after="0"/>
              <w:jc w:val="center"/>
              <w:rPr>
                <w:rFonts w:ascii="Times New Roman" w:hAnsi="Times New Roman" w:cs="Times New Roman"/>
                <w:sz w:val="20"/>
                <w:szCs w:val="20"/>
              </w:rPr>
            </w:pPr>
            <w:r>
              <w:rPr>
                <w:rFonts w:ascii="Times New Roman" w:hAnsi="Times New Roman" w:cs="Times New Roman"/>
                <w:sz w:val="20"/>
                <w:szCs w:val="20"/>
              </w:rPr>
              <w:t>8</w:t>
            </w:r>
          </w:p>
        </w:tc>
        <w:tc>
          <w:tcPr>
            <w:tcW w:w="2360" w:type="dxa"/>
            <w:vMerge w:val="restart"/>
            <w:vAlign w:val="center"/>
            <w:hideMark/>
          </w:tcPr>
          <w:p w14:paraId="341D41A6" w14:textId="77777777" w:rsidR="00AA7739"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S8</w:t>
            </w:r>
          </w:p>
          <w:p w14:paraId="616C4A2E" w14:textId="77777777" w:rsidR="00AA7739" w:rsidRPr="005E7B6A" w:rsidRDefault="00AA7739" w:rsidP="009B6E81">
            <w:pPr>
              <w:spacing w:after="0"/>
              <w:jc w:val="center"/>
              <w:rPr>
                <w:rFonts w:ascii="Times New Roman" w:hAnsi="Times New Roman" w:cs="Times New Roman"/>
                <w:b/>
                <w:bCs/>
                <w:sz w:val="20"/>
                <w:szCs w:val="20"/>
              </w:rPr>
            </w:pPr>
            <w:r w:rsidRPr="005E7B6A">
              <w:rPr>
                <w:rFonts w:ascii="Times New Roman" w:hAnsi="Times New Roman" w:cs="Times New Roman"/>
                <w:b/>
                <w:bCs/>
                <w:sz w:val="20"/>
                <w:szCs w:val="20"/>
              </w:rPr>
              <w:lastRenderedPageBreak/>
              <w:t>Insuficiente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capacidad</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para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realizar</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intervenciones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necesarias</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para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mejorar</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estado</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nutricional</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la</w:t>
            </w:r>
            <w:r>
              <w:rPr>
                <w:rFonts w:ascii="Times New Roman" w:hAnsi="Times New Roman" w:cs="Times New Roman"/>
                <w:b/>
                <w:bCs/>
                <w:sz w:val="20"/>
                <w:szCs w:val="20"/>
              </w:rPr>
              <w:t xml:space="preserve"> </w:t>
            </w:r>
            <w:r w:rsidRPr="005E7B6A">
              <w:rPr>
                <w:rFonts w:ascii="Times New Roman" w:hAnsi="Times New Roman" w:cs="Times New Roman"/>
                <w:b/>
                <w:bCs/>
                <w:sz w:val="20"/>
                <w:szCs w:val="20"/>
              </w:rPr>
              <w:t>población</w:t>
            </w:r>
          </w:p>
        </w:tc>
        <w:tc>
          <w:tcPr>
            <w:tcW w:w="1656" w:type="dxa"/>
            <w:vAlign w:val="center"/>
            <w:hideMark/>
          </w:tcPr>
          <w:p w14:paraId="1266AE7D"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lastRenderedPageBreak/>
              <w:t>3.00</w:t>
            </w:r>
          </w:p>
        </w:tc>
        <w:tc>
          <w:tcPr>
            <w:tcW w:w="1560" w:type="dxa"/>
            <w:vAlign w:val="center"/>
            <w:hideMark/>
          </w:tcPr>
          <w:p w14:paraId="0840BAD8"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3.00</w:t>
            </w:r>
          </w:p>
        </w:tc>
        <w:tc>
          <w:tcPr>
            <w:tcW w:w="1275" w:type="dxa"/>
            <w:vAlign w:val="center"/>
            <w:hideMark/>
          </w:tcPr>
          <w:p w14:paraId="364CA43F"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4.50</w:t>
            </w:r>
          </w:p>
        </w:tc>
        <w:tc>
          <w:tcPr>
            <w:tcW w:w="1701" w:type="dxa"/>
            <w:vAlign w:val="center"/>
            <w:hideMark/>
          </w:tcPr>
          <w:p w14:paraId="3545CC12"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3.00</w:t>
            </w:r>
          </w:p>
        </w:tc>
        <w:tc>
          <w:tcPr>
            <w:tcW w:w="851" w:type="dxa"/>
            <w:vAlign w:val="center"/>
            <w:hideMark/>
          </w:tcPr>
          <w:p w14:paraId="51B29772"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13.50</w:t>
            </w:r>
          </w:p>
        </w:tc>
        <w:tc>
          <w:tcPr>
            <w:tcW w:w="1701" w:type="dxa"/>
            <w:vAlign w:val="center"/>
            <w:hideMark/>
          </w:tcPr>
          <w:p w14:paraId="4B68C023"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4.00</w:t>
            </w:r>
          </w:p>
        </w:tc>
        <w:tc>
          <w:tcPr>
            <w:tcW w:w="709" w:type="dxa"/>
            <w:vAlign w:val="center"/>
            <w:hideMark/>
          </w:tcPr>
          <w:p w14:paraId="0C9FE2BF"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0.75</w:t>
            </w:r>
          </w:p>
        </w:tc>
        <w:tc>
          <w:tcPr>
            <w:tcW w:w="850" w:type="dxa"/>
            <w:vAlign w:val="center"/>
            <w:hideMark/>
          </w:tcPr>
          <w:p w14:paraId="6CCA7FAB"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sz w:val="20"/>
                <w:szCs w:val="20"/>
              </w:rPr>
              <w:t>10.13</w:t>
            </w:r>
          </w:p>
        </w:tc>
      </w:tr>
      <w:tr w:rsidR="00AA7739" w:rsidRPr="005E7B6A" w14:paraId="0A6F980B" w14:textId="77777777" w:rsidTr="009B6E81">
        <w:trPr>
          <w:trHeight w:val="2106"/>
          <w:tblHeader/>
        </w:trPr>
        <w:tc>
          <w:tcPr>
            <w:tcW w:w="515" w:type="dxa"/>
            <w:vMerge/>
            <w:shd w:val="clear" w:color="auto" w:fill="F79646" w:themeFill="accent6"/>
            <w:vAlign w:val="center"/>
          </w:tcPr>
          <w:p w14:paraId="5C100206" w14:textId="77777777" w:rsidR="00AA7739" w:rsidRPr="005E7B6A" w:rsidRDefault="00AA7739" w:rsidP="009B6E81">
            <w:pPr>
              <w:spacing w:after="0"/>
              <w:jc w:val="center"/>
              <w:rPr>
                <w:rFonts w:ascii="Times New Roman" w:hAnsi="Times New Roman" w:cs="Times New Roman"/>
                <w:sz w:val="20"/>
                <w:szCs w:val="20"/>
              </w:rPr>
            </w:pPr>
          </w:p>
        </w:tc>
        <w:tc>
          <w:tcPr>
            <w:tcW w:w="2360" w:type="dxa"/>
            <w:vMerge/>
            <w:vAlign w:val="center"/>
          </w:tcPr>
          <w:p w14:paraId="6D2A86AE" w14:textId="77777777" w:rsidR="00AA7739" w:rsidRPr="005E7B6A" w:rsidRDefault="00AA7739" w:rsidP="009B6E81">
            <w:pPr>
              <w:spacing w:after="0"/>
              <w:jc w:val="center"/>
              <w:rPr>
                <w:rFonts w:ascii="Times New Roman" w:hAnsi="Times New Roman" w:cs="Times New Roman"/>
                <w:b/>
                <w:bCs/>
                <w:sz w:val="20"/>
                <w:szCs w:val="20"/>
              </w:rPr>
            </w:pPr>
          </w:p>
        </w:tc>
        <w:tc>
          <w:tcPr>
            <w:tcW w:w="1656" w:type="dxa"/>
            <w:vAlign w:val="center"/>
          </w:tcPr>
          <w:p w14:paraId="137DADA3"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Déficits</w:t>
            </w:r>
            <w:r>
              <w:rPr>
                <w:rFonts w:ascii="Times New Roman" w:hAnsi="Times New Roman" w:cs="Times New Roman"/>
                <w:bCs/>
                <w:sz w:val="20"/>
                <w:szCs w:val="20"/>
              </w:rPr>
              <w:t xml:space="preserve"> </w:t>
            </w:r>
            <w:r w:rsidRPr="005E7B6A">
              <w:rPr>
                <w:rFonts w:ascii="Times New Roman" w:hAnsi="Times New Roman" w:cs="Times New Roman"/>
                <w:bCs/>
                <w:sz w:val="20"/>
                <w:szCs w:val="20"/>
              </w:rPr>
              <w:t>nutricionales</w:t>
            </w:r>
            <w:r>
              <w:rPr>
                <w:rFonts w:ascii="Times New Roman" w:hAnsi="Times New Roman" w:cs="Times New Roman"/>
                <w:bCs/>
                <w:sz w:val="20"/>
                <w:szCs w:val="20"/>
              </w:rPr>
              <w:t xml:space="preserve"> </w:t>
            </w:r>
            <w:r w:rsidRPr="005E7B6A">
              <w:rPr>
                <w:rFonts w:ascii="Times New Roman" w:hAnsi="Times New Roman" w:cs="Times New Roman"/>
                <w:bCs/>
                <w:sz w:val="20"/>
                <w:szCs w:val="20"/>
              </w:rPr>
              <w:t>debido</w:t>
            </w:r>
            <w:r>
              <w:rPr>
                <w:rFonts w:ascii="Times New Roman" w:hAnsi="Times New Roman" w:cs="Times New Roman"/>
                <w:bCs/>
                <w:sz w:val="20"/>
                <w:szCs w:val="20"/>
              </w:rPr>
              <w:t xml:space="preserve"> </w:t>
            </w:r>
            <w:r w:rsidRPr="005E7B6A">
              <w:rPr>
                <w:rFonts w:ascii="Times New Roman" w:hAnsi="Times New Roman" w:cs="Times New Roman"/>
                <w:bCs/>
                <w:sz w:val="20"/>
                <w:szCs w:val="20"/>
              </w:rPr>
              <w:t>a</w:t>
            </w:r>
            <w:r>
              <w:rPr>
                <w:rFonts w:ascii="Times New Roman" w:hAnsi="Times New Roman" w:cs="Times New Roman"/>
                <w:bCs/>
                <w:sz w:val="20"/>
                <w:szCs w:val="20"/>
              </w:rPr>
              <w:t xml:space="preserve"> </w:t>
            </w:r>
            <w:r w:rsidRPr="005E7B6A">
              <w:rPr>
                <w:rFonts w:ascii="Times New Roman" w:hAnsi="Times New Roman" w:cs="Times New Roman"/>
                <w:bCs/>
                <w:sz w:val="20"/>
                <w:szCs w:val="20"/>
              </w:rPr>
              <w:t>condiciones</w:t>
            </w:r>
            <w:r>
              <w:rPr>
                <w:rFonts w:ascii="Times New Roman" w:hAnsi="Times New Roman" w:cs="Times New Roman"/>
                <w:bCs/>
                <w:sz w:val="20"/>
                <w:szCs w:val="20"/>
              </w:rPr>
              <w:t xml:space="preserve"> </w:t>
            </w:r>
            <w:r w:rsidRPr="005E7B6A">
              <w:rPr>
                <w:rFonts w:ascii="Times New Roman" w:hAnsi="Times New Roman" w:cs="Times New Roman"/>
                <w:bCs/>
                <w:sz w:val="20"/>
                <w:szCs w:val="20"/>
              </w:rPr>
              <w:t>económicas</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a</w:t>
            </w:r>
            <w:r>
              <w:rPr>
                <w:rFonts w:ascii="Times New Roman" w:hAnsi="Times New Roman" w:cs="Times New Roman"/>
                <w:bCs/>
                <w:sz w:val="20"/>
                <w:szCs w:val="20"/>
              </w:rPr>
              <w:t xml:space="preserve"> </w:t>
            </w:r>
            <w:r w:rsidRPr="005E7B6A">
              <w:rPr>
                <w:rFonts w:ascii="Times New Roman" w:hAnsi="Times New Roman" w:cs="Times New Roman"/>
                <w:bCs/>
                <w:sz w:val="20"/>
                <w:szCs w:val="20"/>
              </w:rPr>
              <w:t>cambios</w:t>
            </w:r>
            <w:r>
              <w:rPr>
                <w:rFonts w:ascii="Times New Roman" w:hAnsi="Times New Roman" w:cs="Times New Roman"/>
                <w:bCs/>
                <w:sz w:val="20"/>
                <w:szCs w:val="20"/>
              </w:rPr>
              <w:t xml:space="preserve"> </w:t>
            </w:r>
            <w:r w:rsidRPr="005E7B6A">
              <w:rPr>
                <w:rFonts w:ascii="Times New Roman" w:hAnsi="Times New Roman" w:cs="Times New Roman"/>
                <w:bCs/>
                <w:sz w:val="20"/>
                <w:szCs w:val="20"/>
              </w:rPr>
              <w:t>climáticos</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afectan</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calidad</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los</w:t>
            </w:r>
            <w:r>
              <w:rPr>
                <w:rFonts w:ascii="Times New Roman" w:hAnsi="Times New Roman" w:cs="Times New Roman"/>
                <w:bCs/>
                <w:sz w:val="20"/>
                <w:szCs w:val="20"/>
              </w:rPr>
              <w:t xml:space="preserve"> </w:t>
            </w:r>
            <w:r w:rsidRPr="005E7B6A">
              <w:rPr>
                <w:rFonts w:ascii="Times New Roman" w:hAnsi="Times New Roman" w:cs="Times New Roman"/>
                <w:bCs/>
                <w:sz w:val="20"/>
                <w:szCs w:val="20"/>
              </w:rPr>
              <w:t>alimentos</w:t>
            </w:r>
          </w:p>
        </w:tc>
        <w:tc>
          <w:tcPr>
            <w:tcW w:w="1560" w:type="dxa"/>
            <w:vAlign w:val="center"/>
          </w:tcPr>
          <w:p w14:paraId="577AF365"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Técnica</w:t>
            </w:r>
            <w:r>
              <w:rPr>
                <w:rFonts w:ascii="Times New Roman" w:hAnsi="Times New Roman" w:cs="Times New Roman"/>
                <w:bCs/>
                <w:sz w:val="20"/>
                <w:szCs w:val="20"/>
              </w:rPr>
              <w:t xml:space="preserve"> </w:t>
            </w:r>
            <w:r w:rsidRPr="005E7B6A">
              <w:rPr>
                <w:rFonts w:ascii="Times New Roman" w:hAnsi="Times New Roman" w:cs="Times New Roman"/>
                <w:bCs/>
                <w:sz w:val="20"/>
                <w:szCs w:val="20"/>
              </w:rPr>
              <w:t>que</w:t>
            </w:r>
            <w:r>
              <w:rPr>
                <w:rFonts w:ascii="Times New Roman" w:hAnsi="Times New Roman" w:cs="Times New Roman"/>
                <w:bCs/>
                <w:sz w:val="20"/>
                <w:szCs w:val="20"/>
              </w:rPr>
              <w:t xml:space="preserve"> </w:t>
            </w:r>
            <w:r w:rsidRPr="005E7B6A">
              <w:rPr>
                <w:rFonts w:ascii="Times New Roman" w:hAnsi="Times New Roman" w:cs="Times New Roman"/>
                <w:bCs/>
                <w:sz w:val="20"/>
                <w:szCs w:val="20"/>
              </w:rPr>
              <w:t>requiere</w:t>
            </w:r>
            <w:r>
              <w:rPr>
                <w:rFonts w:ascii="Times New Roman" w:hAnsi="Times New Roman" w:cs="Times New Roman"/>
                <w:bCs/>
                <w:sz w:val="20"/>
                <w:szCs w:val="20"/>
              </w:rPr>
              <w:t xml:space="preserve"> </w:t>
            </w:r>
            <w:r w:rsidRPr="005E7B6A">
              <w:rPr>
                <w:rFonts w:ascii="Times New Roman" w:hAnsi="Times New Roman" w:cs="Times New Roman"/>
                <w:bCs/>
                <w:sz w:val="20"/>
                <w:szCs w:val="20"/>
              </w:rPr>
              <w:t>un</w:t>
            </w:r>
            <w:r>
              <w:rPr>
                <w:rFonts w:ascii="Times New Roman" w:hAnsi="Times New Roman" w:cs="Times New Roman"/>
                <w:bCs/>
                <w:sz w:val="20"/>
                <w:szCs w:val="20"/>
              </w:rPr>
              <w:t xml:space="preserve"> </w:t>
            </w:r>
            <w:r w:rsidRPr="005E7B6A">
              <w:rPr>
                <w:rFonts w:ascii="Times New Roman" w:hAnsi="Times New Roman" w:cs="Times New Roman"/>
                <w:bCs/>
                <w:sz w:val="20"/>
                <w:szCs w:val="20"/>
              </w:rPr>
              <w:t>largo</w:t>
            </w:r>
            <w:r>
              <w:rPr>
                <w:rFonts w:ascii="Times New Roman" w:hAnsi="Times New Roman" w:cs="Times New Roman"/>
                <w:bCs/>
                <w:sz w:val="20"/>
                <w:szCs w:val="20"/>
              </w:rPr>
              <w:t xml:space="preserve"> </w:t>
            </w:r>
            <w:r w:rsidRPr="005E7B6A">
              <w:rPr>
                <w:rFonts w:ascii="Times New Roman" w:hAnsi="Times New Roman" w:cs="Times New Roman"/>
                <w:bCs/>
                <w:sz w:val="20"/>
                <w:szCs w:val="20"/>
              </w:rPr>
              <w:t>periodo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tiempo</w:t>
            </w:r>
            <w:r>
              <w:rPr>
                <w:rFonts w:ascii="Times New Roman" w:hAnsi="Times New Roman" w:cs="Times New Roman"/>
                <w:bCs/>
                <w:sz w:val="20"/>
                <w:szCs w:val="20"/>
              </w:rPr>
              <w:t xml:space="preserve"> </w:t>
            </w:r>
            <w:r w:rsidRPr="005E7B6A">
              <w:rPr>
                <w:rFonts w:ascii="Times New Roman" w:hAnsi="Times New Roman" w:cs="Times New Roman"/>
                <w:bCs/>
                <w:sz w:val="20"/>
                <w:szCs w:val="20"/>
              </w:rPr>
              <w:t>para</w:t>
            </w:r>
            <w:r>
              <w:rPr>
                <w:rFonts w:ascii="Times New Roman" w:hAnsi="Times New Roman" w:cs="Times New Roman"/>
                <w:bCs/>
                <w:sz w:val="20"/>
                <w:szCs w:val="20"/>
              </w:rPr>
              <w:t xml:space="preserve"> </w:t>
            </w:r>
            <w:r w:rsidRPr="005E7B6A">
              <w:rPr>
                <w:rFonts w:ascii="Times New Roman" w:hAnsi="Times New Roman" w:cs="Times New Roman"/>
                <w:bCs/>
                <w:sz w:val="20"/>
                <w:szCs w:val="20"/>
              </w:rPr>
              <w:t>su</w:t>
            </w:r>
            <w:r>
              <w:rPr>
                <w:rFonts w:ascii="Times New Roman" w:hAnsi="Times New Roman" w:cs="Times New Roman"/>
                <w:bCs/>
                <w:sz w:val="20"/>
                <w:szCs w:val="20"/>
              </w:rPr>
              <w:t xml:space="preserve"> </w:t>
            </w:r>
            <w:r w:rsidRPr="005E7B6A">
              <w:rPr>
                <w:rFonts w:ascii="Times New Roman" w:hAnsi="Times New Roman" w:cs="Times New Roman"/>
                <w:bCs/>
                <w:sz w:val="20"/>
                <w:szCs w:val="20"/>
              </w:rPr>
              <w:t>implementación</w:t>
            </w:r>
          </w:p>
        </w:tc>
        <w:tc>
          <w:tcPr>
            <w:tcW w:w="1275" w:type="dxa"/>
            <w:vAlign w:val="center"/>
          </w:tcPr>
          <w:p w14:paraId="22D857D7"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Afecta</w:t>
            </w:r>
            <w:r>
              <w:rPr>
                <w:rFonts w:ascii="Times New Roman" w:hAnsi="Times New Roman" w:cs="Times New Roman"/>
                <w:bCs/>
                <w:sz w:val="20"/>
                <w:szCs w:val="20"/>
              </w:rPr>
              <w:t xml:space="preserve"> </w:t>
            </w:r>
            <w:r w:rsidRPr="005E7B6A">
              <w:rPr>
                <w:rFonts w:ascii="Times New Roman" w:hAnsi="Times New Roman" w:cs="Times New Roman"/>
                <w:bCs/>
                <w:sz w:val="20"/>
                <w:szCs w:val="20"/>
              </w:rPr>
              <w:t>a</w:t>
            </w:r>
            <w:r>
              <w:rPr>
                <w:rFonts w:ascii="Times New Roman" w:hAnsi="Times New Roman" w:cs="Times New Roman"/>
                <w:bCs/>
                <w:sz w:val="20"/>
                <w:szCs w:val="20"/>
              </w:rPr>
              <w:t xml:space="preserve"> </w:t>
            </w:r>
            <w:r w:rsidRPr="005E7B6A">
              <w:rPr>
                <w:rFonts w:ascii="Times New Roman" w:hAnsi="Times New Roman" w:cs="Times New Roman"/>
                <w:bCs/>
                <w:sz w:val="20"/>
                <w:szCs w:val="20"/>
              </w:rPr>
              <w:t>toda</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población</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w:t>
            </w:r>
            <w:r>
              <w:rPr>
                <w:rFonts w:ascii="Times New Roman" w:hAnsi="Times New Roman" w:cs="Times New Roman"/>
                <w:bCs/>
                <w:sz w:val="20"/>
                <w:szCs w:val="20"/>
              </w:rPr>
              <w:t xml:space="preserve"> </w:t>
            </w:r>
            <w:r w:rsidRPr="005E7B6A">
              <w:rPr>
                <w:rFonts w:ascii="Times New Roman" w:hAnsi="Times New Roman" w:cs="Times New Roman"/>
                <w:bCs/>
                <w:sz w:val="20"/>
                <w:szCs w:val="20"/>
              </w:rPr>
              <w:t>región</w:t>
            </w:r>
          </w:p>
        </w:tc>
        <w:tc>
          <w:tcPr>
            <w:tcW w:w="1701" w:type="dxa"/>
            <w:vAlign w:val="center"/>
          </w:tcPr>
          <w:p w14:paraId="60AE8707" w14:textId="77777777" w:rsidR="00AA7739" w:rsidRPr="005E7B6A" w:rsidRDefault="00AA7739" w:rsidP="009B6E81">
            <w:pPr>
              <w:spacing w:after="0"/>
              <w:jc w:val="center"/>
              <w:rPr>
                <w:rFonts w:ascii="Times New Roman" w:hAnsi="Times New Roman" w:cs="Times New Roman"/>
                <w:bCs/>
                <w:sz w:val="20"/>
                <w:szCs w:val="20"/>
              </w:rPr>
            </w:pPr>
            <w:r w:rsidRPr="005E7B6A">
              <w:rPr>
                <w:rFonts w:ascii="Times New Roman" w:hAnsi="Times New Roman" w:cs="Times New Roman"/>
                <w:bCs/>
                <w:sz w:val="20"/>
                <w:szCs w:val="20"/>
              </w:rPr>
              <w:t>No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depende</w:t>
            </w:r>
            <w:r>
              <w:rPr>
                <w:rFonts w:ascii="Times New Roman" w:hAnsi="Times New Roman" w:cs="Times New Roman"/>
                <w:bCs/>
                <w:sz w:val="20"/>
                <w:szCs w:val="20"/>
              </w:rPr>
              <w:t xml:space="preserve"> </w:t>
            </w:r>
            <w:r w:rsidRPr="005E7B6A">
              <w:rPr>
                <w:rFonts w:ascii="Times New Roman" w:hAnsi="Times New Roman" w:cs="Times New Roman"/>
                <w:bCs/>
                <w:sz w:val="20"/>
                <w:szCs w:val="20"/>
              </w:rPr>
              <w:t>solamente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las</w:t>
            </w:r>
            <w:r>
              <w:rPr>
                <w:rFonts w:ascii="Times New Roman" w:hAnsi="Times New Roman" w:cs="Times New Roman"/>
                <w:bCs/>
                <w:sz w:val="20"/>
                <w:szCs w:val="20"/>
              </w:rPr>
              <w:t xml:space="preserve"> </w:t>
            </w:r>
            <w:r w:rsidRPr="005E7B6A">
              <w:rPr>
                <w:rFonts w:ascii="Times New Roman" w:hAnsi="Times New Roman" w:cs="Times New Roman"/>
                <w:bCs/>
                <w:sz w:val="20"/>
                <w:szCs w:val="20"/>
              </w:rPr>
              <w:t>técnicas</w:t>
            </w:r>
            <w:r>
              <w:rPr>
                <w:rFonts w:ascii="Times New Roman" w:hAnsi="Times New Roman" w:cs="Times New Roman"/>
                <w:bCs/>
                <w:sz w:val="20"/>
                <w:szCs w:val="20"/>
              </w:rPr>
              <w:t xml:space="preserve"> </w:t>
            </w:r>
            <w:r w:rsidRPr="005E7B6A">
              <w:rPr>
                <w:rFonts w:ascii="Times New Roman" w:hAnsi="Times New Roman" w:cs="Times New Roman"/>
                <w:bCs/>
                <w:sz w:val="20"/>
                <w:szCs w:val="20"/>
              </w:rPr>
              <w:t>nucleares</w:t>
            </w:r>
          </w:p>
        </w:tc>
        <w:tc>
          <w:tcPr>
            <w:tcW w:w="851" w:type="dxa"/>
            <w:vAlign w:val="center"/>
          </w:tcPr>
          <w:p w14:paraId="227F1307" w14:textId="77777777" w:rsidR="00AA7739" w:rsidRPr="005E7B6A" w:rsidRDefault="00AA7739" w:rsidP="009B6E81">
            <w:pPr>
              <w:spacing w:after="0"/>
              <w:jc w:val="center"/>
              <w:rPr>
                <w:rFonts w:ascii="Times New Roman" w:hAnsi="Times New Roman" w:cs="Times New Roman"/>
                <w:sz w:val="20"/>
                <w:szCs w:val="20"/>
              </w:rPr>
            </w:pPr>
          </w:p>
        </w:tc>
        <w:tc>
          <w:tcPr>
            <w:tcW w:w="1701" w:type="dxa"/>
            <w:vAlign w:val="center"/>
          </w:tcPr>
          <w:p w14:paraId="0009B436" w14:textId="77777777" w:rsidR="00AA7739" w:rsidRPr="005E7B6A" w:rsidRDefault="00AA7739" w:rsidP="009B6E81">
            <w:pPr>
              <w:spacing w:after="0"/>
              <w:jc w:val="center"/>
              <w:rPr>
                <w:rFonts w:ascii="Times New Roman" w:hAnsi="Times New Roman" w:cs="Times New Roman"/>
                <w:sz w:val="20"/>
                <w:szCs w:val="20"/>
              </w:rPr>
            </w:pPr>
            <w:r w:rsidRPr="005E7B6A">
              <w:rPr>
                <w:rFonts w:ascii="Times New Roman" w:hAnsi="Times New Roman" w:cs="Times New Roman"/>
                <w:bCs/>
                <w:sz w:val="20"/>
                <w:szCs w:val="20"/>
              </w:rPr>
              <w:t>Depende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decisiones</w:t>
            </w:r>
            <w:r>
              <w:rPr>
                <w:rFonts w:ascii="Times New Roman" w:hAnsi="Times New Roman" w:cs="Times New Roman"/>
                <w:bCs/>
                <w:sz w:val="20"/>
                <w:szCs w:val="20"/>
              </w:rPr>
              <w:t xml:space="preserve"> </w:t>
            </w:r>
            <w:r w:rsidRPr="005E7B6A">
              <w:rPr>
                <w:rFonts w:ascii="Times New Roman" w:hAnsi="Times New Roman" w:cs="Times New Roman"/>
                <w:bCs/>
                <w:sz w:val="20"/>
                <w:szCs w:val="20"/>
              </w:rPr>
              <w:t>políticas</w:t>
            </w:r>
            <w:r>
              <w:rPr>
                <w:rFonts w:ascii="Times New Roman" w:hAnsi="Times New Roman" w:cs="Times New Roman"/>
                <w:bCs/>
                <w:sz w:val="20"/>
                <w:szCs w:val="20"/>
              </w:rPr>
              <w:t xml:space="preserve"> </w:t>
            </w:r>
            <w:r w:rsidRPr="005E7B6A">
              <w:rPr>
                <w:rFonts w:ascii="Times New Roman" w:hAnsi="Times New Roman" w:cs="Times New Roman"/>
                <w:bCs/>
                <w:sz w:val="20"/>
                <w:szCs w:val="20"/>
              </w:rPr>
              <w:t>y</w:t>
            </w:r>
            <w:r>
              <w:rPr>
                <w:rFonts w:ascii="Times New Roman" w:hAnsi="Times New Roman" w:cs="Times New Roman"/>
                <w:bCs/>
                <w:sz w:val="20"/>
                <w:szCs w:val="20"/>
              </w:rPr>
              <w:t xml:space="preserve"> </w:t>
            </w:r>
            <w:r w:rsidRPr="005E7B6A">
              <w:rPr>
                <w:rFonts w:ascii="Times New Roman" w:hAnsi="Times New Roman" w:cs="Times New Roman"/>
                <w:bCs/>
                <w:sz w:val="20"/>
                <w:szCs w:val="20"/>
              </w:rPr>
              <w:t>uso</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recursos</w:t>
            </w:r>
            <w:r>
              <w:rPr>
                <w:rFonts w:ascii="Times New Roman" w:hAnsi="Times New Roman" w:cs="Times New Roman"/>
                <w:bCs/>
                <w:sz w:val="20"/>
                <w:szCs w:val="20"/>
              </w:rPr>
              <w:t xml:space="preserve"> </w:t>
            </w:r>
            <w:r w:rsidRPr="005E7B6A">
              <w:rPr>
                <w:rFonts w:ascii="Times New Roman" w:hAnsi="Times New Roman" w:cs="Times New Roman"/>
                <w:bCs/>
                <w:sz w:val="20"/>
                <w:szCs w:val="20"/>
              </w:rPr>
              <w:t>fuera</w:t>
            </w:r>
            <w:r>
              <w:rPr>
                <w:rFonts w:ascii="Times New Roman" w:hAnsi="Times New Roman" w:cs="Times New Roman"/>
                <w:bCs/>
                <w:sz w:val="20"/>
                <w:szCs w:val="20"/>
              </w:rPr>
              <w:t xml:space="preserve"> </w:t>
            </w:r>
            <w:r w:rsidRPr="005E7B6A">
              <w:rPr>
                <w:rFonts w:ascii="Times New Roman" w:hAnsi="Times New Roman" w:cs="Times New Roman"/>
                <w:bCs/>
                <w:sz w:val="20"/>
                <w:szCs w:val="20"/>
              </w:rPr>
              <w:t>del</w:t>
            </w:r>
            <w:r>
              <w:rPr>
                <w:rFonts w:ascii="Times New Roman" w:hAnsi="Times New Roman" w:cs="Times New Roman"/>
                <w:bCs/>
                <w:sz w:val="20"/>
                <w:szCs w:val="20"/>
              </w:rPr>
              <w:t xml:space="preserve"> </w:t>
            </w:r>
            <w:r w:rsidRPr="005E7B6A">
              <w:rPr>
                <w:rFonts w:ascii="Times New Roman" w:hAnsi="Times New Roman" w:cs="Times New Roman"/>
                <w:bCs/>
                <w:sz w:val="20"/>
                <w:szCs w:val="20"/>
              </w:rPr>
              <w:t>alcance</w:t>
            </w:r>
            <w:r>
              <w:rPr>
                <w:rFonts w:ascii="Times New Roman" w:hAnsi="Times New Roman" w:cs="Times New Roman"/>
                <w:bCs/>
                <w:sz w:val="20"/>
                <w:szCs w:val="20"/>
              </w:rPr>
              <w:t xml:space="preserve"> </w:t>
            </w:r>
            <w:r w:rsidRPr="005E7B6A">
              <w:rPr>
                <w:rFonts w:ascii="Times New Roman" w:hAnsi="Times New Roman" w:cs="Times New Roman"/>
                <w:bCs/>
                <w:sz w:val="20"/>
                <w:szCs w:val="20"/>
              </w:rPr>
              <w:t>de</w:t>
            </w:r>
            <w:r>
              <w:rPr>
                <w:rFonts w:ascii="Times New Roman" w:hAnsi="Times New Roman" w:cs="Times New Roman"/>
                <w:bCs/>
                <w:sz w:val="20"/>
                <w:szCs w:val="20"/>
              </w:rPr>
              <w:t xml:space="preserve"> </w:t>
            </w:r>
            <w:r w:rsidRPr="005E7B6A">
              <w:rPr>
                <w:rFonts w:ascii="Times New Roman" w:hAnsi="Times New Roman" w:cs="Times New Roman"/>
                <w:bCs/>
                <w:sz w:val="20"/>
                <w:szCs w:val="20"/>
              </w:rPr>
              <w:t>ARCAL</w:t>
            </w:r>
          </w:p>
        </w:tc>
        <w:tc>
          <w:tcPr>
            <w:tcW w:w="709" w:type="dxa"/>
            <w:vAlign w:val="center"/>
          </w:tcPr>
          <w:p w14:paraId="0F5325BB" w14:textId="77777777" w:rsidR="00AA7739" w:rsidRPr="005E7B6A" w:rsidRDefault="00AA7739" w:rsidP="009B6E81">
            <w:pPr>
              <w:spacing w:after="0"/>
              <w:jc w:val="center"/>
              <w:rPr>
                <w:rFonts w:ascii="Times New Roman" w:hAnsi="Times New Roman" w:cs="Times New Roman"/>
                <w:sz w:val="20"/>
                <w:szCs w:val="20"/>
              </w:rPr>
            </w:pPr>
          </w:p>
        </w:tc>
        <w:tc>
          <w:tcPr>
            <w:tcW w:w="850" w:type="dxa"/>
            <w:vAlign w:val="center"/>
          </w:tcPr>
          <w:p w14:paraId="03DB2D90" w14:textId="77777777" w:rsidR="00AA7739" w:rsidRPr="005E7B6A" w:rsidRDefault="00AA7739" w:rsidP="009B6E81">
            <w:pPr>
              <w:spacing w:after="0"/>
              <w:jc w:val="center"/>
              <w:rPr>
                <w:rFonts w:ascii="Times New Roman" w:hAnsi="Times New Roman" w:cs="Times New Roman"/>
                <w:sz w:val="20"/>
                <w:szCs w:val="20"/>
              </w:rPr>
            </w:pPr>
          </w:p>
        </w:tc>
      </w:tr>
    </w:tbl>
    <w:p w14:paraId="46760F5F" w14:textId="77777777" w:rsidR="005E7B6A" w:rsidRDefault="005E7B6A" w:rsidP="005E7B6A">
      <w:pPr>
        <w:rPr>
          <w:lang w:val="es-ES"/>
        </w:rPr>
      </w:pPr>
    </w:p>
    <w:p w14:paraId="7DFE62B8" w14:textId="73B8F386" w:rsidR="00012458" w:rsidRDefault="00012458" w:rsidP="00012458">
      <w:pPr>
        <w:jc w:val="center"/>
        <w:rPr>
          <w:lang w:val="es-ES"/>
        </w:rPr>
      </w:pPr>
      <w:r>
        <w:rPr>
          <w:noProof/>
          <w:lang w:val="pt-BR" w:eastAsia="pt-BR"/>
        </w:rPr>
        <w:drawing>
          <wp:inline distT="0" distB="0" distL="0" distR="0" wp14:anchorId="5141F888" wp14:editId="44469B5D">
            <wp:extent cx="5010150" cy="271266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8866" cy="2717386"/>
                    </a:xfrm>
                    <a:prstGeom prst="rect">
                      <a:avLst/>
                    </a:prstGeom>
                    <a:noFill/>
                  </pic:spPr>
                </pic:pic>
              </a:graphicData>
            </a:graphic>
          </wp:inline>
        </w:drawing>
      </w:r>
    </w:p>
    <w:p w14:paraId="231E27CE" w14:textId="77777777" w:rsidR="00012458" w:rsidRDefault="00012458" w:rsidP="005E7B6A">
      <w:pPr>
        <w:rPr>
          <w:lang w:val="es-ES"/>
        </w:rPr>
      </w:pPr>
    </w:p>
    <w:p w14:paraId="56E9C028" w14:textId="77777777" w:rsidR="00012458" w:rsidRDefault="00012458" w:rsidP="005E7B6A">
      <w:pPr>
        <w:rPr>
          <w:lang w:val="es-ES"/>
        </w:rPr>
        <w:sectPr w:rsidR="00012458" w:rsidSect="00BA22C6">
          <w:headerReference w:type="default" r:id="rId16"/>
          <w:footerReference w:type="first" r:id="rId17"/>
          <w:pgSz w:w="15840" w:h="12240" w:orient="landscape"/>
          <w:pgMar w:top="1077" w:right="1440" w:bottom="1077" w:left="1440" w:header="709" w:footer="709" w:gutter="0"/>
          <w:cols w:space="720"/>
          <w:titlePg/>
          <w:docGrid w:linePitch="360"/>
        </w:sectPr>
      </w:pPr>
    </w:p>
    <w:p w14:paraId="3A389BC9" w14:textId="77777777" w:rsidR="005E7B6A" w:rsidRDefault="005E7B6A" w:rsidP="005E7B6A">
      <w:pPr>
        <w:pStyle w:val="Title"/>
        <w:jc w:val="left"/>
        <w:rPr>
          <w:lang w:val="es-ES"/>
        </w:rPr>
      </w:pPr>
    </w:p>
    <w:p w14:paraId="74BB999F" w14:textId="0E96D829" w:rsidR="00411FDE" w:rsidRPr="00411FDE" w:rsidRDefault="00D136BB" w:rsidP="00411FDE">
      <w:pPr>
        <w:pStyle w:val="BodyText"/>
        <w:rPr>
          <w:lang w:val="es-ES"/>
        </w:rPr>
      </w:pPr>
      <w:r>
        <w:rPr>
          <w:lang w:val="es-ES"/>
        </w:rPr>
        <w:t xml:space="preserve"> </w:t>
      </w:r>
    </w:p>
    <w:p w14:paraId="5C0161C5" w14:textId="3C8A2568" w:rsidR="003719F8" w:rsidRDefault="00D136BB" w:rsidP="002B1DC0">
      <w:pPr>
        <w:pStyle w:val="Title"/>
        <w:jc w:val="left"/>
        <w:rPr>
          <w:lang w:val="es-ES"/>
        </w:rPr>
      </w:pPr>
      <w:r>
        <w:rPr>
          <w:lang w:val="es-ES"/>
        </w:rPr>
        <w:t xml:space="preserve">                   </w:t>
      </w:r>
      <w:r w:rsidR="003719F8" w:rsidRPr="00C36E86">
        <w:rPr>
          <w:lang w:val="es-ES"/>
        </w:rPr>
        <w:t>AMBIENT</w:t>
      </w:r>
      <w:bookmarkEnd w:id="20"/>
      <w:r w:rsidR="002B1DC0">
        <w:rPr>
          <w:lang w:val="es-ES"/>
        </w:rPr>
        <w:t>E</w:t>
      </w:r>
    </w:p>
    <w:p w14:paraId="3C10A9E5" w14:textId="77777777" w:rsidR="003719F8" w:rsidRDefault="003719F8" w:rsidP="003719F8">
      <w:pPr>
        <w:pStyle w:val="BodyText"/>
        <w:rPr>
          <w:lang w:val="es-ES"/>
        </w:rPr>
      </w:pPr>
    </w:p>
    <w:p w14:paraId="66527C2C" w14:textId="77777777" w:rsidR="003719F8" w:rsidRDefault="003719F8" w:rsidP="003719F8">
      <w:pPr>
        <w:pStyle w:val="BodyText"/>
        <w:rPr>
          <w:lang w:val="es-ES"/>
        </w:rPr>
      </w:pPr>
    </w:p>
    <w:p w14:paraId="057296DA" w14:textId="77777777" w:rsidR="003719F8" w:rsidRDefault="003719F8">
      <w:pPr>
        <w:rPr>
          <w:rFonts w:ascii="Times New Roman" w:eastAsia="Times New Roman" w:hAnsi="Times New Roman" w:cs="Times New Roman"/>
          <w:sz w:val="24"/>
          <w:szCs w:val="20"/>
          <w:lang w:val="es-ES"/>
        </w:rPr>
      </w:pPr>
      <w:r>
        <w:rPr>
          <w:lang w:val="es-ES"/>
        </w:rPr>
        <w:br w:type="page"/>
      </w:r>
    </w:p>
    <w:p w14:paraId="1811EE22" w14:textId="3B1B33DB" w:rsidR="00A94C82" w:rsidRPr="000C137C" w:rsidRDefault="00A94C82" w:rsidP="00A94C82">
      <w:pPr>
        <w:rPr>
          <w:rFonts w:ascii="Times New Roman" w:hAnsi="Times New Roman" w:cs="Times New Roman"/>
          <w:b/>
          <w:bCs/>
          <w:sz w:val="24"/>
          <w:szCs w:val="24"/>
        </w:rPr>
      </w:pPr>
      <w:r w:rsidRPr="000C137C">
        <w:rPr>
          <w:rFonts w:ascii="Times New Roman" w:hAnsi="Times New Roman" w:cs="Times New Roman"/>
          <w:b/>
          <w:bCs/>
          <w:sz w:val="24"/>
          <w:szCs w:val="24"/>
        </w:rPr>
        <w:lastRenderedPageBreak/>
        <w:t>I.</w:t>
      </w:r>
      <w:r w:rsidR="00D136BB">
        <w:rPr>
          <w:rFonts w:ascii="Times New Roman" w:hAnsi="Times New Roman" w:cs="Times New Roman"/>
          <w:b/>
          <w:bCs/>
          <w:sz w:val="24"/>
          <w:szCs w:val="24"/>
        </w:rPr>
        <w:t xml:space="preserve"> </w:t>
      </w:r>
      <w:r w:rsidRPr="000C137C">
        <w:rPr>
          <w:rFonts w:ascii="Times New Roman" w:hAnsi="Times New Roman" w:cs="Times New Roman"/>
          <w:b/>
          <w:bCs/>
          <w:sz w:val="24"/>
          <w:szCs w:val="24"/>
        </w:rPr>
        <w:t>A</w:t>
      </w:r>
      <w:r w:rsidR="00D532E8">
        <w:rPr>
          <w:rFonts w:ascii="Times New Roman" w:hAnsi="Times New Roman" w:cs="Times New Roman"/>
          <w:b/>
          <w:bCs/>
          <w:sz w:val="24"/>
          <w:szCs w:val="24"/>
        </w:rPr>
        <w:t>nálisis</w:t>
      </w:r>
      <w:r w:rsidR="00D136BB">
        <w:rPr>
          <w:rFonts w:ascii="Times New Roman" w:hAnsi="Times New Roman" w:cs="Times New Roman"/>
          <w:b/>
          <w:bCs/>
          <w:sz w:val="24"/>
          <w:szCs w:val="24"/>
        </w:rPr>
        <w:t xml:space="preserve"> </w:t>
      </w:r>
      <w:r w:rsidRPr="000C137C">
        <w:rPr>
          <w:rFonts w:ascii="Times New Roman" w:hAnsi="Times New Roman" w:cs="Times New Roman"/>
          <w:b/>
          <w:bCs/>
          <w:sz w:val="24"/>
          <w:szCs w:val="24"/>
        </w:rPr>
        <w:t>G</w:t>
      </w:r>
      <w:r w:rsidR="00D532E8">
        <w:rPr>
          <w:rFonts w:ascii="Times New Roman" w:hAnsi="Times New Roman" w:cs="Times New Roman"/>
          <w:b/>
          <w:bCs/>
          <w:sz w:val="24"/>
          <w:szCs w:val="24"/>
        </w:rPr>
        <w:t>eneral</w:t>
      </w:r>
      <w:r w:rsidR="00D136BB">
        <w:rPr>
          <w:rFonts w:ascii="Times New Roman" w:hAnsi="Times New Roman" w:cs="Times New Roman"/>
          <w:b/>
          <w:bCs/>
          <w:sz w:val="24"/>
          <w:szCs w:val="24"/>
        </w:rPr>
        <w:t xml:space="preserve"> </w:t>
      </w:r>
      <w:r w:rsidR="00D532E8">
        <w:rPr>
          <w:rFonts w:ascii="Times New Roman" w:hAnsi="Times New Roman" w:cs="Times New Roman"/>
          <w:b/>
          <w:bCs/>
          <w:sz w:val="24"/>
          <w:szCs w:val="24"/>
        </w:rPr>
        <w:t>de</w:t>
      </w:r>
      <w:r w:rsidR="00D136BB">
        <w:rPr>
          <w:rFonts w:ascii="Times New Roman" w:hAnsi="Times New Roman" w:cs="Times New Roman"/>
          <w:b/>
          <w:bCs/>
          <w:sz w:val="24"/>
          <w:szCs w:val="24"/>
        </w:rPr>
        <w:t xml:space="preserve"> </w:t>
      </w:r>
      <w:r w:rsidR="00D532E8">
        <w:rPr>
          <w:rFonts w:ascii="Times New Roman" w:hAnsi="Times New Roman" w:cs="Times New Roman"/>
          <w:b/>
          <w:bCs/>
          <w:sz w:val="24"/>
          <w:szCs w:val="24"/>
        </w:rPr>
        <w:t>la</w:t>
      </w:r>
      <w:r w:rsidR="00D136BB">
        <w:rPr>
          <w:rFonts w:ascii="Times New Roman" w:hAnsi="Times New Roman" w:cs="Times New Roman"/>
          <w:b/>
          <w:bCs/>
          <w:sz w:val="24"/>
          <w:szCs w:val="24"/>
        </w:rPr>
        <w:t xml:space="preserve"> </w:t>
      </w:r>
      <w:r w:rsidRPr="000C137C">
        <w:rPr>
          <w:rFonts w:ascii="Times New Roman" w:hAnsi="Times New Roman" w:cs="Times New Roman"/>
          <w:b/>
          <w:bCs/>
          <w:sz w:val="24"/>
          <w:szCs w:val="24"/>
        </w:rPr>
        <w:t>S</w:t>
      </w:r>
      <w:r w:rsidR="00D532E8">
        <w:rPr>
          <w:rFonts w:ascii="Times New Roman" w:hAnsi="Times New Roman" w:cs="Times New Roman"/>
          <w:b/>
          <w:bCs/>
          <w:sz w:val="24"/>
          <w:szCs w:val="24"/>
        </w:rPr>
        <w:t>ituación</w:t>
      </w:r>
      <w:r w:rsidR="00D136BB">
        <w:rPr>
          <w:rFonts w:ascii="Times New Roman" w:hAnsi="Times New Roman" w:cs="Times New Roman"/>
          <w:b/>
          <w:bCs/>
          <w:sz w:val="24"/>
          <w:szCs w:val="24"/>
        </w:rPr>
        <w:t xml:space="preserve"> </w:t>
      </w:r>
      <w:r w:rsidRPr="000C137C">
        <w:rPr>
          <w:rFonts w:ascii="Times New Roman" w:hAnsi="Times New Roman" w:cs="Times New Roman"/>
          <w:b/>
          <w:bCs/>
          <w:sz w:val="24"/>
          <w:szCs w:val="24"/>
        </w:rPr>
        <w:t>R</w:t>
      </w:r>
      <w:r w:rsidR="00D532E8">
        <w:rPr>
          <w:rFonts w:ascii="Times New Roman" w:hAnsi="Times New Roman" w:cs="Times New Roman"/>
          <w:b/>
          <w:bCs/>
          <w:sz w:val="24"/>
          <w:szCs w:val="24"/>
        </w:rPr>
        <w:t>egional</w:t>
      </w:r>
      <w:r w:rsidR="00D136BB">
        <w:rPr>
          <w:rFonts w:ascii="Times New Roman" w:hAnsi="Times New Roman" w:cs="Times New Roman"/>
          <w:b/>
          <w:bCs/>
          <w:sz w:val="24"/>
          <w:szCs w:val="24"/>
        </w:rPr>
        <w:t xml:space="preserve"> </w:t>
      </w:r>
    </w:p>
    <w:p w14:paraId="02E94607" w14:textId="44B03226"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temática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caracterizada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descrita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enfoque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estructural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integral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variables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esenciales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Latinoamérica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C94EA6">
        <w:rPr>
          <w:rFonts w:ascii="Times New Roman" w:hAnsi="Times New Roman" w:cs="Times New Roman"/>
          <w:sz w:val="24"/>
          <w:szCs w:val="24"/>
        </w:rPr>
        <w:t>y</w:t>
      </w:r>
      <w:r w:rsidRPr="000C137C">
        <w:rPr>
          <w:rFonts w:ascii="Times New Roman" w:hAnsi="Times New Roman" w:cs="Times New Roman"/>
          <w:sz w:val="24"/>
          <w:szCs w:val="24"/>
        </w:rPr>
        <w:t>LC)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ameritan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seguimiento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perspectiva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cooperación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internacional.</w:t>
      </w:r>
      <w:r w:rsidR="00D136BB">
        <w:rPr>
          <w:rFonts w:ascii="Times New Roman" w:hAnsi="Times New Roman" w:cs="Times New Roman"/>
          <w:sz w:val="24"/>
          <w:szCs w:val="24"/>
        </w:rPr>
        <w:t xml:space="preserve"> </w:t>
      </w:r>
    </w:p>
    <w:p w14:paraId="4A302C72" w14:textId="7FB2EB79"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sentido,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resultó</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revisión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2016-2021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resultados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arrojados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diferentes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proyectos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contemplados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dicho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período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ARCAL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afrontar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necesidades/problemas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experiencias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compartidas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latinoamericanos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diferentes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Proyectos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Cooperación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desarrollaron</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diversas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aplicaciones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fines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pacíficos</w:t>
      </w:r>
      <w:r w:rsidR="00D136BB">
        <w:rPr>
          <w:rFonts w:ascii="Times New Roman" w:hAnsi="Times New Roman" w:cs="Times New Roman"/>
          <w:sz w:val="24"/>
          <w:szCs w:val="24"/>
        </w:rPr>
        <w:t xml:space="preserve"> </w:t>
      </w:r>
      <w:r w:rsidR="00187E70">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permitieron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asimismo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acercamiento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realidad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referente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avances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capacidades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materia.</w:t>
      </w:r>
      <w:r w:rsidR="00D136BB">
        <w:rPr>
          <w:rFonts w:ascii="Times New Roman" w:hAnsi="Times New Roman" w:cs="Times New Roman"/>
          <w:sz w:val="24"/>
          <w:szCs w:val="24"/>
        </w:rPr>
        <w:t xml:space="preserve"> </w:t>
      </w:r>
    </w:p>
    <w:p w14:paraId="3525EA35" w14:textId="4B2662E7"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Adicionalmente,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nuevo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período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2022-2029</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identifica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metodológicamente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asociados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Agenda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2030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fines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incorporar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herramienta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seguimiento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contribuya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diseño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proyectos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impacto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tecnológico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resultados.</w:t>
      </w:r>
    </w:p>
    <w:p w14:paraId="0A96C71A" w14:textId="5290C345" w:rsidR="00853862" w:rsidRPr="000C137C" w:rsidRDefault="00853862" w:rsidP="000C137C">
      <w:pPr>
        <w:jc w:val="both"/>
        <w:rPr>
          <w:rFonts w:ascii="Times New Roman" w:hAnsi="Times New Roman" w:cs="Times New Roman"/>
          <w:sz w:val="24"/>
          <w:szCs w:val="24"/>
        </w:rPr>
      </w:pPr>
      <w:r w:rsidRPr="000C137C">
        <w:rPr>
          <w:rFonts w:ascii="Times New Roman" w:hAnsi="Times New Roman" w:cs="Times New Roman"/>
          <w:sz w:val="24"/>
          <w:szCs w:val="24"/>
        </w:rPr>
        <w:t>Finalmente,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caracterizaron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tendencias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escenarios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BC37D5">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cualitativos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reportes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estadísticos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relevancia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publicados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organismos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objeto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actualizar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estructurales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permitan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describir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situación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medioambiental.</w:t>
      </w:r>
    </w:p>
    <w:p w14:paraId="5560EDBC" w14:textId="4B7551E1"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evidente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necesita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respuesta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mucho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profunda,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rápida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ambiciosa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alcanzar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objetivos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Agenda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2030</w:t>
      </w:r>
      <w:r w:rsidR="00C94EA6">
        <w:rPr>
          <w:rFonts w:ascii="Times New Roman" w:hAnsi="Times New Roman" w:cs="Times New Roman"/>
          <w:sz w:val="24"/>
          <w:szCs w:val="24"/>
        </w:rPr>
        <w:t>[1]</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Objetivos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2019</w:t>
      </w:r>
      <w:r w:rsidR="00C94EA6">
        <w:rPr>
          <w:rFonts w:ascii="Times New Roman" w:hAnsi="Times New Roman" w:cs="Times New Roman"/>
          <w:sz w:val="24"/>
          <w:szCs w:val="24"/>
        </w:rPr>
        <w:t>[2]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ofrece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perspectiva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empírica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interesante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tomando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concretas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proteger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nuestro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planeta,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protegiendo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zonas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trabajando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concertada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abordar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pesca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ilegal,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ratificando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Acuerdo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París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climático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comunicando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primeras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contribuciones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determinadas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otras</w:t>
      </w:r>
      <w:r w:rsidR="00C94EA6">
        <w:rPr>
          <w:rFonts w:ascii="Times New Roman" w:hAnsi="Times New Roman" w:cs="Times New Roman"/>
          <w:sz w:val="24"/>
          <w:szCs w:val="24"/>
        </w:rPr>
        <w:t>[3]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financiación;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economías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inclusivas;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instituciones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eficaces;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aprovechamiento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innovación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ayudar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impulso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progreso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particularmente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aquellos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atinentes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identificada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w:t>
      </w:r>
      <w:r w:rsidR="00D136BB">
        <w:rPr>
          <w:rFonts w:ascii="Times New Roman" w:hAnsi="Times New Roman" w:cs="Times New Roman"/>
          <w:sz w:val="24"/>
          <w:szCs w:val="24"/>
        </w:rPr>
        <w:t xml:space="preserve"> </w:t>
      </w:r>
    </w:p>
    <w:p w14:paraId="028D3578" w14:textId="65A7D151"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pesar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progreso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mencionado,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propio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2019</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identifica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necesitan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atención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colectiva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urgente,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deteriorando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ritmo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alarmante: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subiendo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acelerando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acidificación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océanos,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atmosférica,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últimos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calurosos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registrados,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animales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peligro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extinción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continúan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degradándose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descontrolada.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problemáticas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ajenas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negociables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nuestra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p>
    <w:p w14:paraId="7E48ECD8" w14:textId="49644000"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Agenda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2030,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línea,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agenda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transformadora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pone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igualdad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dignidad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centro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llama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nuestro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estilo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respetando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p>
    <w:p w14:paraId="4EB319C6" w14:textId="15AFEF27"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lastRenderedPageBreak/>
        <w:t>Otro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CEPAL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denominado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“Perspectivas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2019</w:t>
      </w:r>
      <w:r w:rsidR="00C94EA6">
        <w:rPr>
          <w:rFonts w:ascii="Times New Roman" w:hAnsi="Times New Roman" w:cs="Times New Roman"/>
          <w:sz w:val="24"/>
          <w:szCs w:val="24"/>
        </w:rPr>
        <w:t>[4]</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indica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después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notable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progreso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experimentado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principios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siglo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XXI,</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avances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socioeconómicos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disminuyeron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PIB</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esperado</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00C54B63">
        <w:rPr>
          <w:rFonts w:ascii="Times New Roman" w:hAnsi="Times New Roman" w:cs="Times New Roman"/>
          <w:sz w:val="24"/>
          <w:szCs w:val="24"/>
        </w:rPr>
        <w:t>alrededor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reflejando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baja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productividad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laboral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vez,</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insuficiente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productividad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necesaria</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00C54B63">
        <w:rPr>
          <w:rFonts w:ascii="Times New Roman" w:hAnsi="Times New Roman" w:cs="Times New Roman"/>
          <w:sz w:val="24"/>
          <w:szCs w:val="24"/>
        </w:rPr>
        <w:t>reducir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pobreza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desigualdad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ingresos.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C54B63">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mantenga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relativamente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débil.</w:t>
      </w:r>
    </w:p>
    <w:p w14:paraId="47F0A2B6" w14:textId="1F29C826"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bCs/>
          <w:sz w:val="24"/>
          <w:szCs w:val="24"/>
        </w:rPr>
        <w:t>Muchas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estas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economías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w:t>
      </w:r>
      <w:r w:rsidR="00C54B63">
        <w:rPr>
          <w:rFonts w:ascii="Times New Roman" w:hAnsi="Times New Roman" w:cs="Times New Roman"/>
          <w:bCs/>
          <w:sz w:val="24"/>
          <w:szCs w:val="24"/>
        </w:rPr>
        <w:t>y</w:t>
      </w:r>
      <w:r w:rsidRPr="000C137C">
        <w:rPr>
          <w:rFonts w:ascii="Times New Roman" w:hAnsi="Times New Roman" w:cs="Times New Roman"/>
          <w:bCs/>
          <w:sz w:val="24"/>
          <w:szCs w:val="24"/>
        </w:rPr>
        <w:t>C</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hacen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uso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intensivo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recursos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materiales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naturales,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cual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conlleva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importante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interrogante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sobre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dinámicas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insostenibles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implicando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altas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emisiones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carbono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agotamiento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dichos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recursos,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sumado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creciente</w:t>
      </w:r>
      <w:r w:rsidR="00D136BB">
        <w:rPr>
          <w:rFonts w:ascii="Times New Roman" w:hAnsi="Times New Roman" w:cs="Times New Roman"/>
          <w:bCs/>
          <w:sz w:val="24"/>
          <w:szCs w:val="24"/>
        </w:rPr>
        <w:t xml:space="preserve"> </w:t>
      </w:r>
      <w:r w:rsidRPr="000C137C">
        <w:rPr>
          <w:rFonts w:ascii="Times New Roman" w:hAnsi="Times New Roman" w:cs="Times New Roman"/>
          <w:sz w:val="24"/>
          <w:szCs w:val="24"/>
        </w:rPr>
        <w:t>importancia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compromiso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combatir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climático</w:t>
      </w:r>
      <w:r w:rsidR="00C94EA6">
        <w:rPr>
          <w:rFonts w:ascii="Times New Roman" w:hAnsi="Times New Roman" w:cs="Times New Roman"/>
          <w:sz w:val="24"/>
          <w:szCs w:val="24"/>
        </w:rPr>
        <w:t>[5]</w:t>
      </w:r>
      <w:r w:rsidRPr="000C137C">
        <w:rPr>
          <w:rFonts w:ascii="Times New Roman" w:hAnsi="Times New Roman" w:cs="Times New Roman"/>
          <w:sz w:val="24"/>
          <w:szCs w:val="24"/>
        </w:rPr>
        <w:t>.</w:t>
      </w:r>
    </w:p>
    <w:p w14:paraId="759EFB87" w14:textId="35149FBC"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Si</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C54B63">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invernadero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mismo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tiempo,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participación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renovables,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altamente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vulnerable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desastres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particular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zona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eventos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hidro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meteorológicos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extremos.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expuestos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fenómenos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crónicos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ejemplo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desertificación,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retracción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lluvias,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00187E70">
        <w:rPr>
          <w:rFonts w:ascii="Times New Roman" w:hAnsi="Times New Roman" w:cs="Times New Roman"/>
          <w:sz w:val="24"/>
          <w:szCs w:val="24"/>
        </w:rPr>
        <w:t>deforestación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Amazonía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exposición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subida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w:t>
      </w:r>
      <w:r w:rsidR="00D136BB">
        <w:rPr>
          <w:rFonts w:ascii="Times New Roman" w:hAnsi="Times New Roman" w:cs="Times New Roman"/>
          <w:sz w:val="24"/>
          <w:szCs w:val="24"/>
        </w:rPr>
        <w:t xml:space="preserve"> </w:t>
      </w:r>
    </w:p>
    <w:p w14:paraId="6F245AF5" w14:textId="75CB6B95"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Organización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Meteorológica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(OMM)</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10º</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Boletín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Anual</w:t>
      </w:r>
      <w:r w:rsidR="00C94EA6">
        <w:rPr>
          <w:rFonts w:ascii="Times New Roman" w:hAnsi="Times New Roman" w:cs="Times New Roman"/>
          <w:sz w:val="24"/>
          <w:szCs w:val="24"/>
        </w:rPr>
        <w:t>[6]</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advertido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concentración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atmósfera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principales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invernadero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w:t>
      </w:r>
      <w:r w:rsidRPr="000C137C">
        <w:rPr>
          <w:rFonts w:ascii="Times New Roman" w:hAnsi="Times New Roman" w:cs="Times New Roman"/>
          <w:sz w:val="24"/>
          <w:szCs w:val="24"/>
          <w:vertAlign w:val="subscript"/>
        </w:rPr>
        <w:t>2</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CH</w:t>
      </w:r>
      <w:r w:rsidRPr="000C137C">
        <w:rPr>
          <w:rFonts w:ascii="Times New Roman" w:hAnsi="Times New Roman" w:cs="Times New Roman"/>
          <w:sz w:val="24"/>
          <w:szCs w:val="24"/>
          <w:vertAlign w:val="subscript"/>
        </w:rPr>
        <w:t>4</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w:t>
      </w:r>
      <w:r w:rsidRPr="000C137C">
        <w:rPr>
          <w:rFonts w:ascii="Times New Roman" w:hAnsi="Times New Roman" w:cs="Times New Roman"/>
          <w:sz w:val="24"/>
          <w:szCs w:val="24"/>
          <w:vertAlign w:val="subscript"/>
        </w:rPr>
        <w:t>2</w:t>
      </w:r>
      <w:r w:rsidRPr="000C137C">
        <w:rPr>
          <w:rFonts w:ascii="Times New Roman" w:hAnsi="Times New Roman" w:cs="Times New Roman"/>
          <w:sz w:val="24"/>
          <w:szCs w:val="24"/>
        </w:rPr>
        <w:t>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marcó</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nuevo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w:t>
      </w:r>
      <w:r w:rsidR="00187E70">
        <w:rPr>
          <w:rFonts w:ascii="Times New Roman" w:hAnsi="Times New Roman" w:cs="Times New Roman"/>
          <w:sz w:val="24"/>
          <w:szCs w:val="24"/>
        </w:rPr>
        <w:t>é</w:t>
      </w:r>
      <w:r w:rsidRPr="000C137C">
        <w:rPr>
          <w:rFonts w:ascii="Times New Roman" w:hAnsi="Times New Roman" w:cs="Times New Roman"/>
          <w:sz w:val="24"/>
          <w:szCs w:val="24"/>
        </w:rPr>
        <w:t>cord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durante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2018,</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futuras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enfrentarán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impactos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vez</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graves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climático,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temperatura,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eventos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extremos,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estrés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pérdida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terrestres.</w:t>
      </w:r>
    </w:p>
    <w:p w14:paraId="60C25F04" w14:textId="5354C520"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definitivamente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requiere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esfuerzos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concertados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garantizar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promover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bienestar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acuerdo</w:t>
      </w:r>
      <w:r w:rsidR="00D136BB">
        <w:rPr>
          <w:rFonts w:ascii="Times New Roman" w:hAnsi="Times New Roman" w:cs="Times New Roman"/>
          <w:sz w:val="24"/>
          <w:szCs w:val="24"/>
        </w:rPr>
        <w:t xml:space="preserve"> </w:t>
      </w:r>
      <w:r w:rsidR="00187E70">
        <w:rPr>
          <w:rFonts w:ascii="Times New Roman" w:hAnsi="Times New Roman" w:cs="Times New Roman"/>
          <w:sz w:val="24"/>
          <w:szCs w:val="24"/>
        </w:rPr>
        <w:t>con</w:t>
      </w:r>
      <w:r w:rsidR="00D136BB">
        <w:rPr>
          <w:rFonts w:ascii="Times New Roman" w:hAnsi="Times New Roman" w:cs="Times New Roman"/>
          <w:sz w:val="24"/>
          <w:szCs w:val="24"/>
        </w:rPr>
        <w:t xml:space="preserve"> </w:t>
      </w:r>
      <w:r w:rsidR="00187E70">
        <w:rPr>
          <w:rFonts w:ascii="Times New Roman" w:hAnsi="Times New Roman" w:cs="Times New Roman"/>
          <w:sz w:val="24"/>
          <w:szCs w:val="24"/>
        </w:rPr>
        <w:t>e</w:t>
      </w:r>
      <w:r w:rsidRPr="000C137C">
        <w:rPr>
          <w:rFonts w:ascii="Times New Roman" w:hAnsi="Times New Roman" w:cs="Times New Roman"/>
          <w:sz w:val="24"/>
          <w:szCs w:val="24"/>
        </w:rPr>
        <w:t>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debe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trabajar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mancomunadamente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cobertura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sanitaria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universal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financiación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abordaje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factores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contribuyen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deficiente,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saneamiento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gestionados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segura.</w:t>
      </w:r>
    </w:p>
    <w:p w14:paraId="1BC3F997" w14:textId="08D3069C"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dulce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clave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valioso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seguridad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alimentaria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energética,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erradicación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pobreza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aspectos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debiéndose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garantizar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disponibilidad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misma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saneamiento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estipula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6.</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embargo,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existente,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ve</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amenazado</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producto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demanda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bajo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contexto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crecimiento</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demográfico,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escasez</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grave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durante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año,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otro.</w:t>
      </w:r>
    </w:p>
    <w:p w14:paraId="484AE73A" w14:textId="6C50D8D1"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9E0603">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concentra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tercera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renovables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caudales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fluviales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aprovechan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fines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abastecimiento,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eléctrica,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recarga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acuíferos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obtienen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ríos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afluentes.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tiene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pluvial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grande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Amazonia,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7,5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km</w:t>
      </w:r>
      <w:r w:rsidR="00C54B63" w:rsidRPr="000C137C">
        <w:rPr>
          <w:rFonts w:ascii="Times New Roman" w:hAnsi="Times New Roman" w:cs="Times New Roman"/>
          <w:sz w:val="24"/>
          <w:szCs w:val="24"/>
          <w:vertAlign w:val="superscript"/>
        </w:rPr>
        <w:t>2</w:t>
      </w:r>
      <w:r w:rsidR="00C54B63"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conjunto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pluviales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Paraná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Orinoco,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acarrean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Océano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Atlántico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30%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fresca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planeta</w:t>
      </w:r>
      <w:r w:rsidR="009E0603">
        <w:rPr>
          <w:rFonts w:ascii="Times New Roman" w:hAnsi="Times New Roman" w:cs="Times New Roman"/>
          <w:sz w:val="24"/>
          <w:szCs w:val="24"/>
        </w:rPr>
        <w:t>[7]</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70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cuencas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hidrográficas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compartidas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60%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territorio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sudamericano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corresponde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cuencas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transfronterizas.</w:t>
      </w:r>
      <w:r w:rsidR="00D136BB">
        <w:rPr>
          <w:rFonts w:ascii="Times New Roman" w:hAnsi="Times New Roman" w:cs="Times New Roman"/>
          <w:sz w:val="24"/>
          <w:szCs w:val="24"/>
        </w:rPr>
        <w:t xml:space="preserve"> </w:t>
      </w:r>
    </w:p>
    <w:p w14:paraId="7C957FF2" w14:textId="5C412783"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lastRenderedPageBreak/>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ríos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C54B63">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presentan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ahora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década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1990,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agravado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estimación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187E70">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curso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últimos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100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años,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perdido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50%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70%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humedales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humedales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dependientes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subterráneas,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superficiales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precipitaciones,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continentales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costeros.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mismos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proveen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abastecimiento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alimentarios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materias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regulación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depuración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aguas.</w:t>
      </w:r>
    </w:p>
    <w:p w14:paraId="0E5A6BFD" w14:textId="6B9EFD85"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igual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significativo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volumen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subterránea,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intensamente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utilizado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destacándose</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acuífero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Guaraní</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yacimientos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grandes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abarca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extensión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1200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km</w:t>
      </w:r>
      <w:r w:rsidRPr="000C137C">
        <w:rPr>
          <w:rFonts w:ascii="Times New Roman" w:hAnsi="Times New Roman" w:cs="Times New Roman"/>
          <w:sz w:val="24"/>
          <w:szCs w:val="24"/>
          <w:vertAlign w:val="superscript"/>
        </w:rPr>
        <w:t>2</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300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espesor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ubica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Argentina,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Paraguay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Uruguay.</w:t>
      </w:r>
    </w:p>
    <w:p w14:paraId="3DED932A" w14:textId="334DB94F"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importancia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coordinar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integrados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hacen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compromisos</w:t>
      </w:r>
      <w:r w:rsidR="00D136BB">
        <w:rPr>
          <w:rFonts w:ascii="Times New Roman" w:hAnsi="Times New Roman" w:cs="Times New Roman"/>
          <w:sz w:val="24"/>
          <w:szCs w:val="24"/>
        </w:rPr>
        <w:t xml:space="preserve"> </w:t>
      </w:r>
      <w:r w:rsidR="00187E70">
        <w:rPr>
          <w:rFonts w:ascii="Times New Roman" w:hAnsi="Times New Roman" w:cs="Times New Roman"/>
          <w:sz w:val="24"/>
          <w:szCs w:val="24"/>
        </w:rPr>
        <w:t>d</w:t>
      </w:r>
      <w:r w:rsidRPr="000C137C">
        <w:rPr>
          <w:rFonts w:ascii="Times New Roman" w:hAnsi="Times New Roman" w:cs="Times New Roman"/>
          <w:sz w:val="24"/>
          <w:szCs w:val="24"/>
        </w:rPr>
        <w:t>e</w:t>
      </w:r>
      <w:r w:rsidR="00D136BB">
        <w:rPr>
          <w:rFonts w:ascii="Times New Roman" w:hAnsi="Times New Roman" w:cs="Times New Roman"/>
          <w:sz w:val="24"/>
          <w:szCs w:val="24"/>
        </w:rPr>
        <w:t xml:space="preserve"> </w:t>
      </w:r>
      <w:r w:rsidR="00187E70">
        <w:rPr>
          <w:rFonts w:ascii="Times New Roman" w:hAnsi="Times New Roman" w:cs="Times New Roman"/>
          <w:sz w:val="24"/>
          <w:szCs w:val="24"/>
        </w:rPr>
        <w:t>incrementar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esfuerzos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acceso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saneamiento,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tratamiento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residuales,</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mejorar</w:t>
      </w:r>
      <w:r w:rsidR="00D136BB">
        <w:rPr>
          <w:rFonts w:ascii="Times New Roman" w:hAnsi="Times New Roman" w:cs="Times New Roman"/>
          <w:sz w:val="24"/>
          <w:szCs w:val="24"/>
        </w:rPr>
        <w:t xml:space="preserve"> </w:t>
      </w:r>
      <w:r w:rsidR="00C54B63">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eficiente,</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fomentar</w:t>
      </w:r>
      <w:r w:rsidR="00D136BB">
        <w:rPr>
          <w:rFonts w:ascii="Times New Roman" w:hAnsi="Times New Roman" w:cs="Times New Roman"/>
          <w:sz w:val="24"/>
          <w:szCs w:val="24"/>
        </w:rPr>
        <w:t xml:space="preserve"> </w:t>
      </w:r>
      <w:r w:rsidR="00C54B63">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cooperación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operativa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cuencas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transfronterizas,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proteger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restaurar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dulce.</w:t>
      </w:r>
    </w:p>
    <w:p w14:paraId="5E338C52" w14:textId="5D5A5308"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Dicha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requiere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contrarrestar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crecientes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desafíos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seguridad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derivados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climático,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Soluciones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Basadas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Naturaleza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(SbN)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suponen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respuesta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innovadora</w:t>
      </w:r>
      <w:r w:rsidR="009E0603">
        <w:rPr>
          <w:rFonts w:ascii="Times New Roman" w:hAnsi="Times New Roman" w:cs="Times New Roman"/>
          <w:sz w:val="24"/>
          <w:szCs w:val="24"/>
        </w:rPr>
        <w:t>[8]</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implicar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conservación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rehabilitación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procesos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modificados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artificiales,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requiere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colaboración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intersectorial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conocimientos.</w:t>
      </w:r>
    </w:p>
    <w:p w14:paraId="7A9B0C5D" w14:textId="1345BEA8"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SbN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ofrecen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logro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objetivos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6</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seguridad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tener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impactos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positivos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otros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respaldo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construcción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infraestructura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resiliente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9),</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asentamientos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urbanos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reducción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desastres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climático,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13).</w:t>
      </w:r>
    </w:p>
    <w:p w14:paraId="29363F2D" w14:textId="7EC58506"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línea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tendencias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globales,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avanza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7</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fin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garantizar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acceso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asequibles,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fiables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comenzado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acelerar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acceso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eléctrica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alcanzado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resultados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positivos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referentes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eficiencia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energética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limpias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incorporadas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planificadas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futuras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matrices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energéticas.</w:t>
      </w:r>
      <w:r w:rsidR="00D136BB">
        <w:rPr>
          <w:rFonts w:ascii="Times New Roman" w:hAnsi="Times New Roman" w:cs="Times New Roman"/>
          <w:sz w:val="24"/>
          <w:szCs w:val="24"/>
        </w:rPr>
        <w:t xml:space="preserve"> </w:t>
      </w:r>
    </w:p>
    <w:p w14:paraId="212270B3" w14:textId="1557999E"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eléctrica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cumple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papel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central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9E0603">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albergando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mercados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renovable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dinámicos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cuarto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primaria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renovables,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doble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9E0603">
        <w:rPr>
          <w:rFonts w:ascii="Times New Roman" w:hAnsi="Times New Roman" w:cs="Times New Roman"/>
          <w:sz w:val="24"/>
          <w:szCs w:val="24"/>
        </w:rPr>
        <w:t>[9]</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gigavatios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(GW)</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(56%</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provienen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renovables,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principalmente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hidroelectricidad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escala,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entendiéndose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misma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continuará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desempeñando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papel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fundamental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renovables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compatibilidad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integración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renovable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variable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hidroelectricidad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tiene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representa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superior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582000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MW</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año,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únicamente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aproximadamente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24%</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aprovechados).</w:t>
      </w:r>
      <w:r w:rsidR="00D136BB">
        <w:rPr>
          <w:rFonts w:ascii="Times New Roman" w:hAnsi="Times New Roman" w:cs="Times New Roman"/>
          <w:sz w:val="24"/>
          <w:szCs w:val="24"/>
        </w:rPr>
        <w:t xml:space="preserve"> </w:t>
      </w:r>
    </w:p>
    <w:p w14:paraId="414A4437" w14:textId="0E210A22"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lastRenderedPageBreak/>
        <w:t>Sin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embargo,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cuestionamiento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acerca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sustentabilidad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modo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prevalece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actualidad,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particularmente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energético,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lugar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nuevo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paradigma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tecnológico.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reservas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petróleo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alrededor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14%</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solamente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8,3%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consumo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global.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extracción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petróleo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tiene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costos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varían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irreversible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terrestres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donde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extrae,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severos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derrames.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principal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interrogante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hidrocarburos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convencionales,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constituyendo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importante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demandará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adopción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régimen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regulatorio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propicie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exploración,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requiriendo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vez</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regulatorios</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tecnologías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responsables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p>
    <w:p w14:paraId="5927CCDE" w14:textId="465DDC82"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consumo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w:t>
      </w:r>
      <w:r w:rsidR="00D136BB">
        <w:rPr>
          <w:rFonts w:ascii="Times New Roman" w:hAnsi="Times New Roman" w:cs="Times New Roman"/>
          <w:sz w:val="24"/>
          <w:szCs w:val="24"/>
        </w:rPr>
        <w:t xml:space="preserve"> </w:t>
      </w:r>
      <w:r w:rsidR="009E0603"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generarla,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conjuntamente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emisiones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BC37D5">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principales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causas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atmosférica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urbanas.</w:t>
      </w:r>
    </w:p>
    <w:p w14:paraId="66EB4726" w14:textId="399E6867" w:rsidR="00853862" w:rsidRPr="000C137C" w:rsidRDefault="00853862" w:rsidP="00853862">
      <w:pPr>
        <w:spacing w:line="240" w:lineRule="auto"/>
        <w:jc w:val="both"/>
        <w:rPr>
          <w:rFonts w:ascii="Times New Roman" w:hAnsi="Times New Roman" w:cs="Times New Roman"/>
          <w:bCs/>
          <w:sz w:val="24"/>
          <w:szCs w:val="24"/>
        </w:rPr>
      </w:pPr>
      <w:r w:rsidRPr="000C137C">
        <w:rPr>
          <w:rFonts w:ascii="Times New Roman" w:hAnsi="Times New Roman" w:cs="Times New Roman"/>
          <w:sz w:val="24"/>
          <w:szCs w:val="24"/>
        </w:rPr>
        <w:t>AL</w:t>
      </w:r>
      <w:r w:rsidR="00BC37D5">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casi</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641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2016,</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bCs/>
          <w:sz w:val="24"/>
          <w:szCs w:val="24"/>
        </w:rPr>
        <w:t>más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75%</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total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población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concentrada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ciudades,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tendencia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va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aumento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hacia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2030.</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ciudades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áreas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metropolitanas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representan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alrededor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70%</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emisiones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mundiales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carbono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más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60%</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consumo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recursos.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Infraestructuras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servicios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inadecuados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sobrecargados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como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recolección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desechos,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sistemas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agua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saneamiento,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carreteras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transporte),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serán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claro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desafío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políticas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medioambientales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región,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poniéndose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foco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contaminación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atmosférica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dada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expansión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urbana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no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planificada.</w:t>
      </w:r>
    </w:p>
    <w:p w14:paraId="6B156939" w14:textId="3004FD77"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procesos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combustión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mezcla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compleja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comprenden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emisiones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primarias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particulado),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atmosférica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(ozono,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sulfatos),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causa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atmosférica,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empeoramiento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sanitarios.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expuestas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emisiones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origen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antropogénico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origen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local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trasportadas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larga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distancia.</w:t>
      </w:r>
    </w:p>
    <w:p w14:paraId="2F72A98B" w14:textId="7C34CBFD"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problemas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contaminación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atmosférica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presenten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impactos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directos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salud</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humana.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material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particulado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tamaño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inferior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2.5</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micrones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resulta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especialmente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nocivo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concentración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correlacionada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incidencia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diferentes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afecciones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pulmonares.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Estimaciones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recientes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Organización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Mundial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Salud</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(OMS),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indican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más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100</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millones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personas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w:t>
      </w:r>
      <w:r w:rsidR="00BC37D5">
        <w:rPr>
          <w:rFonts w:ascii="Times New Roman" w:hAnsi="Times New Roman" w:cs="Times New Roman"/>
          <w:bCs/>
          <w:sz w:val="24"/>
          <w:szCs w:val="24"/>
        </w:rPr>
        <w:t>y</w:t>
      </w:r>
      <w:r w:rsidRPr="000C137C">
        <w:rPr>
          <w:rFonts w:ascii="Times New Roman" w:hAnsi="Times New Roman" w:cs="Times New Roman"/>
          <w:bCs/>
          <w:sz w:val="24"/>
          <w:szCs w:val="24"/>
        </w:rPr>
        <w:t>C,</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están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expuestas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contaminación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aire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exteriores,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cuyas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cantidades</w:t>
      </w:r>
      <w:r w:rsidR="00D136BB">
        <w:rPr>
          <w:rFonts w:ascii="Times New Roman" w:hAnsi="Times New Roman" w:cs="Times New Roman"/>
          <w:bCs/>
          <w:sz w:val="24"/>
          <w:szCs w:val="24"/>
        </w:rPr>
        <w:t xml:space="preserve"> </w:t>
      </w:r>
      <w:r w:rsidRPr="000C137C">
        <w:rPr>
          <w:rFonts w:ascii="Times New Roman" w:hAnsi="Times New Roman" w:cs="Times New Roman"/>
          <w:sz w:val="24"/>
          <w:szCs w:val="24"/>
        </w:rPr>
        <w:t>exceden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valores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guía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recomendados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OMS</w:t>
      </w:r>
      <w:r w:rsidR="009E0603">
        <w:rPr>
          <w:rFonts w:ascii="Times New Roman" w:hAnsi="Times New Roman" w:cs="Times New Roman"/>
          <w:sz w:val="24"/>
          <w:szCs w:val="24"/>
        </w:rPr>
        <w:t>[10]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hecho,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causa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anuales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respiratorias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crónicas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niños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100000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bronquitis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crónica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adultos</w:t>
      </w:r>
      <w:r w:rsidR="009E0603">
        <w:rPr>
          <w:rFonts w:ascii="Times New Roman" w:hAnsi="Times New Roman" w:cs="Times New Roman"/>
          <w:sz w:val="24"/>
          <w:szCs w:val="24"/>
        </w:rPr>
        <w:t>[11]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mientras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muertes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atribuidas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contaminación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aire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2017,</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superan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217.000</w:t>
      </w:r>
      <w:r w:rsidR="009E0603">
        <w:rPr>
          <w:rFonts w:ascii="Times New Roman" w:hAnsi="Times New Roman" w:cs="Times New Roman"/>
          <w:bCs/>
          <w:sz w:val="24"/>
          <w:szCs w:val="24"/>
        </w:rPr>
        <w:t>[12]</w:t>
      </w:r>
      <w:r w:rsidR="00D136BB">
        <w:rPr>
          <w:rFonts w:ascii="Times New Roman" w:hAnsi="Times New Roman" w:cs="Times New Roman"/>
          <w:bCs/>
          <w:sz w:val="24"/>
          <w:szCs w:val="24"/>
        </w:rPr>
        <w:t xml:space="preserve"> </w:t>
      </w:r>
      <w:r w:rsidR="000C137C" w:rsidRPr="000C137C">
        <w:rPr>
          <w:rFonts w:ascii="Times New Roman" w:hAnsi="Times New Roman" w:cs="Times New Roman"/>
          <w:bCs/>
          <w:sz w:val="24"/>
          <w:szCs w:val="24"/>
        </w:rPr>
        <w:t>encabezando</w:t>
      </w:r>
      <w:r w:rsidR="00D136BB">
        <w:rPr>
          <w:rFonts w:ascii="Times New Roman" w:hAnsi="Times New Roman" w:cs="Times New Roman"/>
          <w:bCs/>
          <w:sz w:val="24"/>
          <w:szCs w:val="24"/>
        </w:rPr>
        <w:t xml:space="preserve"> </w:t>
      </w:r>
      <w:r w:rsidR="000C137C" w:rsidRPr="000C137C">
        <w:rPr>
          <w:rFonts w:ascii="Times New Roman" w:hAnsi="Times New Roman" w:cs="Times New Roman"/>
          <w:bCs/>
          <w:sz w:val="24"/>
          <w:szCs w:val="24"/>
        </w:rPr>
        <w:t>Brasil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cifra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estimada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más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66.000</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muertes</w:t>
      </w:r>
    </w:p>
    <w:p w14:paraId="5CDEFA75" w14:textId="6E822FF5"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Organización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señala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importancia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cerrados,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asociada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combustibles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tradicionales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calefacción),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partículas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respirables,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monóxido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carbono,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óxidos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azufre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nitrógeno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benceno</w:t>
      </w:r>
      <w:r w:rsidR="009E0603">
        <w:rPr>
          <w:rFonts w:ascii="Times New Roman" w:hAnsi="Times New Roman" w:cs="Times New Roman"/>
          <w:sz w:val="24"/>
          <w:szCs w:val="24"/>
        </w:rPr>
        <w:t>[13]</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ciertas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BC37D5">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50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rural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8</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urbana</w:t>
      </w:r>
      <w:r w:rsidR="009E0603">
        <w:rPr>
          <w:rFonts w:ascii="Times New Roman" w:hAnsi="Times New Roman" w:cs="Times New Roman"/>
          <w:sz w:val="24"/>
          <w:szCs w:val="24"/>
        </w:rPr>
        <w:t>[14]</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continúa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utilizando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combustibles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sólidos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cocinar,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pudiendo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exposición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mucho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(exterior)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ciudades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contaminadas.</w:t>
      </w:r>
    </w:p>
    <w:p w14:paraId="713B46D9" w14:textId="341C1D36"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Durante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2016,</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BC37D5">
        <w:rPr>
          <w:rFonts w:ascii="Times New Roman" w:hAnsi="Times New Roman" w:cs="Times New Roman"/>
          <w:sz w:val="24"/>
          <w:szCs w:val="24"/>
        </w:rPr>
        <w:t>y</w:t>
      </w:r>
      <w:r w:rsidRPr="000C137C">
        <w:rPr>
          <w:rFonts w:ascii="Times New Roman" w:hAnsi="Times New Roman" w:cs="Times New Roman"/>
          <w:sz w:val="24"/>
          <w:szCs w:val="24"/>
        </w:rPr>
        <w:t>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generaron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231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toneladas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basura,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0,99</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kg</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cápita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isleños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economías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turísticas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activas,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lastRenderedPageBreak/>
        <w:t>generadores.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Aproximadamente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69</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depositados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algún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tipo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vertedero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50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dispuesto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rellenos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sanitarios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controles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187E70">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sin</w:t>
      </w:r>
      <w:r w:rsidR="00D136BB">
        <w:rPr>
          <w:rFonts w:ascii="Times New Roman" w:hAnsi="Times New Roman" w:cs="Times New Roman"/>
          <w:sz w:val="24"/>
          <w:szCs w:val="24"/>
        </w:rPr>
        <w:t xml:space="preserve"> </w:t>
      </w:r>
      <w:r w:rsidR="00C54B63" w:rsidRPr="000C137C">
        <w:rPr>
          <w:rFonts w:ascii="Times New Roman" w:hAnsi="Times New Roman" w:cs="Times New Roman"/>
          <w:sz w:val="24"/>
          <w:szCs w:val="24"/>
        </w:rPr>
        <w:t>embargo,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cantidad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importante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depositada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basureros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abiertos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(27%),</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quemada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empleada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animales.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prácticas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reciclado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00187E70" w:rsidRPr="000C137C">
        <w:rPr>
          <w:rFonts w:ascii="Times New Roman" w:hAnsi="Times New Roman" w:cs="Times New Roman"/>
          <w:sz w:val="24"/>
          <w:szCs w:val="24"/>
        </w:rPr>
        <w:t>compostaje,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varía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w:t>
      </w:r>
      <w:r w:rsidR="009E0603">
        <w:rPr>
          <w:rFonts w:ascii="Times New Roman" w:hAnsi="Times New Roman" w:cs="Times New Roman"/>
          <w:sz w:val="24"/>
          <w:szCs w:val="24"/>
        </w:rPr>
        <w:t>[15]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residuos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sólidos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compuestos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materiales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orgánicos,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reciclables,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materiales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domésticos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peligrosos,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médicos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industriales,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escombros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construcción.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evidencian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poblaciones,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favorecimiento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aparición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ciertas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flora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desastres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00565826" w:rsidRPr="000C137C">
        <w:rPr>
          <w:rFonts w:ascii="Times New Roman" w:hAnsi="Times New Roman" w:cs="Times New Roman"/>
          <w:sz w:val="24"/>
          <w:szCs w:val="24"/>
        </w:rPr>
        <w:t>inundaciones</w:t>
      </w:r>
      <w:r w:rsidR="00565826">
        <w:rPr>
          <w:rFonts w:ascii="Times New Roman" w:hAnsi="Times New Roman" w:cs="Times New Roman"/>
          <w:sz w:val="24"/>
          <w:szCs w:val="24"/>
        </w:rPr>
        <w:t xml:space="preserve"> [</w:t>
      </w:r>
      <w:r w:rsidR="009E0603">
        <w:rPr>
          <w:rFonts w:ascii="Times New Roman" w:hAnsi="Times New Roman" w:cs="Times New Roman"/>
          <w:sz w:val="24"/>
          <w:szCs w:val="24"/>
        </w:rPr>
        <w:t>16]</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p>
    <w:p w14:paraId="0A19E5B3" w14:textId="54A251A4" w:rsidR="00853862" w:rsidRPr="000C137C" w:rsidRDefault="00853862" w:rsidP="00853862">
      <w:pPr>
        <w:spacing w:line="240" w:lineRule="auto"/>
        <w:jc w:val="both"/>
        <w:rPr>
          <w:rFonts w:ascii="Times New Roman" w:hAnsi="Times New Roman" w:cs="Times New Roman"/>
          <w:bCs/>
          <w:sz w:val="24"/>
          <w:szCs w:val="24"/>
        </w:rPr>
      </w:pPr>
      <w:r w:rsidRPr="000C137C">
        <w:rPr>
          <w:rFonts w:ascii="Times New Roman" w:hAnsi="Times New Roman" w:cs="Times New Roman"/>
          <w:sz w:val="24"/>
          <w:szCs w:val="24"/>
        </w:rPr>
        <w:t>Si</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ejemplo</w:t>
      </w:r>
      <w:r w:rsidR="00187E70">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hormonas,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antibióticos,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emisiones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radiactivas,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aditivos)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suficientemente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evaluado;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trabajar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Urbanos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sustentados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relevante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estadísticas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fiables,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permitiría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pensar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futuro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ciudades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asentamientos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humanos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w:t>
      </w:r>
      <w:r w:rsidR="00BC37D5">
        <w:rPr>
          <w:rFonts w:ascii="Times New Roman" w:hAnsi="Times New Roman" w:cs="Times New Roman"/>
          <w:bCs/>
          <w:sz w:val="24"/>
          <w:szCs w:val="24"/>
        </w:rPr>
        <w:t>y</w:t>
      </w:r>
      <w:r w:rsidRPr="000C137C">
        <w:rPr>
          <w:rFonts w:ascii="Times New Roman" w:hAnsi="Times New Roman" w:cs="Times New Roman"/>
          <w:bCs/>
          <w:sz w:val="24"/>
          <w:szCs w:val="24"/>
        </w:rPr>
        <w:t>C</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sean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inclusivos,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seguros,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resilientes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sostenibles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línea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ODS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11.</w:t>
      </w:r>
      <w:r w:rsidR="00D136BB">
        <w:rPr>
          <w:rFonts w:ascii="Times New Roman" w:hAnsi="Times New Roman" w:cs="Times New Roman"/>
          <w:bCs/>
          <w:sz w:val="24"/>
          <w:szCs w:val="24"/>
        </w:rPr>
        <w:t xml:space="preserve"> </w:t>
      </w:r>
    </w:p>
    <w:p w14:paraId="1E8DC90A" w14:textId="1BD14FC5" w:rsidR="00853862" w:rsidRPr="000C137C" w:rsidRDefault="00853862" w:rsidP="00853862">
      <w:pPr>
        <w:spacing w:line="240" w:lineRule="auto"/>
        <w:jc w:val="both"/>
        <w:rPr>
          <w:rFonts w:ascii="Times New Roman" w:hAnsi="Times New Roman" w:cs="Times New Roman"/>
          <w:bCs/>
          <w:sz w:val="24"/>
          <w:szCs w:val="24"/>
        </w:rPr>
      </w:pPr>
      <w:r w:rsidRPr="000C137C">
        <w:rPr>
          <w:rFonts w:ascii="Times New Roman" w:hAnsi="Times New Roman" w:cs="Times New Roman"/>
          <w:bCs/>
          <w:sz w:val="24"/>
          <w:szCs w:val="24"/>
        </w:rPr>
        <w:t>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sabido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nivel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global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necesita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urgentemente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adoptar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medidas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combatir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cambio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climático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efectos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según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establece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ODS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13.</w:t>
      </w:r>
      <w:r w:rsidR="00D136BB">
        <w:rPr>
          <w:rFonts w:ascii="Times New Roman" w:hAnsi="Times New Roman" w:cs="Times New Roman"/>
          <w:bCs/>
          <w:sz w:val="24"/>
          <w:szCs w:val="24"/>
        </w:rPr>
        <w:t xml:space="preserve"> </w:t>
      </w:r>
      <w:r w:rsidR="00C54B63">
        <w:rPr>
          <w:rFonts w:ascii="Times New Roman" w:hAnsi="Times New Roman" w:cs="Times New Roman"/>
          <w:bCs/>
          <w:sz w:val="24"/>
          <w:szCs w:val="24"/>
        </w:rPr>
        <w:t>AL</w:t>
      </w:r>
      <w:r w:rsidR="00BC37D5">
        <w:rPr>
          <w:rFonts w:ascii="Times New Roman" w:hAnsi="Times New Roman" w:cs="Times New Roman"/>
          <w:bCs/>
          <w:sz w:val="24"/>
          <w:szCs w:val="24"/>
        </w:rPr>
        <w:t>y</w:t>
      </w:r>
      <w:r w:rsidR="00C54B63">
        <w:rPr>
          <w:rFonts w:ascii="Times New Roman" w:hAnsi="Times New Roman" w:cs="Times New Roman"/>
          <w:bCs/>
          <w:sz w:val="24"/>
          <w:szCs w:val="24"/>
        </w:rPr>
        <w:t>C</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avanzado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dicho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sentido,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w:t>
      </w:r>
      <w:r w:rsidRPr="000C137C">
        <w:rPr>
          <w:rFonts w:ascii="Times New Roman" w:hAnsi="Times New Roman" w:cs="Times New Roman"/>
          <w:sz w:val="24"/>
          <w:szCs w:val="24"/>
        </w:rPr>
        <w:t>econociendo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Climático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principal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internacional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intergubernamental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negociar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respuesta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concreta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fenómeno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climático,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efectos</w:t>
      </w:r>
      <w:r w:rsidR="00D136BB">
        <w:rPr>
          <w:rFonts w:ascii="Times New Roman" w:hAnsi="Times New Roman" w:cs="Times New Roman"/>
          <w:sz w:val="24"/>
          <w:szCs w:val="24"/>
        </w:rPr>
        <w:t xml:space="preserve"> </w:t>
      </w:r>
      <w:r w:rsidR="00EA29E7" w:rsidRPr="000C137C">
        <w:rPr>
          <w:rFonts w:ascii="Times New Roman" w:hAnsi="Times New Roman" w:cs="Times New Roman"/>
          <w:sz w:val="24"/>
          <w:szCs w:val="24"/>
        </w:rPr>
        <w:t>imprevisibles,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menudo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devastadores,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incluido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desastres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morbilidad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particularmente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pobres,</w:t>
      </w:r>
      <w:r w:rsidR="00D136BB">
        <w:rPr>
          <w:rFonts w:ascii="Times New Roman" w:hAnsi="Times New Roman" w:cs="Times New Roman"/>
          <w:sz w:val="24"/>
          <w:szCs w:val="24"/>
        </w:rPr>
        <w:t xml:space="preserve"> </w:t>
      </w:r>
      <w:r w:rsidRPr="000C137C">
        <w:rPr>
          <w:rFonts w:ascii="Times New Roman" w:hAnsi="Times New Roman" w:cs="Times New Roman"/>
          <w:bCs/>
          <w:sz w:val="24"/>
          <w:szCs w:val="24"/>
        </w:rPr>
        <w:t>jóvenes,</w:t>
      </w:r>
      <w:r w:rsidR="00D136BB">
        <w:rPr>
          <w:rFonts w:ascii="Times New Roman" w:hAnsi="Times New Roman" w:cs="Times New Roman"/>
          <w:bCs/>
          <w:sz w:val="24"/>
          <w:szCs w:val="24"/>
        </w:rPr>
        <w:t xml:space="preserve"> </w:t>
      </w:r>
      <w:r w:rsidR="00EA29E7"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00EA29E7">
        <w:rPr>
          <w:rFonts w:ascii="Times New Roman" w:hAnsi="Times New Roman" w:cs="Times New Roman"/>
          <w:bCs/>
          <w:sz w:val="24"/>
          <w:szCs w:val="24"/>
        </w:rPr>
        <w:t>mujeres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general</w:t>
      </w:r>
      <w:r w:rsidR="009E0603">
        <w:rPr>
          <w:rFonts w:ascii="Times New Roman" w:hAnsi="Times New Roman" w:cs="Times New Roman"/>
          <w:bCs/>
          <w:sz w:val="24"/>
          <w:szCs w:val="24"/>
        </w:rPr>
        <w:t>[17]</w:t>
      </w:r>
      <w:r w:rsidRPr="000C137C">
        <w:rPr>
          <w:rFonts w:ascii="Times New Roman" w:hAnsi="Times New Roman" w:cs="Times New Roman"/>
          <w:bCs/>
          <w:sz w:val="24"/>
          <w:szCs w:val="24"/>
        </w:rPr>
        <w:t>.</w:t>
      </w:r>
    </w:p>
    <w:p w14:paraId="40664346" w14:textId="3C220F3E" w:rsidR="00853862" w:rsidRPr="000C137C" w:rsidRDefault="00853862" w:rsidP="00853862">
      <w:pPr>
        <w:spacing w:line="240" w:lineRule="auto"/>
        <w:jc w:val="both"/>
        <w:rPr>
          <w:rFonts w:ascii="Times New Roman" w:hAnsi="Times New Roman" w:cs="Times New Roman"/>
          <w:bCs/>
          <w:sz w:val="24"/>
          <w:szCs w:val="24"/>
        </w:rPr>
      </w:pP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este</w:t>
      </w:r>
      <w:r w:rsidR="00D136BB">
        <w:rPr>
          <w:rFonts w:ascii="Times New Roman" w:hAnsi="Times New Roman" w:cs="Times New Roman"/>
          <w:bCs/>
          <w:sz w:val="24"/>
          <w:szCs w:val="24"/>
        </w:rPr>
        <w:t xml:space="preserve"> </w:t>
      </w:r>
      <w:r w:rsidR="000C137C" w:rsidRPr="000C137C">
        <w:rPr>
          <w:rFonts w:ascii="Times New Roman" w:hAnsi="Times New Roman" w:cs="Times New Roman"/>
          <w:bCs/>
          <w:sz w:val="24"/>
          <w:szCs w:val="24"/>
        </w:rPr>
        <w:t>sentido,</w:t>
      </w:r>
      <w:r w:rsidR="00D136BB">
        <w:rPr>
          <w:rFonts w:ascii="Times New Roman" w:hAnsi="Times New Roman" w:cs="Times New Roman"/>
          <w:bCs/>
          <w:sz w:val="24"/>
          <w:szCs w:val="24"/>
        </w:rPr>
        <w:t xml:space="preserve"> </w:t>
      </w:r>
      <w:r w:rsidR="000C137C"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glaciares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andinos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áreas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hielo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Sudamérica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cobran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trascendencia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severamente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afectados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recalentamiento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global</w:t>
      </w:r>
      <w:r w:rsidR="009E0603">
        <w:rPr>
          <w:rFonts w:ascii="Times New Roman" w:hAnsi="Times New Roman" w:cs="Times New Roman"/>
          <w:sz w:val="24"/>
          <w:szCs w:val="24"/>
        </w:rPr>
        <w:t>[18]</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retroceso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glaciar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disminución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disponibilidad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preocupaciones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andinos,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concentran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95%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glaciares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tropicales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planeta).</w:t>
      </w:r>
      <w:r w:rsidR="00D136BB">
        <w:rPr>
          <w:rFonts w:ascii="Times New Roman" w:hAnsi="Times New Roman" w:cs="Times New Roman"/>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mayoría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glaciares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mundo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llevan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retrocediendo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últimos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decenios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debido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cambio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climático,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pero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si</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disminución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continúa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ritmo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actual,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algunos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glaciares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baja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altitud</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Andes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tropicales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podrían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perder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entre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78</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97%</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volumen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aquí</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finales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siglo,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dejando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poblaciones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región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sin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parte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recursos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hídricos.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agua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deshielo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glaciares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fuente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agua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fundamental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millones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personas,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especial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poblaciones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tierras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altas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andinas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Bolivia,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Chile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Perú</w:t>
      </w:r>
      <w:r w:rsidR="009E0603">
        <w:rPr>
          <w:rFonts w:ascii="Times New Roman" w:hAnsi="Times New Roman" w:cs="Times New Roman"/>
          <w:bCs/>
          <w:sz w:val="24"/>
          <w:szCs w:val="24"/>
        </w:rPr>
        <w:t>[19]</w:t>
      </w:r>
      <w:r w:rsidRPr="000C137C">
        <w:rPr>
          <w:rFonts w:ascii="Times New Roman" w:hAnsi="Times New Roman" w:cs="Times New Roman"/>
          <w:bCs/>
          <w:sz w:val="24"/>
          <w:szCs w:val="24"/>
        </w:rPr>
        <w:t>.</w:t>
      </w:r>
      <w:r w:rsidR="00D136BB">
        <w:rPr>
          <w:rFonts w:ascii="Times New Roman" w:hAnsi="Times New Roman" w:cs="Times New Roman"/>
          <w:bCs/>
          <w:sz w:val="24"/>
          <w:szCs w:val="24"/>
        </w:rPr>
        <w:t xml:space="preserve"> </w:t>
      </w:r>
    </w:p>
    <w:p w14:paraId="2E2FA893" w14:textId="55A80FD8" w:rsidR="00853862" w:rsidRPr="000C137C" w:rsidRDefault="00853862" w:rsidP="00853862">
      <w:pPr>
        <w:spacing w:line="240" w:lineRule="auto"/>
        <w:jc w:val="both"/>
        <w:rPr>
          <w:rFonts w:ascii="Times New Roman" w:hAnsi="Times New Roman" w:cs="Times New Roman"/>
          <w:bCs/>
          <w:sz w:val="24"/>
          <w:szCs w:val="24"/>
        </w:rPr>
      </w:pP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conservación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utilización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océanos,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mares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recursos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marinos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manera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contribuya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desarrollo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sostenible,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realidad</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regional</w:t>
      </w:r>
      <w:r w:rsidR="00D136BB">
        <w:rPr>
          <w:rFonts w:ascii="Times New Roman" w:hAnsi="Times New Roman" w:cs="Times New Roman"/>
          <w:bCs/>
          <w:sz w:val="24"/>
          <w:szCs w:val="24"/>
        </w:rPr>
        <w:t xml:space="preserve"> </w:t>
      </w:r>
      <w:r w:rsidR="00F47FDB">
        <w:rPr>
          <w:rFonts w:ascii="Times New Roman" w:hAnsi="Times New Roman" w:cs="Times New Roman"/>
          <w:bCs/>
          <w:sz w:val="24"/>
          <w:szCs w:val="24"/>
        </w:rPr>
        <w:t>esencial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cumplimiento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ODS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14.</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vida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depende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océanos,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cuales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constituyen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ecosistema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más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grande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planeta,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cubren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más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tercios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superficie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Tierra,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proporcionan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alimentos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medios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vida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miles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millones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Personas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generan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aproximadamente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mitad</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oxígeno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respiramos.</w:t>
      </w:r>
    </w:p>
    <w:p w14:paraId="7562E890" w14:textId="77631E08"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ALC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tiene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línea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70.000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km,</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junto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localizan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asentamientos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humanos,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representa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60%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territorio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soberano,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crucial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seguridad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alimentaria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pequeños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insulares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contribuyendo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significativa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turismo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Caribe.</w:t>
      </w:r>
      <w:r w:rsidR="00D136BB">
        <w:rPr>
          <w:rFonts w:ascii="Times New Roman" w:hAnsi="Times New Roman" w:cs="Times New Roman"/>
          <w:sz w:val="24"/>
          <w:szCs w:val="24"/>
        </w:rPr>
        <w:t xml:space="preserve"> </w:t>
      </w:r>
    </w:p>
    <w:p w14:paraId="6E80E25B" w14:textId="25B3A9B6" w:rsidR="00853862" w:rsidRPr="000C137C" w:rsidRDefault="00853862" w:rsidP="00853862">
      <w:pPr>
        <w:spacing w:line="240" w:lineRule="auto"/>
        <w:jc w:val="both"/>
        <w:rPr>
          <w:rFonts w:ascii="Times New Roman" w:hAnsi="Times New Roman" w:cs="Times New Roman"/>
          <w:bCs/>
          <w:sz w:val="24"/>
          <w:szCs w:val="24"/>
        </w:rPr>
      </w:pPr>
      <w:r w:rsidRPr="000C137C">
        <w:rPr>
          <w:rFonts w:ascii="Times New Roman" w:hAnsi="Times New Roman" w:cs="Times New Roman"/>
          <w:bCs/>
          <w:sz w:val="24"/>
          <w:szCs w:val="24"/>
        </w:rPr>
        <w:t>Sin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embargo,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varias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décadas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aumento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emisiones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carbono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generado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acumulación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calor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océanos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cambios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composición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química.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efectos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adversos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resultantes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acidificación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océanos,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cambio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climático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(incluido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aumento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nivel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mar),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fenómenos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lastRenderedPageBreak/>
        <w:t>meteorológicos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extremos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erosión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costera,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agravan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continua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amenaza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recursos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marinos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costeros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derivada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pesca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excesiva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sobreexplotación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comercial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valiosas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especies</w:t>
      </w:r>
      <w:r w:rsidRPr="000C137C">
        <w:rPr>
          <w:rFonts w:ascii="Times New Roman" w:hAnsi="Times New Roman" w:cs="Times New Roman"/>
          <w:bCs/>
          <w:sz w:val="24"/>
          <w:szCs w:val="24"/>
        </w:rPr>
        <w:t>,</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contaminación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degradación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hábitat.</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Por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ejemplo,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análisis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indicador</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agua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limpia,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medida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grado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contaminación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océano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muestra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problemas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calidad</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agua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están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muy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extendidos,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siendo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muy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grave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nuestra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región.</w:t>
      </w:r>
    </w:p>
    <w:p w14:paraId="6178BB9C" w14:textId="01A6A79B" w:rsidR="00853862" w:rsidRPr="000C137C" w:rsidRDefault="00853862" w:rsidP="00853862">
      <w:pPr>
        <w:spacing w:line="240" w:lineRule="auto"/>
        <w:jc w:val="both"/>
        <w:rPr>
          <w:rFonts w:ascii="Times New Roman" w:hAnsi="Times New Roman" w:cs="Times New Roman"/>
          <w:bCs/>
          <w:sz w:val="24"/>
          <w:szCs w:val="24"/>
        </w:rPr>
      </w:pP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deterioro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calidad</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agua,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efectos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perjudiciales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recursos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vivos,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peligro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salud</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humana,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reducción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atractivos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naturales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obstáculos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actividades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consecuencia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micro</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plásticos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(partículas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plásticas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tamaños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cinco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milímetros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originados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fragmentación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fabricación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directa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materiales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industrial)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constituyen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factores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preocupantes,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complejos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difícil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manejo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incorporación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cadena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alimentaria.</w:t>
      </w:r>
    </w:p>
    <w:p w14:paraId="6FC247EE" w14:textId="52311AAB"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bCs/>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toneladas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nutrientes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derramadas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costas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relacionadas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rojas,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conocidas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Florecimientos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Algas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Nocivas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manifestaciones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significativas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toxinas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ciertas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algas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acumularse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alimentarios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representan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consumidores,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además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tener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impactos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negativos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economía</w:t>
      </w:r>
      <w:r w:rsidR="009E0603">
        <w:rPr>
          <w:rFonts w:ascii="Times New Roman" w:hAnsi="Times New Roman" w:cs="Times New Roman"/>
          <w:sz w:val="24"/>
          <w:szCs w:val="24"/>
        </w:rPr>
        <w:t>[20]</w:t>
      </w:r>
      <w:r w:rsidRPr="000C137C">
        <w:rPr>
          <w:rFonts w:ascii="Times New Roman" w:hAnsi="Times New Roman" w:cs="Times New Roman"/>
          <w:sz w:val="24"/>
          <w:szCs w:val="24"/>
        </w:rPr>
        <w:t>.</w:t>
      </w:r>
    </w:p>
    <w:p w14:paraId="5955CB56" w14:textId="31DF7DB2"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destacable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línea,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avanzado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zonas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costeras,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línea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Aichi</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Biológica,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Biológica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conservación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silvestres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protegidas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porcentaje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zonas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costeras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2020).</w:t>
      </w:r>
      <w:r w:rsidR="00D136BB">
        <w:rPr>
          <w:rFonts w:ascii="Times New Roman" w:hAnsi="Times New Roman" w:cs="Times New Roman"/>
          <w:sz w:val="24"/>
          <w:szCs w:val="24"/>
        </w:rPr>
        <w:t xml:space="preserve"> </w:t>
      </w:r>
    </w:p>
    <w:p w14:paraId="4B66957B" w14:textId="560E00C6" w:rsidR="00853862" w:rsidRPr="000C137C" w:rsidRDefault="00853862" w:rsidP="00853862">
      <w:pPr>
        <w:spacing w:line="240" w:lineRule="auto"/>
        <w:jc w:val="both"/>
        <w:rPr>
          <w:rFonts w:ascii="Times New Roman" w:hAnsi="Times New Roman" w:cs="Times New Roman"/>
          <w:bCs/>
          <w:sz w:val="24"/>
          <w:szCs w:val="24"/>
        </w:rPr>
      </w:pPr>
      <w:r w:rsidRPr="000C137C">
        <w:rPr>
          <w:rFonts w:ascii="Times New Roman" w:hAnsi="Times New Roman" w:cs="Times New Roman"/>
          <w:sz w:val="24"/>
          <w:szCs w:val="24"/>
        </w:rPr>
        <w:t>Finalmente</w:t>
      </w:r>
      <w:r w:rsidRPr="000C137C">
        <w:rPr>
          <w:rFonts w:ascii="Times New Roman" w:hAnsi="Times New Roman" w:cs="Times New Roman"/>
          <w:bCs/>
          <w:sz w:val="24"/>
          <w:szCs w:val="24"/>
        </w:rPr>
        <w:t>,</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relación</w:t>
      </w:r>
      <w:r w:rsidR="00D136BB">
        <w:rPr>
          <w:rFonts w:ascii="Times New Roman" w:hAnsi="Times New Roman" w:cs="Times New Roman"/>
          <w:bCs/>
          <w:sz w:val="24"/>
          <w:szCs w:val="24"/>
        </w:rPr>
        <w:t xml:space="preserve"> </w:t>
      </w:r>
      <w:r w:rsidR="00F47FDB">
        <w:rPr>
          <w:rFonts w:ascii="Times New Roman" w:hAnsi="Times New Roman" w:cs="Times New Roman"/>
          <w:bCs/>
          <w:sz w:val="24"/>
          <w:szCs w:val="24"/>
        </w:rPr>
        <w:t>con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protección,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restablecimiento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promoción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uso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sostenible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ecosistemas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terrestres,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gestión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sostenible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bosques,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lucha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contra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desertificación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detención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degradación,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aspectos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centrales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ODS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15,</w:t>
      </w:r>
      <w:r w:rsidR="00D136BB">
        <w:rPr>
          <w:rFonts w:ascii="Times New Roman" w:hAnsi="Times New Roman" w:cs="Times New Roman"/>
          <w:bCs/>
          <w:sz w:val="24"/>
          <w:szCs w:val="24"/>
        </w:rPr>
        <w:t xml:space="preserve"> </w:t>
      </w:r>
      <w:r w:rsidR="00C54B63">
        <w:rPr>
          <w:rFonts w:ascii="Times New Roman" w:hAnsi="Times New Roman" w:cs="Times New Roman"/>
          <w:bCs/>
          <w:sz w:val="24"/>
          <w:szCs w:val="24"/>
        </w:rPr>
        <w:t>AL</w:t>
      </w:r>
      <w:r w:rsidR="00BC37D5">
        <w:rPr>
          <w:rFonts w:ascii="Times New Roman" w:hAnsi="Times New Roman" w:cs="Times New Roman"/>
          <w:bCs/>
          <w:sz w:val="24"/>
          <w:szCs w:val="24"/>
        </w:rPr>
        <w:t>y</w:t>
      </w:r>
      <w:r w:rsidR="00C54B63">
        <w:rPr>
          <w:rFonts w:ascii="Times New Roman" w:hAnsi="Times New Roman" w:cs="Times New Roman"/>
          <w:bCs/>
          <w:sz w:val="24"/>
          <w:szCs w:val="24"/>
        </w:rPr>
        <w:t>C</w:t>
      </w:r>
      <w:r w:rsidR="00D136BB">
        <w:rPr>
          <w:rFonts w:ascii="Times New Roman" w:hAnsi="Times New Roman" w:cs="Times New Roman"/>
          <w:bCs/>
          <w:sz w:val="24"/>
          <w:szCs w:val="24"/>
        </w:rPr>
        <w:t xml:space="preserve"> </w:t>
      </w:r>
      <w:r w:rsidRPr="000C137C">
        <w:rPr>
          <w:rFonts w:ascii="Times New Roman" w:hAnsi="Times New Roman" w:cs="Times New Roman"/>
          <w:sz w:val="24"/>
          <w:szCs w:val="24"/>
        </w:rPr>
        <w:t>está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tomando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importantes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conservar,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restaurar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hacer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valiosos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incluye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adopción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mecanismos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legales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garantizar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distribución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justa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beneficios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genéticos,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protegiendo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clave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biodiversidad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(ACB)</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embargo,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esfuerzos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deben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intensificarse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urgencia,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inmediatas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detener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pérdida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biodiversidad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proteger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regionales.</w:t>
      </w:r>
      <w:r w:rsidR="00D136BB">
        <w:rPr>
          <w:rFonts w:ascii="Times New Roman" w:hAnsi="Times New Roman" w:cs="Times New Roman"/>
          <w:sz w:val="24"/>
          <w:szCs w:val="24"/>
        </w:rPr>
        <w:t xml:space="preserve"> </w:t>
      </w:r>
    </w:p>
    <w:p w14:paraId="39817776" w14:textId="17DB94E9"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42%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emisiones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invernadero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comparación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18%</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contexto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donde</w:t>
      </w:r>
      <w:r w:rsidR="00D136BB">
        <w:rPr>
          <w:rFonts w:ascii="Times New Roman" w:hAnsi="Times New Roman" w:cs="Times New Roman"/>
          <w:sz w:val="24"/>
          <w:szCs w:val="24"/>
        </w:rPr>
        <w:t xml:space="preserve"> </w:t>
      </w:r>
      <w:r w:rsidR="00C54B63">
        <w:rPr>
          <w:rFonts w:ascii="Times New Roman" w:hAnsi="Times New Roman" w:cs="Times New Roman"/>
          <w:sz w:val="24"/>
          <w:szCs w:val="24"/>
        </w:rPr>
        <w:t>ALYC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1990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2015,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perdió</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casi</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superficie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forestal.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Según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Organización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Agricultura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16,5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explotaciones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agrícolas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familiares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(80%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explotaciones),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ocupan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60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constituyen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principal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empleo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agrícola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rural</w:t>
      </w:r>
      <w:r w:rsidR="009E0603">
        <w:rPr>
          <w:rFonts w:ascii="Times New Roman" w:hAnsi="Times New Roman" w:cs="Times New Roman"/>
          <w:sz w:val="24"/>
          <w:szCs w:val="24"/>
        </w:rPr>
        <w:t>[21]</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reviste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aún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relevancia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presentar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consumo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agroquímicos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durante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últimas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décadas,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enfrentándose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relacionados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residuos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plaguicidas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consecuente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impacto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industria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alimenticia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doméstico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carácter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exportador.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excesivo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fertilizantes,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prácticas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riego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intensivo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llevan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alteraciones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nitrificación,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salinización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agotamiento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pérdida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nutrientes,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desertificación,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manifestación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extrema,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afecta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aproximadamente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30%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superficie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p>
    <w:p w14:paraId="36D0B34C" w14:textId="0DA7731C"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dinámica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afecta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clases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desertificación,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degradación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pérdida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reducen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lastRenderedPageBreak/>
        <w:t>disponibilidad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contexto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2050,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vivirá</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afectado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escasez</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crónica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reiterada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dulce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(ONU-Agua).</w:t>
      </w:r>
    </w:p>
    <w:p w14:paraId="7F7B44BF" w14:textId="3A3628E8"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protegidas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terrestres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abarcan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casi</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cuarta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superficie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—4,85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km</w:t>
      </w:r>
      <w:r w:rsidRPr="000C137C">
        <w:rPr>
          <w:rFonts w:ascii="Times New Roman" w:hAnsi="Times New Roman" w:cs="Times New Roman"/>
          <w:sz w:val="24"/>
          <w:szCs w:val="24"/>
          <w:vertAlign w:val="superscript"/>
        </w:rPr>
        <w:t>2</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2,47</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millones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km</w:t>
      </w:r>
      <w:r w:rsidRPr="000C137C">
        <w:rPr>
          <w:rFonts w:ascii="Times New Roman" w:hAnsi="Times New Roman" w:cs="Times New Roman"/>
          <w:sz w:val="24"/>
          <w:szCs w:val="24"/>
          <w:vertAlign w:val="superscript"/>
        </w:rPr>
        <w:t>2</w:t>
      </w:r>
      <w:r w:rsidR="00D136BB">
        <w:rPr>
          <w:rFonts w:ascii="Times New Roman" w:hAnsi="Times New Roman" w:cs="Times New Roman"/>
          <w:sz w:val="24"/>
          <w:szCs w:val="24"/>
          <w:vertAlign w:val="superscript"/>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protegidas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terrestres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produciéndose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quinta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secuestro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carbono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terrestres</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000C137C" w:rsidRPr="000C137C">
        <w:rPr>
          <w:rFonts w:ascii="Times New Roman" w:hAnsi="Times New Roman" w:cs="Times New Roman"/>
          <w:sz w:val="24"/>
          <w:szCs w:val="24"/>
        </w:rPr>
        <w:t>manteniéndose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fundamentales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consumo.</w:t>
      </w:r>
    </w:p>
    <w:p w14:paraId="370940EF" w14:textId="267D7311" w:rsidR="00853862" w:rsidRPr="000C137C" w:rsidRDefault="00853862" w:rsidP="00853862">
      <w:pPr>
        <w:spacing w:line="240" w:lineRule="auto"/>
        <w:jc w:val="both"/>
        <w:rPr>
          <w:rFonts w:ascii="Times New Roman" w:hAnsi="Times New Roman" w:cs="Times New Roman"/>
          <w:sz w:val="24"/>
          <w:szCs w:val="24"/>
        </w:rPr>
      </w:pPr>
      <w:r w:rsidRPr="000C137C">
        <w:rPr>
          <w:rFonts w:ascii="Times New Roman" w:hAnsi="Times New Roman" w:cs="Times New Roman"/>
          <w:sz w:val="24"/>
          <w:szCs w:val="24"/>
        </w:rPr>
        <w:t>Respecto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minería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vínculo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aún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aquella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pequeña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escala,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importante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pesados</w:t>
      </w:r>
      <w:r w:rsidR="00D136BB">
        <w:rPr>
          <w:rFonts w:ascii="Times New Roman" w:hAnsi="Times New Roman" w:cs="Times New Roman"/>
          <w:sz w:val="24"/>
          <w:szCs w:val="24"/>
        </w:rPr>
        <w:t xml:space="preserve"> </w:t>
      </w:r>
      <w:r w:rsidR="00F47FDB">
        <w:rPr>
          <w:rFonts w:ascii="Times New Roman" w:hAnsi="Times New Roman" w:cs="Times New Roman"/>
          <w:sz w:val="24"/>
          <w:szCs w:val="24"/>
        </w:rPr>
        <w:t>y</w:t>
      </w:r>
      <w:r w:rsidR="00D136BB">
        <w:rPr>
          <w:rFonts w:ascii="Times New Roman" w:hAnsi="Times New Roman" w:cs="Times New Roman"/>
          <w:sz w:val="24"/>
          <w:szCs w:val="24"/>
        </w:rPr>
        <w:t xml:space="preserve"> </w:t>
      </w:r>
      <w:r w:rsidR="00F47FDB">
        <w:rPr>
          <w:rFonts w:ascii="Times New Roman" w:hAnsi="Times New Roman" w:cs="Times New Roman"/>
          <w:sz w:val="24"/>
          <w:szCs w:val="24"/>
        </w:rPr>
        <w:t>otros</w:t>
      </w:r>
      <w:r w:rsidR="00D136BB">
        <w:rPr>
          <w:rFonts w:ascii="Times New Roman" w:hAnsi="Times New Roman" w:cs="Times New Roman"/>
          <w:sz w:val="24"/>
          <w:szCs w:val="24"/>
        </w:rPr>
        <w:t xml:space="preserve"> </w:t>
      </w:r>
      <w:r w:rsidR="00F47FDB">
        <w:rPr>
          <w:rFonts w:ascii="Times New Roman" w:hAnsi="Times New Roman" w:cs="Times New Roman"/>
          <w:sz w:val="24"/>
          <w:szCs w:val="24"/>
        </w:rPr>
        <w:t>elementos</w:t>
      </w:r>
      <w:r w:rsidR="00D136BB">
        <w:rPr>
          <w:rFonts w:ascii="Times New Roman" w:hAnsi="Times New Roman" w:cs="Times New Roman"/>
          <w:sz w:val="24"/>
          <w:szCs w:val="24"/>
        </w:rPr>
        <w:t xml:space="preserve"> </w:t>
      </w:r>
      <w:r w:rsidR="00F47FDB">
        <w:rPr>
          <w:rFonts w:ascii="Times New Roman" w:hAnsi="Times New Roman" w:cs="Times New Roman"/>
          <w:sz w:val="24"/>
          <w:szCs w:val="24"/>
        </w:rPr>
        <w:t>tóxicos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afecta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especialmente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andinos,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concentran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sitios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mineros,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citándose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ejemplos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Argentina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uranio,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litio),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Bolivia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(antimonio,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estaño,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litio),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Brasil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(mercurio,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uranio),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Chile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(arsénico,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litio),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Ecuador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(arsénico,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cadmio,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cinc,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mercurio),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México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(arsénico,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Perú</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(arsénico,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cadmio,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cinc,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Uruguay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pequeña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minería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hoy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rápida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considerables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daños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producto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ausencia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incumplimiento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jurídico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reglamentario</w:t>
      </w:r>
      <w:r w:rsidR="009E0603">
        <w:rPr>
          <w:rFonts w:ascii="Times New Roman" w:hAnsi="Times New Roman" w:cs="Times New Roman"/>
          <w:sz w:val="24"/>
          <w:szCs w:val="24"/>
        </w:rPr>
        <w:t>[22]</w:t>
      </w:r>
    </w:p>
    <w:p w14:paraId="790CD9E0" w14:textId="2B84F8CC" w:rsidR="00853862" w:rsidRPr="000C137C" w:rsidRDefault="00853862" w:rsidP="00853862">
      <w:pPr>
        <w:autoSpaceDE w:val="0"/>
        <w:autoSpaceDN w:val="0"/>
        <w:adjustRightInd w:val="0"/>
        <w:jc w:val="both"/>
        <w:rPr>
          <w:rFonts w:ascii="Times New Roman" w:hAnsi="Times New Roman" w:cs="Times New Roman"/>
          <w:sz w:val="24"/>
          <w:szCs w:val="24"/>
        </w:rPr>
      </w:pP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minería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sectores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contribuyen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sustancialmente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calentamiento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global;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resultado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múltiples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actividades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giran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torno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extracción,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resulta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sencillo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invernadero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minería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provoca.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hecho,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decir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emisiones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provienen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propias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operaciones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energía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actividades</w:t>
      </w:r>
      <w:r w:rsidR="009E0603">
        <w:rPr>
          <w:rFonts w:ascii="Times New Roman" w:hAnsi="Times New Roman" w:cs="Times New Roman"/>
          <w:sz w:val="24"/>
          <w:szCs w:val="24"/>
        </w:rPr>
        <w:t>[23]</w:t>
      </w:r>
      <w:r w:rsidRPr="000C137C">
        <w:rPr>
          <w:rFonts w:ascii="Times New Roman" w:hAnsi="Times New Roman" w:cs="Times New Roman"/>
          <w:sz w:val="24"/>
          <w:szCs w:val="24"/>
        </w:rPr>
        <w:t>.</w:t>
      </w:r>
      <w:r w:rsidR="00D136BB">
        <w:rPr>
          <w:rFonts w:ascii="Times New Roman" w:hAnsi="Times New Roman" w:cs="Times New Roman"/>
          <w:sz w:val="24"/>
          <w:szCs w:val="24"/>
        </w:rPr>
        <w:t xml:space="preserve">  </w:t>
      </w:r>
    </w:p>
    <w:p w14:paraId="3CB758D5" w14:textId="7CFAC2BF" w:rsidR="00BB3E9A" w:rsidRPr="00B97262" w:rsidRDefault="00853862" w:rsidP="00BB3E9A">
      <w:pPr>
        <w:autoSpaceDE w:val="0"/>
        <w:autoSpaceDN w:val="0"/>
        <w:adjustRightInd w:val="0"/>
        <w:jc w:val="both"/>
        <w:rPr>
          <w:rFonts w:ascii="Times New Roman" w:hAnsi="Times New Roman"/>
          <w:sz w:val="24"/>
        </w:rPr>
      </w:pP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riesgos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actividades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mineras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encuentran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daño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servicios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ecosistémicos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debe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considerarse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problemática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pasivos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mineros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(incluyendo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explotación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uranio)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00BB3E9A" w:rsidRPr="00B97262">
        <w:rPr>
          <w:rFonts w:ascii="Times New Roman" w:hAnsi="Times New Roman"/>
          <w:sz w:val="24"/>
          <w:lang w:val="es-ES"/>
        </w:rPr>
        <w:t>Ejemplos</w:t>
      </w:r>
      <w:r w:rsidR="00D136BB">
        <w:rPr>
          <w:rFonts w:ascii="Times New Roman" w:hAnsi="Times New Roman"/>
          <w:sz w:val="24"/>
          <w:lang w:val="es-ES"/>
        </w:rPr>
        <w:t xml:space="preserve"> </w:t>
      </w:r>
      <w:r w:rsidR="00BB3E9A" w:rsidRPr="00B97262">
        <w:rPr>
          <w:rFonts w:ascii="Times New Roman" w:hAnsi="Times New Roman"/>
          <w:sz w:val="24"/>
          <w:lang w:val="es-ES"/>
        </w:rPr>
        <w:t>de</w:t>
      </w:r>
      <w:r w:rsidR="00D136BB">
        <w:rPr>
          <w:rFonts w:ascii="Times New Roman" w:hAnsi="Times New Roman"/>
          <w:sz w:val="24"/>
          <w:lang w:val="es-ES"/>
        </w:rPr>
        <w:t xml:space="preserve"> </w:t>
      </w:r>
      <w:r w:rsidR="00BB3E9A" w:rsidRPr="00B97262">
        <w:rPr>
          <w:rFonts w:ascii="Times New Roman" w:hAnsi="Times New Roman"/>
          <w:sz w:val="24"/>
          <w:lang w:val="es-ES"/>
        </w:rPr>
        <w:t>afectación</w:t>
      </w:r>
      <w:r w:rsidR="00D136BB">
        <w:rPr>
          <w:rFonts w:ascii="Times New Roman" w:hAnsi="Times New Roman"/>
          <w:sz w:val="24"/>
          <w:lang w:val="es-ES"/>
        </w:rPr>
        <w:t xml:space="preserve"> </w:t>
      </w:r>
      <w:r w:rsidR="00BB3E9A" w:rsidRPr="00B97262">
        <w:rPr>
          <w:rFonts w:ascii="Times New Roman" w:hAnsi="Times New Roman"/>
          <w:sz w:val="24"/>
          <w:lang w:val="es-ES"/>
        </w:rPr>
        <w:t>a</w:t>
      </w:r>
      <w:r w:rsidR="00D136BB">
        <w:rPr>
          <w:rFonts w:ascii="Times New Roman" w:hAnsi="Times New Roman"/>
          <w:sz w:val="24"/>
          <w:lang w:val="es-ES"/>
        </w:rPr>
        <w:t xml:space="preserve"> </w:t>
      </w:r>
      <w:r w:rsidR="00BB3E9A" w:rsidRPr="00B97262">
        <w:rPr>
          <w:rFonts w:ascii="Times New Roman" w:hAnsi="Times New Roman"/>
          <w:sz w:val="24"/>
          <w:lang w:val="es-ES"/>
        </w:rPr>
        <w:t>los</w:t>
      </w:r>
      <w:r w:rsidR="00D136BB">
        <w:rPr>
          <w:rFonts w:ascii="Times New Roman" w:hAnsi="Times New Roman"/>
          <w:sz w:val="24"/>
          <w:lang w:val="es-ES"/>
        </w:rPr>
        <w:t xml:space="preserve"> </w:t>
      </w:r>
      <w:r w:rsidR="00BB3E9A" w:rsidRPr="00B97262">
        <w:rPr>
          <w:rFonts w:ascii="Times New Roman" w:hAnsi="Times New Roman"/>
          <w:sz w:val="24"/>
          <w:lang w:val="es-ES"/>
        </w:rPr>
        <w:t>recursos</w:t>
      </w:r>
      <w:r w:rsidR="00D136BB">
        <w:rPr>
          <w:rFonts w:ascii="Times New Roman" w:hAnsi="Times New Roman"/>
          <w:sz w:val="24"/>
          <w:lang w:val="es-ES"/>
        </w:rPr>
        <w:t xml:space="preserve"> </w:t>
      </w:r>
      <w:r w:rsidR="00BB3E9A" w:rsidRPr="00B97262">
        <w:rPr>
          <w:rFonts w:ascii="Times New Roman" w:hAnsi="Times New Roman"/>
          <w:sz w:val="24"/>
          <w:lang w:val="es-ES"/>
        </w:rPr>
        <w:t>hídricos</w:t>
      </w:r>
      <w:r w:rsidR="00D136BB">
        <w:rPr>
          <w:rFonts w:ascii="Times New Roman" w:hAnsi="Times New Roman"/>
          <w:sz w:val="24"/>
          <w:lang w:val="es-ES"/>
        </w:rPr>
        <w:t xml:space="preserve"> </w:t>
      </w:r>
      <w:r w:rsidR="00BB3E9A" w:rsidRPr="00B97262">
        <w:rPr>
          <w:rFonts w:ascii="Times New Roman" w:hAnsi="Times New Roman"/>
          <w:sz w:val="24"/>
          <w:lang w:val="es-ES"/>
        </w:rPr>
        <w:t>subterráneos</w:t>
      </w:r>
      <w:r w:rsidR="00D136BB">
        <w:rPr>
          <w:rFonts w:ascii="Times New Roman" w:hAnsi="Times New Roman"/>
          <w:sz w:val="24"/>
          <w:lang w:val="es-ES"/>
        </w:rPr>
        <w:t xml:space="preserve"> </w:t>
      </w:r>
      <w:r w:rsidR="00BB3E9A" w:rsidRPr="00B97262">
        <w:rPr>
          <w:rFonts w:ascii="Times New Roman" w:hAnsi="Times New Roman"/>
          <w:sz w:val="24"/>
          <w:lang w:val="es-ES"/>
        </w:rPr>
        <w:t>son</w:t>
      </w:r>
      <w:r w:rsidR="00D136BB">
        <w:rPr>
          <w:rFonts w:ascii="Times New Roman" w:hAnsi="Times New Roman"/>
          <w:sz w:val="24"/>
          <w:lang w:val="es-ES"/>
        </w:rPr>
        <w:t xml:space="preserve"> </w:t>
      </w:r>
      <w:r w:rsidR="00BB3E9A" w:rsidRPr="00B97262">
        <w:rPr>
          <w:rFonts w:ascii="Times New Roman" w:hAnsi="Times New Roman"/>
          <w:sz w:val="24"/>
          <w:lang w:val="es-ES"/>
        </w:rPr>
        <w:t>el</w:t>
      </w:r>
      <w:r w:rsidR="00D136BB">
        <w:rPr>
          <w:rFonts w:ascii="Times New Roman" w:hAnsi="Times New Roman"/>
          <w:sz w:val="24"/>
          <w:lang w:val="es-ES"/>
        </w:rPr>
        <w:t xml:space="preserve"> </w:t>
      </w:r>
      <w:r w:rsidR="00BB3E9A" w:rsidRPr="00B97262">
        <w:rPr>
          <w:rFonts w:ascii="Times New Roman" w:hAnsi="Times New Roman"/>
          <w:sz w:val="24"/>
          <w:lang w:val="es-ES"/>
        </w:rPr>
        <w:t>de</w:t>
      </w:r>
      <w:r w:rsidR="00D136BB">
        <w:rPr>
          <w:rFonts w:ascii="Times New Roman" w:hAnsi="Times New Roman"/>
          <w:sz w:val="24"/>
          <w:lang w:val="es-ES"/>
        </w:rPr>
        <w:t xml:space="preserve"> </w:t>
      </w:r>
      <w:r w:rsidR="00BB3E9A" w:rsidRPr="00B97262">
        <w:rPr>
          <w:rFonts w:ascii="Times New Roman" w:hAnsi="Times New Roman"/>
          <w:sz w:val="24"/>
          <w:lang w:val="es-ES"/>
        </w:rPr>
        <w:t>la</w:t>
      </w:r>
      <w:r w:rsidR="00D136BB">
        <w:rPr>
          <w:rFonts w:ascii="Times New Roman" w:hAnsi="Times New Roman"/>
          <w:sz w:val="24"/>
          <w:lang w:val="es-ES"/>
        </w:rPr>
        <w:t xml:space="preserve"> </w:t>
      </w:r>
      <w:r w:rsidR="00BB3E9A" w:rsidRPr="00B97262">
        <w:rPr>
          <w:rFonts w:ascii="Times New Roman" w:hAnsi="Times New Roman"/>
          <w:sz w:val="24"/>
          <w:lang w:val="es-ES"/>
        </w:rPr>
        <w:t>explotación</w:t>
      </w:r>
      <w:r w:rsidR="00D136BB">
        <w:rPr>
          <w:rFonts w:ascii="Times New Roman" w:hAnsi="Times New Roman"/>
          <w:sz w:val="24"/>
          <w:lang w:val="es-ES"/>
        </w:rPr>
        <w:t xml:space="preserve"> </w:t>
      </w:r>
      <w:r w:rsidR="00BB3E9A" w:rsidRPr="00B97262">
        <w:rPr>
          <w:rFonts w:ascii="Times New Roman" w:hAnsi="Times New Roman"/>
          <w:sz w:val="24"/>
          <w:lang w:val="es-ES"/>
        </w:rPr>
        <w:t>de</w:t>
      </w:r>
      <w:r w:rsidR="00D136BB">
        <w:rPr>
          <w:rFonts w:ascii="Times New Roman" w:hAnsi="Times New Roman"/>
          <w:sz w:val="24"/>
          <w:lang w:val="es-ES"/>
        </w:rPr>
        <w:t xml:space="preserve"> </w:t>
      </w:r>
      <w:r w:rsidR="00BB3E9A" w:rsidRPr="00B97262">
        <w:rPr>
          <w:rFonts w:ascii="Times New Roman" w:hAnsi="Times New Roman"/>
          <w:sz w:val="24"/>
          <w:lang w:val="es-ES"/>
        </w:rPr>
        <w:t>litio</w:t>
      </w:r>
      <w:r w:rsidR="00D136BB">
        <w:rPr>
          <w:rFonts w:ascii="Times New Roman" w:hAnsi="Times New Roman"/>
          <w:sz w:val="24"/>
          <w:lang w:val="es-ES"/>
        </w:rPr>
        <w:t xml:space="preserve"> </w:t>
      </w:r>
      <w:r w:rsidR="00BB3E9A" w:rsidRPr="00B97262">
        <w:rPr>
          <w:rFonts w:ascii="Times New Roman" w:hAnsi="Times New Roman"/>
          <w:sz w:val="24"/>
          <w:lang w:val="es-ES"/>
        </w:rPr>
        <w:t>en</w:t>
      </w:r>
      <w:r w:rsidR="00D136BB">
        <w:rPr>
          <w:rFonts w:ascii="Times New Roman" w:hAnsi="Times New Roman"/>
          <w:sz w:val="24"/>
          <w:lang w:val="es-ES"/>
        </w:rPr>
        <w:t xml:space="preserve"> </w:t>
      </w:r>
      <w:r w:rsidR="00BB3E9A" w:rsidRPr="00B97262">
        <w:rPr>
          <w:rFonts w:ascii="Times New Roman" w:hAnsi="Times New Roman"/>
          <w:sz w:val="24"/>
          <w:lang w:val="es-ES"/>
        </w:rPr>
        <w:t>las</w:t>
      </w:r>
      <w:r w:rsidR="00D136BB">
        <w:rPr>
          <w:rFonts w:ascii="Times New Roman" w:hAnsi="Times New Roman"/>
          <w:sz w:val="24"/>
          <w:lang w:val="es-ES"/>
        </w:rPr>
        <w:t xml:space="preserve"> </w:t>
      </w:r>
      <w:r w:rsidR="00BB3E9A" w:rsidRPr="00B97262">
        <w:rPr>
          <w:rFonts w:ascii="Times New Roman" w:hAnsi="Times New Roman"/>
          <w:sz w:val="24"/>
          <w:lang w:val="es-ES"/>
        </w:rPr>
        <w:t>salinas</w:t>
      </w:r>
      <w:r w:rsidR="00D136BB">
        <w:rPr>
          <w:rFonts w:ascii="Times New Roman" w:hAnsi="Times New Roman"/>
          <w:sz w:val="24"/>
          <w:lang w:val="es-ES"/>
        </w:rPr>
        <w:t xml:space="preserve"> </w:t>
      </w:r>
      <w:r w:rsidR="00BB3E9A" w:rsidRPr="00B97262">
        <w:rPr>
          <w:rFonts w:ascii="Times New Roman" w:hAnsi="Times New Roman"/>
          <w:sz w:val="24"/>
          <w:lang w:val="es-ES"/>
        </w:rPr>
        <w:t>y</w:t>
      </w:r>
      <w:r w:rsidR="00D136BB">
        <w:rPr>
          <w:rFonts w:ascii="Times New Roman" w:hAnsi="Times New Roman"/>
          <w:sz w:val="24"/>
          <w:lang w:val="es-ES"/>
        </w:rPr>
        <w:t xml:space="preserve"> </w:t>
      </w:r>
      <w:r w:rsidR="00BB3E9A" w:rsidRPr="00B97262">
        <w:rPr>
          <w:rFonts w:ascii="Times New Roman" w:hAnsi="Times New Roman"/>
          <w:sz w:val="24"/>
          <w:lang w:val="es-ES"/>
        </w:rPr>
        <w:t>el</w:t>
      </w:r>
      <w:r w:rsidR="00D136BB">
        <w:rPr>
          <w:rFonts w:ascii="Times New Roman" w:hAnsi="Times New Roman"/>
          <w:sz w:val="24"/>
          <w:lang w:val="es-ES"/>
        </w:rPr>
        <w:t xml:space="preserve"> </w:t>
      </w:r>
      <w:r w:rsidR="00BB3E9A" w:rsidRPr="00B97262">
        <w:rPr>
          <w:rFonts w:ascii="Times New Roman" w:hAnsi="Times New Roman"/>
          <w:sz w:val="24"/>
          <w:lang w:val="es-ES"/>
        </w:rPr>
        <w:t>posible</w:t>
      </w:r>
      <w:r w:rsidR="00D136BB">
        <w:rPr>
          <w:rFonts w:ascii="Times New Roman" w:hAnsi="Times New Roman"/>
          <w:sz w:val="24"/>
          <w:lang w:val="es-ES"/>
        </w:rPr>
        <w:t xml:space="preserve"> </w:t>
      </w:r>
      <w:r w:rsidR="00BB3E9A" w:rsidRPr="00B97262">
        <w:rPr>
          <w:rFonts w:ascii="Times New Roman" w:hAnsi="Times New Roman"/>
          <w:sz w:val="24"/>
          <w:lang w:val="es-ES"/>
        </w:rPr>
        <w:t>impacto</w:t>
      </w:r>
      <w:r w:rsidR="00D136BB">
        <w:rPr>
          <w:rFonts w:ascii="Times New Roman" w:hAnsi="Times New Roman"/>
          <w:sz w:val="24"/>
          <w:lang w:val="es-ES"/>
        </w:rPr>
        <w:t xml:space="preserve"> </w:t>
      </w:r>
      <w:r w:rsidR="00BB3E9A" w:rsidRPr="00B97262">
        <w:rPr>
          <w:rFonts w:ascii="Times New Roman" w:hAnsi="Times New Roman"/>
          <w:sz w:val="24"/>
          <w:lang w:val="es-ES"/>
        </w:rPr>
        <w:t>de</w:t>
      </w:r>
      <w:r w:rsidR="00D136BB">
        <w:rPr>
          <w:rFonts w:ascii="Times New Roman" w:hAnsi="Times New Roman"/>
          <w:sz w:val="24"/>
          <w:lang w:val="es-ES"/>
        </w:rPr>
        <w:t xml:space="preserve"> </w:t>
      </w:r>
      <w:r w:rsidR="00BB3E9A" w:rsidRPr="00B97262">
        <w:rPr>
          <w:rFonts w:ascii="Times New Roman" w:hAnsi="Times New Roman"/>
          <w:sz w:val="24"/>
          <w:lang w:val="es-ES"/>
        </w:rPr>
        <w:t>la</w:t>
      </w:r>
      <w:r w:rsidR="00D136BB">
        <w:rPr>
          <w:rFonts w:ascii="Times New Roman" w:hAnsi="Times New Roman"/>
          <w:sz w:val="24"/>
          <w:lang w:val="es-ES"/>
        </w:rPr>
        <w:t xml:space="preserve"> </w:t>
      </w:r>
      <w:r w:rsidR="00BB3E9A" w:rsidRPr="00B97262">
        <w:rPr>
          <w:rFonts w:ascii="Times New Roman" w:hAnsi="Times New Roman"/>
          <w:sz w:val="24"/>
          <w:lang w:val="es-ES"/>
        </w:rPr>
        <w:t>explotación</w:t>
      </w:r>
      <w:r w:rsidR="00D136BB">
        <w:rPr>
          <w:rFonts w:ascii="Times New Roman" w:hAnsi="Times New Roman"/>
          <w:sz w:val="24"/>
          <w:lang w:val="es-ES"/>
        </w:rPr>
        <w:t xml:space="preserve"> </w:t>
      </w:r>
      <w:r w:rsidR="00BB3E9A" w:rsidRPr="00B97262">
        <w:rPr>
          <w:rFonts w:ascii="Times New Roman" w:hAnsi="Times New Roman"/>
          <w:sz w:val="24"/>
          <w:lang w:val="es-ES"/>
        </w:rPr>
        <w:t>petrolera</w:t>
      </w:r>
      <w:r w:rsidR="00D136BB">
        <w:rPr>
          <w:rFonts w:ascii="Times New Roman" w:hAnsi="Times New Roman"/>
          <w:sz w:val="24"/>
          <w:lang w:val="es-ES"/>
        </w:rPr>
        <w:t xml:space="preserve"> </w:t>
      </w:r>
      <w:r w:rsidR="00BB3E9A" w:rsidRPr="00B97262">
        <w:rPr>
          <w:rFonts w:ascii="Times New Roman" w:hAnsi="Times New Roman"/>
          <w:sz w:val="24"/>
          <w:lang w:val="es-ES"/>
        </w:rPr>
        <w:t>utilizando</w:t>
      </w:r>
      <w:r w:rsidR="00D136BB">
        <w:rPr>
          <w:rFonts w:ascii="Times New Roman" w:hAnsi="Times New Roman"/>
          <w:sz w:val="24"/>
          <w:lang w:val="es-ES"/>
        </w:rPr>
        <w:t xml:space="preserve"> </w:t>
      </w:r>
      <w:r w:rsidR="00BB3E9A" w:rsidRPr="00B97262">
        <w:rPr>
          <w:rFonts w:ascii="Times New Roman" w:hAnsi="Times New Roman"/>
          <w:sz w:val="24"/>
          <w:lang w:val="es-ES"/>
        </w:rPr>
        <w:t>la</w:t>
      </w:r>
      <w:r w:rsidR="00D136BB">
        <w:rPr>
          <w:rFonts w:ascii="Times New Roman" w:hAnsi="Times New Roman"/>
          <w:sz w:val="24"/>
          <w:lang w:val="es-ES"/>
        </w:rPr>
        <w:t xml:space="preserve"> </w:t>
      </w:r>
      <w:r w:rsidR="00BB3E9A" w:rsidRPr="00B97262">
        <w:rPr>
          <w:rFonts w:ascii="Times New Roman" w:hAnsi="Times New Roman"/>
          <w:sz w:val="24"/>
          <w:lang w:val="es-ES"/>
        </w:rPr>
        <w:t>tecnología</w:t>
      </w:r>
      <w:r w:rsidR="00D136BB">
        <w:rPr>
          <w:rFonts w:ascii="Times New Roman" w:hAnsi="Times New Roman"/>
          <w:sz w:val="24"/>
          <w:lang w:val="es-ES"/>
        </w:rPr>
        <w:t xml:space="preserve"> </w:t>
      </w:r>
      <w:r w:rsidR="00BB3E9A" w:rsidRPr="00B97262">
        <w:rPr>
          <w:rFonts w:ascii="Times New Roman" w:hAnsi="Times New Roman"/>
          <w:sz w:val="24"/>
          <w:lang w:val="es-ES"/>
        </w:rPr>
        <w:t>de</w:t>
      </w:r>
      <w:r w:rsidR="00D136BB">
        <w:rPr>
          <w:rFonts w:ascii="Times New Roman" w:hAnsi="Times New Roman"/>
          <w:sz w:val="24"/>
          <w:lang w:val="es-ES"/>
        </w:rPr>
        <w:t xml:space="preserve"> </w:t>
      </w:r>
      <w:r w:rsidR="00BB3E9A" w:rsidRPr="00B97262">
        <w:rPr>
          <w:rFonts w:ascii="Times New Roman" w:hAnsi="Times New Roman"/>
          <w:sz w:val="24"/>
          <w:lang w:val="es-ES"/>
        </w:rPr>
        <w:t>fracturación</w:t>
      </w:r>
      <w:r w:rsidR="00D136BB">
        <w:rPr>
          <w:rFonts w:ascii="Times New Roman" w:hAnsi="Times New Roman"/>
          <w:sz w:val="24"/>
          <w:lang w:val="es-ES"/>
        </w:rPr>
        <w:t xml:space="preserve"> </w:t>
      </w:r>
      <w:r w:rsidR="00BB3E9A" w:rsidRPr="00B97262">
        <w:rPr>
          <w:rFonts w:ascii="Times New Roman" w:hAnsi="Times New Roman"/>
          <w:sz w:val="24"/>
          <w:lang w:val="es-ES"/>
        </w:rPr>
        <w:t>hidráulica</w:t>
      </w:r>
      <w:r w:rsidR="00D136BB">
        <w:rPr>
          <w:rFonts w:ascii="Times New Roman" w:hAnsi="Times New Roman"/>
          <w:sz w:val="24"/>
          <w:lang w:val="es-ES"/>
        </w:rPr>
        <w:t xml:space="preserve"> </w:t>
      </w:r>
      <w:r w:rsidR="00BB3E9A" w:rsidRPr="00B97262">
        <w:rPr>
          <w:rFonts w:ascii="Times New Roman" w:hAnsi="Times New Roman"/>
          <w:sz w:val="24"/>
          <w:lang w:val="es-ES"/>
        </w:rPr>
        <w:t>(fracking).</w:t>
      </w:r>
    </w:p>
    <w:p w14:paraId="7D0F6A65" w14:textId="1A0EB4B6" w:rsidR="00853862" w:rsidRPr="000C137C" w:rsidRDefault="00853862" w:rsidP="00853862">
      <w:pPr>
        <w:autoSpaceDE w:val="0"/>
        <w:autoSpaceDN w:val="0"/>
        <w:adjustRightInd w:val="0"/>
        <w:jc w:val="both"/>
        <w:rPr>
          <w:rFonts w:ascii="Times New Roman" w:hAnsi="Times New Roman" w:cs="Times New Roman"/>
          <w:sz w:val="24"/>
          <w:szCs w:val="24"/>
        </w:rPr>
      </w:pP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recomendaciones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surgieron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CEPAL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realizó</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Evaluaciones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Desempeño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junto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Organización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Cooperación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(OCDE)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mencionarse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posean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planes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ordenamiento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territorial,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dónde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hagan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zonificación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ecológica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eventualmente,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realicen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evaluaciones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estratégicas;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registros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emisiones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transferencia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permitan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diseñar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políticas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públicas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Evaluación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Impacto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correspondientes.</w:t>
      </w:r>
    </w:p>
    <w:p w14:paraId="4A203351" w14:textId="656E7537" w:rsidR="00853862" w:rsidRPr="00355CB6" w:rsidRDefault="00853862" w:rsidP="00853862">
      <w:pPr>
        <w:rPr>
          <w:rFonts w:ascii="Arial" w:hAnsi="Arial" w:cs="Arial"/>
        </w:rPr>
      </w:pPr>
    </w:p>
    <w:p w14:paraId="505D8A7C" w14:textId="3671B777" w:rsidR="00853862" w:rsidRPr="000C137C" w:rsidRDefault="000C137C" w:rsidP="00853862">
      <w:pPr>
        <w:rPr>
          <w:rFonts w:ascii="Times New Roman" w:hAnsi="Times New Roman" w:cs="Times New Roman"/>
          <w:b/>
          <w:bCs/>
          <w:sz w:val="24"/>
          <w:szCs w:val="24"/>
        </w:rPr>
      </w:pPr>
      <w:r w:rsidRPr="000C137C">
        <w:rPr>
          <w:rFonts w:ascii="Times New Roman" w:hAnsi="Times New Roman" w:cs="Times New Roman"/>
          <w:b/>
          <w:bCs/>
          <w:sz w:val="24"/>
          <w:szCs w:val="24"/>
        </w:rPr>
        <w:t>II.</w:t>
      </w:r>
      <w:r w:rsidR="00D136BB">
        <w:rPr>
          <w:rFonts w:ascii="Times New Roman" w:hAnsi="Times New Roman" w:cs="Times New Roman"/>
          <w:b/>
          <w:bCs/>
          <w:sz w:val="24"/>
          <w:szCs w:val="24"/>
        </w:rPr>
        <w:t xml:space="preserve"> </w:t>
      </w:r>
      <w:r w:rsidR="00D532E8">
        <w:rPr>
          <w:rFonts w:ascii="Times New Roman" w:hAnsi="Times New Roman" w:cs="Times New Roman"/>
          <w:b/>
          <w:bCs/>
          <w:sz w:val="24"/>
          <w:szCs w:val="24"/>
        </w:rPr>
        <w:t>Análisis</w:t>
      </w:r>
      <w:r w:rsidR="00D136BB">
        <w:rPr>
          <w:rFonts w:ascii="Times New Roman" w:hAnsi="Times New Roman" w:cs="Times New Roman"/>
          <w:b/>
          <w:bCs/>
          <w:sz w:val="24"/>
          <w:szCs w:val="24"/>
        </w:rPr>
        <w:t xml:space="preserve"> </w:t>
      </w:r>
      <w:r w:rsidR="00853862" w:rsidRPr="000C137C">
        <w:rPr>
          <w:rFonts w:ascii="Times New Roman" w:hAnsi="Times New Roman" w:cs="Times New Roman"/>
          <w:b/>
          <w:bCs/>
          <w:sz w:val="24"/>
          <w:szCs w:val="24"/>
        </w:rPr>
        <w:t>DAFO</w:t>
      </w:r>
      <w:r w:rsidR="00D136BB">
        <w:rPr>
          <w:rFonts w:ascii="Times New Roman" w:hAnsi="Times New Roman" w:cs="Times New Roman"/>
          <w:b/>
          <w:bCs/>
          <w:sz w:val="24"/>
          <w:szCs w:val="24"/>
        </w:rPr>
        <w:t xml:space="preserve"> </w:t>
      </w:r>
    </w:p>
    <w:p w14:paraId="2F968BA4" w14:textId="11F1DEBB" w:rsidR="00853862" w:rsidRPr="000C137C" w:rsidRDefault="000C137C" w:rsidP="00853862">
      <w:pPr>
        <w:jc w:val="both"/>
        <w:rPr>
          <w:rFonts w:ascii="Times New Roman" w:hAnsi="Times New Roman" w:cs="Times New Roman"/>
          <w:b/>
          <w:bCs/>
          <w:sz w:val="24"/>
          <w:szCs w:val="24"/>
        </w:rPr>
      </w:pPr>
      <w:r w:rsidRPr="000C137C">
        <w:rPr>
          <w:rFonts w:ascii="Times New Roman" w:hAnsi="Times New Roman" w:cs="Times New Roman"/>
          <w:b/>
          <w:bCs/>
          <w:sz w:val="24"/>
          <w:szCs w:val="24"/>
        </w:rPr>
        <w:t>1.</w:t>
      </w:r>
      <w:r w:rsidR="00D136BB">
        <w:rPr>
          <w:rFonts w:ascii="Times New Roman" w:hAnsi="Times New Roman" w:cs="Times New Roman"/>
          <w:b/>
          <w:bCs/>
          <w:sz w:val="24"/>
          <w:szCs w:val="24"/>
        </w:rPr>
        <w:t xml:space="preserve"> </w:t>
      </w:r>
      <w:r w:rsidR="00853862" w:rsidRPr="000C137C">
        <w:rPr>
          <w:rFonts w:ascii="Times New Roman" w:hAnsi="Times New Roman" w:cs="Times New Roman"/>
          <w:b/>
          <w:bCs/>
          <w:sz w:val="24"/>
          <w:szCs w:val="24"/>
        </w:rPr>
        <w:t>Fortalezas</w:t>
      </w:r>
      <w:r w:rsidR="00D136BB">
        <w:rPr>
          <w:rFonts w:ascii="Times New Roman" w:hAnsi="Times New Roman" w:cs="Times New Roman"/>
          <w:b/>
          <w:bCs/>
          <w:sz w:val="24"/>
          <w:szCs w:val="24"/>
        </w:rPr>
        <w:t xml:space="preserve"> </w:t>
      </w:r>
    </w:p>
    <w:p w14:paraId="3D77EF31" w14:textId="1CE15419"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conciencia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incidencia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preservación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w:t>
      </w:r>
    </w:p>
    <w:p w14:paraId="3D1FF1C2" w14:textId="485EBAC8"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lastRenderedPageBreak/>
        <w:t>(2)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Consolidación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institucional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internacional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acuerdos,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protocolos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Diversidad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Biológica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(CBD),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Climático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(UNFCCC),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Lucha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Desertificación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(UNCCD),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Basilea,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Rotterdam,</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Estocolmo,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Minamata,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Programa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Ministros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Caribe,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Convención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bCs/>
          <w:sz w:val="24"/>
          <w:szCs w:val="24"/>
        </w:rPr>
        <w:t>Viena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para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Protección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Capa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Ozono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y</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el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Protocolo</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Montreal</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sobre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Sustancias</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que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afectan</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la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Capa</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de</w:t>
      </w:r>
      <w:r w:rsidR="00D136BB">
        <w:rPr>
          <w:rFonts w:ascii="Times New Roman" w:hAnsi="Times New Roman" w:cs="Times New Roman"/>
          <w:bCs/>
          <w:sz w:val="24"/>
          <w:szCs w:val="24"/>
        </w:rPr>
        <w:t xml:space="preserve"> </w:t>
      </w:r>
      <w:r w:rsidRPr="000C137C">
        <w:rPr>
          <w:rFonts w:ascii="Times New Roman" w:hAnsi="Times New Roman" w:cs="Times New Roman"/>
          <w:bCs/>
          <w:sz w:val="24"/>
          <w:szCs w:val="24"/>
        </w:rPr>
        <w:t>Ozono,</w:t>
      </w:r>
      <w:r w:rsidR="00D136BB">
        <w:rPr>
          <w:rFonts w:ascii="Times New Roman" w:hAnsi="Times New Roman" w:cs="Times New Roman"/>
          <w:bCs/>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otros.</w:t>
      </w:r>
    </w:p>
    <w:p w14:paraId="0D8A79D8" w14:textId="3646FB1B"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Existencia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Centros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Referencia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temáticas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ejemplo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Investigación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Marino-Costera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-REMARCO,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Análisis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América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Latina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–RACAL,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RELACA,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Interamericana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–RIRH,</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ALHSUD),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posibilitan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sinergia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diferentes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temáticas,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brindando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apoyo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logístico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traspaso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tecnología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cooperación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horizontal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permitiendo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acceso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centros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capacitación.</w:t>
      </w:r>
    </w:p>
    <w:p w14:paraId="14710932" w14:textId="084DB8C2"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(4)</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Fortalecimiento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capacidades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laboratorios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equipamiento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capacitado,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trazadores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(isótopos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radioactivos)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cuantificación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muestras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aplicando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analíticas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relacionadas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(espectrometrías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alfa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centelleo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líquido,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IRMS,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ICP-MS,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XRF</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IBA,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otras).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laboratorios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protocolos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estandarizados,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algo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imprescindible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lograr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reconocimiento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mutuo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resultados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analíticos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algunos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laboratorios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acreditados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bajo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norma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ISO/IEC</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17025.</w:t>
      </w:r>
    </w:p>
    <w:p w14:paraId="4F7A7FB5" w14:textId="77777777" w:rsidR="00853862" w:rsidRPr="000C137C" w:rsidRDefault="00853862" w:rsidP="00853862">
      <w:pPr>
        <w:jc w:val="both"/>
        <w:rPr>
          <w:rFonts w:ascii="Times New Roman" w:hAnsi="Times New Roman" w:cs="Times New Roman"/>
          <w:sz w:val="24"/>
          <w:szCs w:val="24"/>
        </w:rPr>
      </w:pPr>
    </w:p>
    <w:p w14:paraId="2982139A" w14:textId="5AA4895F" w:rsidR="00853862" w:rsidRPr="000C137C" w:rsidRDefault="000C137C" w:rsidP="00853862">
      <w:pPr>
        <w:jc w:val="both"/>
        <w:rPr>
          <w:rFonts w:ascii="Times New Roman" w:hAnsi="Times New Roman" w:cs="Times New Roman"/>
          <w:b/>
          <w:bCs/>
          <w:sz w:val="24"/>
          <w:szCs w:val="24"/>
        </w:rPr>
      </w:pPr>
      <w:r w:rsidRPr="000C137C">
        <w:rPr>
          <w:rFonts w:ascii="Times New Roman" w:hAnsi="Times New Roman" w:cs="Times New Roman"/>
          <w:b/>
          <w:bCs/>
          <w:sz w:val="24"/>
          <w:szCs w:val="24"/>
        </w:rPr>
        <w:t>2.</w:t>
      </w:r>
      <w:r w:rsidR="00D136BB">
        <w:rPr>
          <w:rFonts w:ascii="Times New Roman" w:hAnsi="Times New Roman" w:cs="Times New Roman"/>
          <w:b/>
          <w:bCs/>
          <w:sz w:val="24"/>
          <w:szCs w:val="24"/>
        </w:rPr>
        <w:t xml:space="preserve"> </w:t>
      </w:r>
      <w:r w:rsidR="00853862" w:rsidRPr="000C137C">
        <w:rPr>
          <w:rFonts w:ascii="Times New Roman" w:hAnsi="Times New Roman" w:cs="Times New Roman"/>
          <w:b/>
          <w:bCs/>
          <w:sz w:val="24"/>
          <w:szCs w:val="24"/>
        </w:rPr>
        <w:t>Debilidades</w:t>
      </w:r>
    </w:p>
    <w:p w14:paraId="7E36D468" w14:textId="6826B330"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Insuficiente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asignación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prioridades,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presupuesto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continuidad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políticas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programas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tendientes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cuidado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w:t>
      </w:r>
    </w:p>
    <w:p w14:paraId="187F9557" w14:textId="53E0CDD4"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Insuficiente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grado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interacción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instituciones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gubernamentales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responsables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pesca,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turismo)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servir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apoyo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aportar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decisión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responsable,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utilizando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nucleares.</w:t>
      </w:r>
    </w:p>
    <w:p w14:paraId="7190F24F" w14:textId="431610C2"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Dificultad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establecimiento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alianzas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estratégicas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dentro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comunidad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científica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permitan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abordar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estudios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integral.</w:t>
      </w:r>
    </w:p>
    <w:p w14:paraId="60ACBA62" w14:textId="5450FCB0"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(4)</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Escasez</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científica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sirva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base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evaluar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suelo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zonas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marino-costeras)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afectan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comprender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causas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mitigar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impactos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pública.</w:t>
      </w:r>
    </w:p>
    <w:p w14:paraId="5D771AD7" w14:textId="0930600A"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Limitados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esfuerzos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garantizar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cumplimiento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estándares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p>
    <w:p w14:paraId="3D4D90C2" w14:textId="78CC4434"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lastRenderedPageBreak/>
        <w:t>(6)</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Insuficiente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interrelación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OIEA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agencias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relativos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protección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p>
    <w:p w14:paraId="63B73678" w14:textId="2915F75D"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(7)</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Limitada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difusión,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conocimiento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comprensión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potencialidades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herramienta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ventajosa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muchas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veces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única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evaluación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monitoreo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Dichas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potencialidades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frecuentemente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restringen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ámbito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científico/académico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difusión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público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sectores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gubernamentales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responsables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ambiente.</w:t>
      </w:r>
    </w:p>
    <w:p w14:paraId="06B18B30" w14:textId="67911CF6"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(8)</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Insuficiente</w:t>
      </w:r>
      <w:r w:rsidR="00D136BB">
        <w:rPr>
          <w:rFonts w:ascii="Times New Roman" w:hAnsi="Times New Roman" w:cs="Times New Roman"/>
          <w:sz w:val="24"/>
          <w:szCs w:val="24"/>
        </w:rPr>
        <w:t xml:space="preserve"> </w:t>
      </w:r>
      <w:r w:rsidR="00C3462E">
        <w:rPr>
          <w:rFonts w:ascii="Times New Roman" w:hAnsi="Times New Roman" w:cs="Times New Roman"/>
          <w:sz w:val="24"/>
          <w:szCs w:val="24"/>
        </w:rPr>
        <w:t>renovación</w:t>
      </w:r>
      <w:r w:rsidR="00D136BB">
        <w:rPr>
          <w:rFonts w:ascii="Times New Roman" w:hAnsi="Times New Roman" w:cs="Times New Roman"/>
          <w:sz w:val="24"/>
          <w:szCs w:val="24"/>
        </w:rPr>
        <w:t xml:space="preserve"> </w:t>
      </w:r>
      <w:r w:rsidR="00C3462E">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capacitado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aplicación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dada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magnitud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trabajo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abordar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capacitación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específica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abordar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ciertos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estudios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p>
    <w:p w14:paraId="643571FF" w14:textId="3E8CEB86"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(9)</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Insuficiente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disponibilidad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equipamiento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necesario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laboratorios</w:t>
      </w:r>
      <w:r w:rsidR="00C3462E">
        <w:rPr>
          <w:rFonts w:ascii="Times New Roman" w:hAnsi="Times New Roman" w:cs="Times New Roman"/>
          <w:sz w:val="24"/>
          <w:szCs w:val="24"/>
        </w:rPr>
        <w:t>,</w:t>
      </w:r>
      <w:r w:rsidR="00D136BB">
        <w:rPr>
          <w:rFonts w:ascii="Times New Roman" w:hAnsi="Times New Roman" w:cs="Times New Roman"/>
          <w:sz w:val="24"/>
          <w:szCs w:val="24"/>
        </w:rPr>
        <w:t xml:space="preserve"> </w:t>
      </w:r>
      <w:r w:rsidR="00C3462E" w:rsidRPr="00B97262">
        <w:rPr>
          <w:rFonts w:ascii="Times New Roman" w:hAnsi="Times New Roman"/>
          <w:sz w:val="24"/>
          <w:lang w:val="es-ES"/>
        </w:rPr>
        <w:t>y</w:t>
      </w:r>
      <w:r w:rsidR="00D136BB">
        <w:rPr>
          <w:rFonts w:ascii="Times New Roman" w:hAnsi="Times New Roman"/>
          <w:sz w:val="24"/>
          <w:lang w:val="es-ES"/>
        </w:rPr>
        <w:t xml:space="preserve"> </w:t>
      </w:r>
      <w:r w:rsidR="00C3462E" w:rsidRPr="00B97262">
        <w:rPr>
          <w:rFonts w:ascii="Times New Roman" w:hAnsi="Times New Roman"/>
          <w:sz w:val="24"/>
          <w:lang w:val="es-ES"/>
        </w:rPr>
        <w:t>en</w:t>
      </w:r>
      <w:r w:rsidR="00D136BB">
        <w:rPr>
          <w:rFonts w:ascii="Times New Roman" w:hAnsi="Times New Roman"/>
          <w:sz w:val="24"/>
          <w:lang w:val="es-ES"/>
        </w:rPr>
        <w:t xml:space="preserve"> </w:t>
      </w:r>
      <w:r w:rsidR="00C3462E" w:rsidRPr="00B97262">
        <w:rPr>
          <w:rFonts w:ascii="Times New Roman" w:hAnsi="Times New Roman"/>
          <w:sz w:val="24"/>
          <w:lang w:val="es-ES"/>
        </w:rPr>
        <w:t>muchos</w:t>
      </w:r>
      <w:r w:rsidR="00D136BB">
        <w:rPr>
          <w:rFonts w:ascii="Times New Roman" w:hAnsi="Times New Roman"/>
          <w:sz w:val="24"/>
          <w:lang w:val="es-ES"/>
        </w:rPr>
        <w:t xml:space="preserve"> </w:t>
      </w:r>
      <w:r w:rsidR="00C3462E" w:rsidRPr="00B97262">
        <w:rPr>
          <w:rFonts w:ascii="Times New Roman" w:hAnsi="Times New Roman"/>
          <w:sz w:val="24"/>
          <w:lang w:val="es-ES"/>
        </w:rPr>
        <w:t>casos</w:t>
      </w:r>
      <w:r w:rsidR="00D136BB">
        <w:rPr>
          <w:rFonts w:ascii="Times New Roman" w:hAnsi="Times New Roman"/>
          <w:sz w:val="24"/>
          <w:lang w:val="es-ES"/>
        </w:rPr>
        <w:t xml:space="preserve"> </w:t>
      </w:r>
      <w:r w:rsidR="00C3462E" w:rsidRPr="00B97262">
        <w:rPr>
          <w:rFonts w:ascii="Times New Roman" w:hAnsi="Times New Roman"/>
          <w:sz w:val="24"/>
          <w:lang w:val="es-ES"/>
        </w:rPr>
        <w:t>obsole</w:t>
      </w:r>
      <w:r w:rsidR="00C3462E">
        <w:rPr>
          <w:rFonts w:ascii="Times New Roman" w:hAnsi="Times New Roman"/>
          <w:sz w:val="24"/>
          <w:lang w:val="es-ES"/>
        </w:rPr>
        <w:t>sce</w:t>
      </w:r>
      <w:r w:rsidR="00C3462E" w:rsidRPr="00B97262">
        <w:rPr>
          <w:rFonts w:ascii="Times New Roman" w:hAnsi="Times New Roman"/>
          <w:sz w:val="24"/>
          <w:lang w:val="es-ES"/>
        </w:rPr>
        <w:t>ncia</w:t>
      </w:r>
      <w:r w:rsidR="00D136BB">
        <w:rPr>
          <w:rFonts w:ascii="Times New Roman" w:hAnsi="Times New Roman"/>
          <w:sz w:val="24"/>
          <w:lang w:val="es-ES"/>
        </w:rPr>
        <w:t xml:space="preserve"> </w:t>
      </w:r>
      <w:r w:rsidR="00C3462E" w:rsidRPr="00B97262">
        <w:rPr>
          <w:rFonts w:ascii="Times New Roman" w:hAnsi="Times New Roman"/>
          <w:sz w:val="24"/>
          <w:lang w:val="es-ES"/>
        </w:rPr>
        <w:t>tecnológica</w:t>
      </w:r>
      <w:r w:rsidR="00D136BB">
        <w:rPr>
          <w:rFonts w:ascii="Times New Roman" w:hAnsi="Times New Roman"/>
          <w:sz w:val="24"/>
          <w:lang w:val="es-ES"/>
        </w:rPr>
        <w:t xml:space="preserve"> </w:t>
      </w:r>
      <w:r w:rsidR="00C3462E" w:rsidRPr="00B97262">
        <w:rPr>
          <w:rFonts w:ascii="Times New Roman" w:hAnsi="Times New Roman"/>
          <w:sz w:val="24"/>
          <w:lang w:val="es-ES"/>
        </w:rPr>
        <w:t>de</w:t>
      </w:r>
      <w:r w:rsidR="00D136BB">
        <w:rPr>
          <w:rFonts w:ascii="Times New Roman" w:hAnsi="Times New Roman"/>
          <w:sz w:val="24"/>
          <w:lang w:val="es-ES"/>
        </w:rPr>
        <w:t xml:space="preserve"> </w:t>
      </w:r>
      <w:r w:rsidR="00C3462E" w:rsidRPr="00B97262">
        <w:rPr>
          <w:rFonts w:ascii="Times New Roman" w:hAnsi="Times New Roman"/>
          <w:sz w:val="24"/>
          <w:lang w:val="es-ES"/>
        </w:rPr>
        <w:t>la</w:t>
      </w:r>
      <w:r w:rsidR="00D136BB">
        <w:rPr>
          <w:rFonts w:ascii="Times New Roman" w:hAnsi="Times New Roman"/>
          <w:sz w:val="24"/>
          <w:lang w:val="es-ES"/>
        </w:rPr>
        <w:t xml:space="preserve"> </w:t>
      </w:r>
      <w:r w:rsidR="00C3462E" w:rsidRPr="00B97262">
        <w:rPr>
          <w:rFonts w:ascii="Times New Roman" w:hAnsi="Times New Roman"/>
          <w:sz w:val="24"/>
          <w:lang w:val="es-ES"/>
        </w:rPr>
        <w:t>instrumentación</w:t>
      </w:r>
      <w:r w:rsidR="00C3462E" w:rsidRPr="000C137C">
        <w:rPr>
          <w:rFonts w:ascii="Times New Roman" w:hAnsi="Times New Roman" w:cs="Times New Roman"/>
          <w:sz w:val="24"/>
          <w:szCs w:val="24"/>
        </w:rPr>
        <w:t>.</w:t>
      </w:r>
    </w:p>
    <w:p w14:paraId="7163415D" w14:textId="00BB5D57"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(10)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Disparidad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implementación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así</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resultados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analíticos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generados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dentro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p>
    <w:p w14:paraId="07CF850C" w14:textId="77777777" w:rsidR="00853862" w:rsidRPr="000C137C" w:rsidRDefault="00853862" w:rsidP="00853862">
      <w:pPr>
        <w:jc w:val="both"/>
        <w:rPr>
          <w:rFonts w:ascii="Times New Roman" w:hAnsi="Times New Roman" w:cs="Times New Roman"/>
          <w:sz w:val="24"/>
          <w:szCs w:val="24"/>
        </w:rPr>
      </w:pPr>
    </w:p>
    <w:p w14:paraId="3F2FE55E" w14:textId="70732ECE" w:rsidR="00853862" w:rsidRPr="000C137C" w:rsidRDefault="000C137C" w:rsidP="00853862">
      <w:pPr>
        <w:jc w:val="both"/>
        <w:rPr>
          <w:rFonts w:ascii="Times New Roman" w:hAnsi="Times New Roman" w:cs="Times New Roman"/>
          <w:b/>
          <w:bCs/>
          <w:sz w:val="24"/>
          <w:szCs w:val="24"/>
        </w:rPr>
      </w:pPr>
      <w:r w:rsidRPr="000C137C">
        <w:rPr>
          <w:rFonts w:ascii="Times New Roman" w:hAnsi="Times New Roman" w:cs="Times New Roman"/>
          <w:b/>
          <w:bCs/>
          <w:sz w:val="24"/>
          <w:szCs w:val="24"/>
        </w:rPr>
        <w:t>3.</w:t>
      </w:r>
      <w:r w:rsidR="00D136BB">
        <w:rPr>
          <w:rFonts w:ascii="Times New Roman" w:hAnsi="Times New Roman" w:cs="Times New Roman"/>
          <w:b/>
          <w:bCs/>
          <w:sz w:val="24"/>
          <w:szCs w:val="24"/>
        </w:rPr>
        <w:t xml:space="preserve"> </w:t>
      </w:r>
      <w:r w:rsidR="00853862" w:rsidRPr="000C137C">
        <w:rPr>
          <w:rFonts w:ascii="Times New Roman" w:hAnsi="Times New Roman" w:cs="Times New Roman"/>
          <w:b/>
          <w:bCs/>
          <w:sz w:val="24"/>
          <w:szCs w:val="24"/>
        </w:rPr>
        <w:t>Amenazas</w:t>
      </w:r>
      <w:r w:rsidR="00D136BB">
        <w:rPr>
          <w:rFonts w:ascii="Times New Roman" w:hAnsi="Times New Roman" w:cs="Times New Roman"/>
          <w:b/>
          <w:bCs/>
          <w:sz w:val="24"/>
          <w:szCs w:val="24"/>
        </w:rPr>
        <w:t xml:space="preserve"> </w:t>
      </w:r>
    </w:p>
    <w:p w14:paraId="2B7F0FFB" w14:textId="25310C22"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Cambios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políticos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puedan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afectar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proyectos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incluyendo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conflictos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intereses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empresas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sociedad.</w:t>
      </w:r>
    </w:p>
    <w:p w14:paraId="4494D8F0" w14:textId="4AA6BAE0"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Percepción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desfavorable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comprensión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beneficios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debiéndose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incrementar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difusión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pacíficos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aplicaciones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tanto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general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sectores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gubernamentales.</w:t>
      </w:r>
    </w:p>
    <w:p w14:paraId="1D535757" w14:textId="40B999DA"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Falta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institucional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estabilidad</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personal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calificado.</w:t>
      </w:r>
    </w:p>
    <w:p w14:paraId="214A6A84" w14:textId="72BC1917"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(4)</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Limitación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recursos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mantenimiento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efectivo,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reparación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modernización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continua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equipamiento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instalaciones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laboratorios.</w:t>
      </w:r>
    </w:p>
    <w:p w14:paraId="3EE50F7D" w14:textId="40858F0D"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Insuficiente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conocimiento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percepción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capacidades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limitan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amplia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introducción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w:t>
      </w:r>
    </w:p>
    <w:p w14:paraId="110CEE1D" w14:textId="77777777" w:rsidR="00391477" w:rsidRPr="000C137C" w:rsidRDefault="00391477" w:rsidP="00853862">
      <w:pPr>
        <w:jc w:val="both"/>
        <w:rPr>
          <w:rFonts w:ascii="Times New Roman" w:hAnsi="Times New Roman" w:cs="Times New Roman"/>
          <w:sz w:val="24"/>
          <w:szCs w:val="24"/>
        </w:rPr>
      </w:pPr>
    </w:p>
    <w:p w14:paraId="52156DE4" w14:textId="1D7B4A69" w:rsidR="00853862" w:rsidRPr="000C137C" w:rsidRDefault="000C137C" w:rsidP="00853862">
      <w:pPr>
        <w:jc w:val="both"/>
        <w:rPr>
          <w:rFonts w:ascii="Times New Roman" w:hAnsi="Times New Roman" w:cs="Times New Roman"/>
          <w:b/>
          <w:bCs/>
          <w:sz w:val="24"/>
          <w:szCs w:val="24"/>
        </w:rPr>
      </w:pPr>
      <w:r w:rsidRPr="000C137C">
        <w:rPr>
          <w:rFonts w:ascii="Times New Roman" w:hAnsi="Times New Roman" w:cs="Times New Roman"/>
          <w:b/>
          <w:bCs/>
          <w:sz w:val="24"/>
          <w:szCs w:val="24"/>
        </w:rPr>
        <w:t>4.</w:t>
      </w:r>
      <w:r w:rsidR="00D136BB">
        <w:rPr>
          <w:rFonts w:ascii="Times New Roman" w:hAnsi="Times New Roman" w:cs="Times New Roman"/>
          <w:b/>
          <w:bCs/>
          <w:sz w:val="24"/>
          <w:szCs w:val="24"/>
        </w:rPr>
        <w:t xml:space="preserve"> </w:t>
      </w:r>
      <w:r w:rsidR="00853862" w:rsidRPr="000C137C">
        <w:rPr>
          <w:rFonts w:ascii="Times New Roman" w:hAnsi="Times New Roman" w:cs="Times New Roman"/>
          <w:b/>
          <w:bCs/>
          <w:sz w:val="24"/>
          <w:szCs w:val="24"/>
        </w:rPr>
        <w:t>Oportunidades</w:t>
      </w:r>
      <w:r w:rsidR="00D136BB">
        <w:rPr>
          <w:rFonts w:ascii="Times New Roman" w:hAnsi="Times New Roman" w:cs="Times New Roman"/>
          <w:b/>
          <w:bCs/>
          <w:sz w:val="24"/>
          <w:szCs w:val="24"/>
        </w:rPr>
        <w:t xml:space="preserve"> </w:t>
      </w:r>
    </w:p>
    <w:p w14:paraId="1B259FC5" w14:textId="18F831C5"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(1)</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Aprobación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Naciones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Agenda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2030</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Sostenible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consecuente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asociación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ODS,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estableciendo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visión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trasformadora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desde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punto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vista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económico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fortaleciendo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programas.</w:t>
      </w:r>
    </w:p>
    <w:p w14:paraId="0D6EF72D" w14:textId="7FCCA59A"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lastRenderedPageBreak/>
        <w:t>(2)</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Identificación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críticos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afectan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situación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p>
    <w:p w14:paraId="750D2C12" w14:textId="17DBC82B"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(3)</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Sectores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sociales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mayores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demandas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insatisfechas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fuerzan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diferentes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Gobierno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toma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efectiva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medidas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institucionales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afrontar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dichas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problemáticas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comunes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(incluyendo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creciente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modernización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marcos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normativos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ejemplo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sector</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hídrico).</w:t>
      </w:r>
    </w:p>
    <w:p w14:paraId="1560AD9F" w14:textId="0397ACE9"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(4)</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Incremento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uso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estudios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ambientales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aumento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contribución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dichos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estudios.</w:t>
      </w:r>
    </w:p>
    <w:p w14:paraId="38F162A3" w14:textId="6878B4A6"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(5)</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Proliferación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consolidación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Redes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globales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estudios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específicos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que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fortalecen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cooperación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área.</w:t>
      </w:r>
    </w:p>
    <w:p w14:paraId="1F61D1B2" w14:textId="45468503" w:rsidR="00853862" w:rsidRPr="000C137C" w:rsidRDefault="00853862" w:rsidP="00853862">
      <w:pPr>
        <w:jc w:val="both"/>
        <w:rPr>
          <w:rFonts w:ascii="Times New Roman" w:hAnsi="Times New Roman" w:cs="Times New Roman"/>
          <w:sz w:val="24"/>
          <w:szCs w:val="24"/>
        </w:rPr>
      </w:pPr>
      <w:r w:rsidRPr="000C137C">
        <w:rPr>
          <w:rFonts w:ascii="Times New Roman" w:hAnsi="Times New Roman" w:cs="Times New Roman"/>
          <w:sz w:val="24"/>
          <w:szCs w:val="24"/>
        </w:rPr>
        <w:t>(6)</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Incremento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intercambios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académicos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nivel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global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y</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regional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consiguiente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transferencia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conocimiento,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contribuyendo</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una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mejora</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sustancial</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de</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los</w:t>
      </w:r>
      <w:r w:rsidR="00D136BB">
        <w:rPr>
          <w:rFonts w:ascii="Times New Roman" w:hAnsi="Times New Roman" w:cs="Times New Roman"/>
          <w:sz w:val="24"/>
          <w:szCs w:val="24"/>
        </w:rPr>
        <w:t xml:space="preserve"> </w:t>
      </w:r>
      <w:r w:rsidRPr="000C137C">
        <w:rPr>
          <w:rFonts w:ascii="Times New Roman" w:hAnsi="Times New Roman" w:cs="Times New Roman"/>
          <w:sz w:val="24"/>
          <w:szCs w:val="24"/>
        </w:rPr>
        <w:t>profesionales.</w:t>
      </w:r>
    </w:p>
    <w:p w14:paraId="06B66246" w14:textId="3817799F" w:rsidR="00853862" w:rsidRPr="000C137C" w:rsidRDefault="00853862" w:rsidP="00853862">
      <w:pPr>
        <w:rPr>
          <w:rFonts w:ascii="Times New Roman" w:hAnsi="Times New Roman" w:cs="Times New Roman"/>
          <w:sz w:val="24"/>
          <w:szCs w:val="24"/>
        </w:rPr>
      </w:pPr>
    </w:p>
    <w:p w14:paraId="1DE4CB48" w14:textId="5A37A027" w:rsidR="00853862" w:rsidRPr="005F6931" w:rsidRDefault="000C137C" w:rsidP="005F6931">
      <w:pPr>
        <w:rPr>
          <w:rFonts w:ascii="Times New Roman" w:hAnsi="Times New Roman" w:cs="Times New Roman"/>
          <w:b/>
          <w:bCs/>
          <w:sz w:val="24"/>
          <w:szCs w:val="24"/>
        </w:rPr>
      </w:pPr>
      <w:r w:rsidRPr="005F6931">
        <w:rPr>
          <w:rFonts w:ascii="Times New Roman" w:hAnsi="Times New Roman" w:cs="Times New Roman"/>
          <w:b/>
          <w:bCs/>
          <w:sz w:val="24"/>
          <w:szCs w:val="24"/>
        </w:rPr>
        <w:t>III.</w:t>
      </w:r>
      <w:r w:rsidR="00D136BB">
        <w:rPr>
          <w:rFonts w:ascii="Times New Roman" w:hAnsi="Times New Roman" w:cs="Times New Roman"/>
          <w:b/>
          <w:bCs/>
          <w:sz w:val="24"/>
          <w:szCs w:val="24"/>
        </w:rPr>
        <w:t xml:space="preserve"> </w:t>
      </w:r>
      <w:r w:rsidR="00853862" w:rsidRPr="005F6931">
        <w:rPr>
          <w:rFonts w:ascii="Times New Roman" w:hAnsi="Times New Roman" w:cs="Times New Roman"/>
          <w:b/>
          <w:bCs/>
          <w:sz w:val="24"/>
          <w:szCs w:val="24"/>
        </w:rPr>
        <w:t>N</w:t>
      </w:r>
      <w:r w:rsidR="00D532E8">
        <w:rPr>
          <w:rFonts w:ascii="Times New Roman" w:hAnsi="Times New Roman" w:cs="Times New Roman"/>
          <w:b/>
          <w:bCs/>
          <w:sz w:val="24"/>
          <w:szCs w:val="24"/>
        </w:rPr>
        <w:t>ecesidades</w:t>
      </w:r>
      <w:r w:rsidR="00D136BB">
        <w:rPr>
          <w:rFonts w:ascii="Times New Roman" w:hAnsi="Times New Roman" w:cs="Times New Roman"/>
          <w:b/>
          <w:bCs/>
          <w:sz w:val="24"/>
          <w:szCs w:val="24"/>
        </w:rPr>
        <w:t xml:space="preserve"> </w:t>
      </w:r>
      <w:r w:rsidR="00D532E8">
        <w:rPr>
          <w:rFonts w:ascii="Times New Roman" w:hAnsi="Times New Roman" w:cs="Times New Roman"/>
          <w:b/>
          <w:bCs/>
          <w:sz w:val="24"/>
          <w:szCs w:val="24"/>
        </w:rPr>
        <w:t>o</w:t>
      </w:r>
      <w:r w:rsidR="00D136BB">
        <w:rPr>
          <w:rFonts w:ascii="Times New Roman" w:hAnsi="Times New Roman" w:cs="Times New Roman"/>
          <w:b/>
          <w:bCs/>
          <w:sz w:val="24"/>
          <w:szCs w:val="24"/>
        </w:rPr>
        <w:t xml:space="preserve"> </w:t>
      </w:r>
      <w:r w:rsidR="00D532E8">
        <w:rPr>
          <w:rFonts w:ascii="Times New Roman" w:hAnsi="Times New Roman" w:cs="Times New Roman"/>
          <w:b/>
          <w:bCs/>
          <w:sz w:val="24"/>
          <w:szCs w:val="24"/>
        </w:rPr>
        <w:t>Problemas</w:t>
      </w:r>
      <w:r w:rsidR="00D136BB">
        <w:rPr>
          <w:rFonts w:ascii="Times New Roman" w:hAnsi="Times New Roman" w:cs="Times New Roman"/>
          <w:b/>
          <w:bCs/>
          <w:sz w:val="24"/>
          <w:szCs w:val="24"/>
        </w:rPr>
        <w:t xml:space="preserve"> </w:t>
      </w:r>
    </w:p>
    <w:p w14:paraId="6D57574E" w14:textId="77B1727F" w:rsidR="00853862" w:rsidRPr="005F6931" w:rsidRDefault="00853862" w:rsidP="00853862">
      <w:pPr>
        <w:pStyle w:val="Default"/>
        <w:jc w:val="both"/>
        <w:rPr>
          <w:rFonts w:ascii="Times New Roman" w:hAnsi="Times New Roman" w:cs="Times New Roman"/>
          <w:b/>
          <w:bCs/>
          <w:iCs/>
          <w:color w:val="auto"/>
        </w:rPr>
      </w:pPr>
      <w:r w:rsidRPr="005F6931">
        <w:rPr>
          <w:rFonts w:ascii="Times New Roman" w:hAnsi="Times New Roman" w:cs="Times New Roman"/>
          <w:b/>
          <w:bCs/>
          <w:iCs/>
          <w:color w:val="auto"/>
        </w:rPr>
        <w:t>M1.</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Insuficiente</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conocimiento</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de</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la</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disponibilidad</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e</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inadecuada</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gestión</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de</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los</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Recursos</w:t>
      </w:r>
      <w:r w:rsidR="00D136BB">
        <w:rPr>
          <w:rFonts w:ascii="Times New Roman" w:hAnsi="Times New Roman" w:cs="Times New Roman"/>
          <w:b/>
          <w:bCs/>
          <w:iCs/>
          <w:color w:val="auto"/>
        </w:rPr>
        <w:t xml:space="preserve"> </w:t>
      </w:r>
      <w:r w:rsidRPr="005F6931">
        <w:rPr>
          <w:rFonts w:ascii="Times New Roman" w:hAnsi="Times New Roman" w:cs="Times New Roman"/>
          <w:b/>
          <w:bCs/>
          <w:iCs/>
          <w:color w:val="auto"/>
        </w:rPr>
        <w:t>Hídricos.</w:t>
      </w:r>
    </w:p>
    <w:p w14:paraId="4ABD367C" w14:textId="3C5B941D" w:rsidR="00853862" w:rsidRPr="005F6931" w:rsidRDefault="00D136BB" w:rsidP="00853862">
      <w:pPr>
        <w:pStyle w:val="NormalWeb"/>
        <w:shd w:val="clear" w:color="auto" w:fill="FFFFFF"/>
        <w:spacing w:before="0" w:beforeAutospacing="0" w:after="0" w:afterAutospacing="0"/>
        <w:ind w:left="945"/>
        <w:jc w:val="both"/>
      </w:pPr>
      <w:r>
        <w:t xml:space="preserve"> </w:t>
      </w:r>
    </w:p>
    <w:p w14:paraId="57E0034B" w14:textId="06A5763E" w:rsidR="00853862" w:rsidRPr="005F6931" w:rsidRDefault="00853862" w:rsidP="00853862">
      <w:pPr>
        <w:pStyle w:val="NormalWeb"/>
        <w:shd w:val="clear" w:color="auto" w:fill="FFFFFF"/>
        <w:spacing w:before="0" w:beforeAutospacing="0" w:after="0" w:afterAutospacing="0"/>
        <w:jc w:val="both"/>
      </w:pPr>
      <w:r w:rsidRPr="005F6931">
        <w:rPr>
          <w:u w:val="single"/>
        </w:rPr>
        <w:t>Justificación:</w:t>
      </w:r>
      <w:r w:rsidR="00D136BB">
        <w:t xml:space="preserve"> </w:t>
      </w:r>
      <w:r w:rsidRPr="005F6931">
        <w:t>Aunque</w:t>
      </w:r>
      <w:r w:rsidR="00D136BB">
        <w:t xml:space="preserve"> </w:t>
      </w:r>
      <w:r w:rsidR="00C54B63">
        <w:t>AL</w:t>
      </w:r>
      <w:r w:rsidR="00BC37D5">
        <w:t>y</w:t>
      </w:r>
      <w:r w:rsidR="00C54B63">
        <w:t>C</w:t>
      </w:r>
      <w:r w:rsidR="00D136BB">
        <w:t xml:space="preserve"> </w:t>
      </w:r>
      <w:r w:rsidRPr="005F6931">
        <w:t>es</w:t>
      </w:r>
      <w:r w:rsidR="00D136BB">
        <w:t xml:space="preserve"> </w:t>
      </w:r>
      <w:r w:rsidRPr="005F6931">
        <w:t>la</w:t>
      </w:r>
      <w:r w:rsidR="00D136BB">
        <w:t xml:space="preserve"> </w:t>
      </w:r>
      <w:r w:rsidRPr="005F6931">
        <w:t>región</w:t>
      </w:r>
      <w:r w:rsidR="00D136BB">
        <w:t xml:space="preserve"> </w:t>
      </w:r>
      <w:r w:rsidRPr="005F6931">
        <w:t>con</w:t>
      </w:r>
      <w:r w:rsidR="00D136BB">
        <w:t xml:space="preserve"> </w:t>
      </w:r>
      <w:r w:rsidRPr="005F6931">
        <w:t>mayor</w:t>
      </w:r>
      <w:r w:rsidR="00D136BB">
        <w:t xml:space="preserve"> </w:t>
      </w:r>
      <w:r w:rsidRPr="005F6931">
        <w:t>disponibilidad</w:t>
      </w:r>
      <w:r w:rsidR="00D136BB">
        <w:t xml:space="preserve"> </w:t>
      </w:r>
      <w:r w:rsidRPr="005F6931">
        <w:t>de</w:t>
      </w:r>
      <w:r w:rsidR="00D136BB">
        <w:t xml:space="preserve"> </w:t>
      </w:r>
      <w:r w:rsidRPr="005F6931">
        <w:t>agua</w:t>
      </w:r>
      <w:r w:rsidR="00D136BB">
        <w:t xml:space="preserve"> </w:t>
      </w:r>
      <w:r w:rsidRPr="005F6931">
        <w:t>per</w:t>
      </w:r>
      <w:r w:rsidR="00D136BB">
        <w:t xml:space="preserve"> </w:t>
      </w:r>
      <w:r w:rsidRPr="005F6931">
        <w:t>cápita,</w:t>
      </w:r>
      <w:r w:rsidR="00D136BB">
        <w:t xml:space="preserve"> </w:t>
      </w:r>
      <w:r w:rsidRPr="005F6931">
        <w:t>numerosos</w:t>
      </w:r>
      <w:r w:rsidR="00D136BB">
        <w:t xml:space="preserve"> </w:t>
      </w:r>
      <w:r w:rsidRPr="005F6931">
        <w:t>centros</w:t>
      </w:r>
      <w:r w:rsidR="00D136BB">
        <w:t xml:space="preserve"> </w:t>
      </w:r>
      <w:r w:rsidRPr="005F6931">
        <w:t>urbanos</w:t>
      </w:r>
      <w:r w:rsidR="00D136BB">
        <w:t xml:space="preserve"> </w:t>
      </w:r>
      <w:r w:rsidRPr="005F6931">
        <w:t>y</w:t>
      </w:r>
      <w:r w:rsidR="00D136BB">
        <w:t xml:space="preserve"> </w:t>
      </w:r>
      <w:r w:rsidRPr="005F6931">
        <w:t>áreas</w:t>
      </w:r>
      <w:r w:rsidR="00D136BB">
        <w:t xml:space="preserve"> </w:t>
      </w:r>
      <w:r w:rsidRPr="005F6931">
        <w:t>rurales</w:t>
      </w:r>
      <w:r w:rsidR="00D136BB">
        <w:t xml:space="preserve"> </w:t>
      </w:r>
      <w:r w:rsidRPr="005F6931">
        <w:t>de</w:t>
      </w:r>
      <w:r w:rsidR="00D136BB">
        <w:t xml:space="preserve"> </w:t>
      </w:r>
      <w:r w:rsidRPr="005F6931">
        <w:t>la</w:t>
      </w:r>
      <w:r w:rsidR="00D136BB">
        <w:t xml:space="preserve"> </w:t>
      </w:r>
      <w:r w:rsidRPr="005F6931">
        <w:t>región</w:t>
      </w:r>
      <w:r w:rsidR="00D136BB">
        <w:t xml:space="preserve"> </w:t>
      </w:r>
      <w:r w:rsidRPr="005F6931">
        <w:t>no</w:t>
      </w:r>
      <w:r w:rsidR="00D136BB">
        <w:t xml:space="preserve"> </w:t>
      </w:r>
      <w:r w:rsidRPr="005F6931">
        <w:t>disponen</w:t>
      </w:r>
      <w:r w:rsidR="00D136BB">
        <w:t xml:space="preserve"> </w:t>
      </w:r>
      <w:r w:rsidRPr="005F6931">
        <w:t>de</w:t>
      </w:r>
      <w:r w:rsidR="00D136BB">
        <w:t xml:space="preserve"> </w:t>
      </w:r>
      <w:r w:rsidRPr="005F6931">
        <w:t>un</w:t>
      </w:r>
      <w:r w:rsidR="00D136BB">
        <w:t xml:space="preserve"> </w:t>
      </w:r>
      <w:r w:rsidRPr="005F6931">
        <w:t>acceso</w:t>
      </w:r>
      <w:r w:rsidR="00D136BB">
        <w:t xml:space="preserve"> </w:t>
      </w:r>
      <w:r w:rsidRPr="005F6931">
        <w:t>garantizado</w:t>
      </w:r>
      <w:r w:rsidR="00D136BB">
        <w:t xml:space="preserve"> </w:t>
      </w:r>
      <w:r w:rsidRPr="005F6931">
        <w:t>de</w:t>
      </w:r>
      <w:r w:rsidR="00D136BB">
        <w:t xml:space="preserve"> </w:t>
      </w:r>
      <w:r w:rsidRPr="005F6931">
        <w:t>agua</w:t>
      </w:r>
      <w:r w:rsidR="00D136BB">
        <w:t xml:space="preserve"> </w:t>
      </w:r>
      <w:r w:rsidRPr="005F6931">
        <w:t>para</w:t>
      </w:r>
      <w:r w:rsidR="00D136BB">
        <w:t xml:space="preserve"> </w:t>
      </w:r>
      <w:r w:rsidRPr="005F6931">
        <w:t>cubrir</w:t>
      </w:r>
      <w:r w:rsidR="00D136BB">
        <w:t xml:space="preserve"> </w:t>
      </w:r>
      <w:r w:rsidRPr="005F6931">
        <w:t>una</w:t>
      </w:r>
      <w:r w:rsidR="00D136BB">
        <w:t xml:space="preserve"> </w:t>
      </w:r>
      <w:r w:rsidRPr="005F6931">
        <w:t>creciente</w:t>
      </w:r>
      <w:r w:rsidR="00D136BB">
        <w:t xml:space="preserve"> </w:t>
      </w:r>
      <w:r w:rsidRPr="005F6931">
        <w:t>demanda</w:t>
      </w:r>
      <w:r w:rsidR="00D136BB">
        <w:t xml:space="preserve"> </w:t>
      </w:r>
      <w:r w:rsidRPr="005F6931">
        <w:t>asociada</w:t>
      </w:r>
      <w:r w:rsidR="00D136BB">
        <w:t xml:space="preserve"> </w:t>
      </w:r>
      <w:r w:rsidRPr="005F6931">
        <w:t>al</w:t>
      </w:r>
      <w:r w:rsidR="00D136BB">
        <w:t xml:space="preserve"> </w:t>
      </w:r>
      <w:r w:rsidRPr="005F6931">
        <w:t>crecimiento</w:t>
      </w:r>
      <w:r w:rsidR="00D136BB">
        <w:t xml:space="preserve"> </w:t>
      </w:r>
      <w:r w:rsidRPr="005F6931">
        <w:t>poblacional</w:t>
      </w:r>
      <w:r w:rsidR="00D136BB">
        <w:t xml:space="preserve"> </w:t>
      </w:r>
      <w:r w:rsidRPr="005F6931">
        <w:t>y</w:t>
      </w:r>
      <w:r w:rsidR="00D136BB">
        <w:t xml:space="preserve"> </w:t>
      </w:r>
      <w:r w:rsidRPr="005F6931">
        <w:t>desarrollo</w:t>
      </w:r>
      <w:r w:rsidR="00D136BB">
        <w:t xml:space="preserve"> </w:t>
      </w:r>
      <w:r w:rsidRPr="005F6931">
        <w:t>económico.</w:t>
      </w:r>
      <w:r w:rsidR="00D136BB">
        <w:t xml:space="preserve"> </w:t>
      </w:r>
      <w:r w:rsidRPr="005F6931">
        <w:t>Muchos</w:t>
      </w:r>
      <w:r w:rsidR="00D136BB">
        <w:t xml:space="preserve"> </w:t>
      </w:r>
      <w:r w:rsidRPr="005F6931">
        <w:t>países</w:t>
      </w:r>
      <w:r w:rsidR="00D136BB">
        <w:t xml:space="preserve"> </w:t>
      </w:r>
      <w:r w:rsidRPr="005F6931">
        <w:t>carecen</w:t>
      </w:r>
      <w:r w:rsidR="00D136BB">
        <w:t xml:space="preserve"> </w:t>
      </w:r>
      <w:r w:rsidRPr="005F6931">
        <w:t>de</w:t>
      </w:r>
      <w:r w:rsidR="00D136BB">
        <w:t xml:space="preserve"> </w:t>
      </w:r>
      <w:r w:rsidRPr="005F6931">
        <w:t>estimaciones</w:t>
      </w:r>
      <w:r w:rsidR="00D136BB">
        <w:t xml:space="preserve"> </w:t>
      </w:r>
      <w:r w:rsidRPr="005F6931">
        <w:t>fiables</w:t>
      </w:r>
      <w:r w:rsidR="00D136BB">
        <w:t xml:space="preserve"> </w:t>
      </w:r>
      <w:r w:rsidRPr="005F6931">
        <w:t>de</w:t>
      </w:r>
      <w:r w:rsidR="00D136BB">
        <w:t xml:space="preserve"> </w:t>
      </w:r>
      <w:r w:rsidRPr="005F6931">
        <w:t>la</w:t>
      </w:r>
      <w:r w:rsidR="00D136BB">
        <w:t xml:space="preserve"> </w:t>
      </w:r>
      <w:r w:rsidRPr="005F6931">
        <w:t>disponibilidad</w:t>
      </w:r>
      <w:r w:rsidR="00D136BB">
        <w:t xml:space="preserve"> </w:t>
      </w:r>
      <w:r w:rsidRPr="005F6931">
        <w:t>de</w:t>
      </w:r>
      <w:r w:rsidR="00D136BB">
        <w:t xml:space="preserve"> </w:t>
      </w:r>
      <w:r w:rsidRPr="005F6931">
        <w:t>recursos</w:t>
      </w:r>
      <w:r w:rsidR="00D136BB">
        <w:t xml:space="preserve"> </w:t>
      </w:r>
      <w:r w:rsidRPr="005F6931">
        <w:t>hídricos</w:t>
      </w:r>
      <w:r w:rsidR="00D136BB">
        <w:t xml:space="preserve"> </w:t>
      </w:r>
      <w:r w:rsidRPr="005F6931">
        <w:t>superficiales</w:t>
      </w:r>
      <w:r w:rsidR="00D136BB">
        <w:t xml:space="preserve"> </w:t>
      </w:r>
      <w:r w:rsidRPr="005F6931">
        <w:t>y</w:t>
      </w:r>
      <w:r w:rsidR="00D136BB">
        <w:t xml:space="preserve"> </w:t>
      </w:r>
      <w:r w:rsidRPr="005F6931">
        <w:t>subterráneos.</w:t>
      </w:r>
      <w:r w:rsidR="00D136BB">
        <w:t xml:space="preserve"> </w:t>
      </w:r>
      <w:r w:rsidRPr="005F6931">
        <w:t>Por</w:t>
      </w:r>
      <w:r w:rsidR="00D136BB">
        <w:t xml:space="preserve"> </w:t>
      </w:r>
      <w:r w:rsidRPr="005F6931">
        <w:t>otra</w:t>
      </w:r>
      <w:r w:rsidR="00D136BB">
        <w:t xml:space="preserve"> </w:t>
      </w:r>
      <w:r w:rsidRPr="005F6931">
        <w:t>parte,</w:t>
      </w:r>
      <w:r w:rsidR="00D136BB">
        <w:t xml:space="preserve"> </w:t>
      </w:r>
      <w:r w:rsidRPr="005F6931">
        <w:t>los</w:t>
      </w:r>
      <w:r w:rsidR="00D136BB">
        <w:t xml:space="preserve"> </w:t>
      </w:r>
      <w:r w:rsidRPr="005F6931">
        <w:t>cambios</w:t>
      </w:r>
      <w:r w:rsidR="00D136BB">
        <w:t xml:space="preserve"> </w:t>
      </w:r>
      <w:r w:rsidRPr="005F6931">
        <w:t>esperados</w:t>
      </w:r>
      <w:r w:rsidR="00D136BB">
        <w:t xml:space="preserve"> </w:t>
      </w:r>
      <w:r w:rsidRPr="005F6931">
        <w:t>en</w:t>
      </w:r>
      <w:r w:rsidR="00D136BB">
        <w:t xml:space="preserve"> </w:t>
      </w:r>
      <w:r w:rsidRPr="005F6931">
        <w:t>los</w:t>
      </w:r>
      <w:r w:rsidR="00D136BB">
        <w:t xml:space="preserve"> </w:t>
      </w:r>
      <w:r w:rsidRPr="005F6931">
        <w:t>patrones</w:t>
      </w:r>
      <w:r w:rsidR="00D136BB">
        <w:t xml:space="preserve"> </w:t>
      </w:r>
      <w:r w:rsidRPr="005F6931">
        <w:t>de</w:t>
      </w:r>
      <w:r w:rsidR="00D136BB">
        <w:t xml:space="preserve"> </w:t>
      </w:r>
      <w:r w:rsidRPr="005F6931">
        <w:t>precipitación</w:t>
      </w:r>
      <w:r w:rsidR="00D136BB">
        <w:t xml:space="preserve"> </w:t>
      </w:r>
      <w:r w:rsidRPr="005F6931">
        <w:t>asociados</w:t>
      </w:r>
      <w:r w:rsidR="00D136BB">
        <w:t xml:space="preserve"> </w:t>
      </w:r>
      <w:r w:rsidRPr="005F6931">
        <w:t>al</w:t>
      </w:r>
      <w:r w:rsidR="00D136BB">
        <w:t xml:space="preserve"> </w:t>
      </w:r>
      <w:r w:rsidRPr="005F6931">
        <w:t>cambio</w:t>
      </w:r>
      <w:r w:rsidR="00D136BB">
        <w:t xml:space="preserve"> </w:t>
      </w:r>
      <w:r w:rsidRPr="005F6931">
        <w:t>climático</w:t>
      </w:r>
      <w:r w:rsidR="00D136BB">
        <w:t xml:space="preserve"> </w:t>
      </w:r>
      <w:r w:rsidRPr="005F6931">
        <w:t>global</w:t>
      </w:r>
      <w:r w:rsidR="00D136BB">
        <w:t xml:space="preserve"> </w:t>
      </w:r>
      <w:r w:rsidRPr="005F6931">
        <w:t>(inundaciones</w:t>
      </w:r>
      <w:r w:rsidR="00D136BB">
        <w:t xml:space="preserve"> </w:t>
      </w:r>
      <w:r w:rsidRPr="005F6931">
        <w:t>y</w:t>
      </w:r>
      <w:r w:rsidR="00D136BB">
        <w:t xml:space="preserve"> </w:t>
      </w:r>
      <w:r w:rsidRPr="005F6931">
        <w:t>periodos</w:t>
      </w:r>
      <w:r w:rsidR="00D136BB">
        <w:t xml:space="preserve"> </w:t>
      </w:r>
      <w:r w:rsidRPr="005F6931">
        <w:t>de</w:t>
      </w:r>
      <w:r w:rsidR="00D136BB">
        <w:t xml:space="preserve"> </w:t>
      </w:r>
      <w:r w:rsidRPr="005F6931">
        <w:t>sequía</w:t>
      </w:r>
      <w:r w:rsidR="00D136BB">
        <w:t xml:space="preserve"> </w:t>
      </w:r>
      <w:r w:rsidRPr="005F6931">
        <w:t>prolongados),</w:t>
      </w:r>
      <w:r w:rsidR="00D136BB">
        <w:t xml:space="preserve"> </w:t>
      </w:r>
      <w:r w:rsidRPr="005F6931">
        <w:t>pueden</w:t>
      </w:r>
      <w:r w:rsidR="00D136BB">
        <w:t xml:space="preserve"> </w:t>
      </w:r>
      <w:r w:rsidRPr="005F6931">
        <w:t>afectar</w:t>
      </w:r>
      <w:r w:rsidR="00D136BB">
        <w:t xml:space="preserve"> </w:t>
      </w:r>
      <w:r w:rsidRPr="005F6931">
        <w:t>seriamente</w:t>
      </w:r>
      <w:r w:rsidR="00D136BB">
        <w:t xml:space="preserve"> </w:t>
      </w:r>
      <w:r w:rsidRPr="005F6931">
        <w:t>la</w:t>
      </w:r>
      <w:r w:rsidR="00D136BB">
        <w:t xml:space="preserve"> </w:t>
      </w:r>
      <w:r w:rsidRPr="005F6931">
        <w:t>disponibilidad</w:t>
      </w:r>
      <w:r w:rsidR="00D136BB">
        <w:t xml:space="preserve"> </w:t>
      </w:r>
      <w:r w:rsidRPr="005F6931">
        <w:t>del</w:t>
      </w:r>
      <w:r w:rsidR="00D136BB">
        <w:t xml:space="preserve"> </w:t>
      </w:r>
      <w:r w:rsidRPr="005F6931">
        <w:t>recurso</w:t>
      </w:r>
      <w:r w:rsidR="00D136BB">
        <w:t xml:space="preserve"> </w:t>
      </w:r>
      <w:r w:rsidRPr="005F6931">
        <w:t>hídrico</w:t>
      </w:r>
      <w:r w:rsidR="00D136BB">
        <w:t xml:space="preserve"> </w:t>
      </w:r>
      <w:r w:rsidRPr="005F6931">
        <w:t>a</w:t>
      </w:r>
      <w:r w:rsidR="00D136BB">
        <w:t xml:space="preserve"> </w:t>
      </w:r>
      <w:r w:rsidRPr="005F6931">
        <w:t>la</w:t>
      </w:r>
      <w:r w:rsidR="00D136BB">
        <w:t xml:space="preserve"> </w:t>
      </w:r>
      <w:r w:rsidRPr="005F6931">
        <w:t>población.</w:t>
      </w:r>
    </w:p>
    <w:p w14:paraId="47EB42B1" w14:textId="213B6CDD" w:rsidR="00853862" w:rsidRPr="005F6931" w:rsidRDefault="00D136BB" w:rsidP="00853862">
      <w:pPr>
        <w:pStyle w:val="NormalWeb"/>
        <w:shd w:val="clear" w:color="auto" w:fill="FFFFFF"/>
        <w:spacing w:before="0" w:beforeAutospacing="0" w:after="0" w:afterAutospacing="0"/>
        <w:ind w:left="945"/>
        <w:jc w:val="both"/>
      </w:pPr>
      <w:r>
        <w:t xml:space="preserve"> </w:t>
      </w:r>
    </w:p>
    <w:p w14:paraId="276A501A" w14:textId="22691738" w:rsidR="00853862" w:rsidRPr="005F6931" w:rsidRDefault="00853862" w:rsidP="00853862">
      <w:pPr>
        <w:pStyle w:val="NormalWeb"/>
        <w:shd w:val="clear" w:color="auto" w:fill="FFFFFF"/>
        <w:spacing w:before="0" w:beforeAutospacing="0" w:after="0" w:afterAutospacing="0"/>
        <w:jc w:val="both"/>
      </w:pPr>
      <w:r w:rsidRPr="005F6931">
        <w:rPr>
          <w:u w:val="single"/>
        </w:rPr>
        <w:t>Objetivo:</w:t>
      </w:r>
      <w:r w:rsidR="00D136BB">
        <w:t xml:space="preserve"> </w:t>
      </w:r>
      <w:r w:rsidRPr="005F6931">
        <w:t>Generar</w:t>
      </w:r>
      <w:r w:rsidR="00D136BB">
        <w:t xml:space="preserve"> </w:t>
      </w:r>
      <w:r w:rsidRPr="005F6931">
        <w:t>la</w:t>
      </w:r>
      <w:r w:rsidR="00D136BB">
        <w:t xml:space="preserve"> </w:t>
      </w:r>
      <w:r w:rsidRPr="005F6931">
        <w:t>información</w:t>
      </w:r>
      <w:r w:rsidR="00D136BB">
        <w:t xml:space="preserve"> </w:t>
      </w:r>
      <w:r w:rsidRPr="005F6931">
        <w:t>hidrológica</w:t>
      </w:r>
      <w:r w:rsidR="00D136BB">
        <w:t xml:space="preserve"> </w:t>
      </w:r>
      <w:r w:rsidRPr="005F6931">
        <w:t>necesaria</w:t>
      </w:r>
      <w:r w:rsidR="00D136BB">
        <w:t xml:space="preserve"> </w:t>
      </w:r>
      <w:r w:rsidRPr="005F6931">
        <w:t>para</w:t>
      </w:r>
      <w:r w:rsidR="00D136BB">
        <w:t xml:space="preserve"> </w:t>
      </w:r>
      <w:r w:rsidRPr="005F6931">
        <w:t>llevar</w:t>
      </w:r>
      <w:r w:rsidR="00D136BB">
        <w:t xml:space="preserve"> </w:t>
      </w:r>
      <w:r w:rsidRPr="005F6931">
        <w:t>a</w:t>
      </w:r>
      <w:r w:rsidR="00D136BB">
        <w:t xml:space="preserve"> </w:t>
      </w:r>
      <w:r w:rsidRPr="005F6931">
        <w:t>cabo</w:t>
      </w:r>
      <w:r w:rsidR="00D136BB">
        <w:t xml:space="preserve"> </w:t>
      </w:r>
      <w:r w:rsidRPr="005F6931">
        <w:t>una</w:t>
      </w:r>
      <w:r w:rsidR="00D136BB">
        <w:t xml:space="preserve"> </w:t>
      </w:r>
      <w:r w:rsidRPr="005F6931">
        <w:t>gestión</w:t>
      </w:r>
      <w:r w:rsidR="00D136BB">
        <w:t xml:space="preserve"> </w:t>
      </w:r>
      <w:r w:rsidRPr="005F6931">
        <w:t>integrada</w:t>
      </w:r>
      <w:r w:rsidR="00D136BB">
        <w:t xml:space="preserve"> </w:t>
      </w:r>
      <w:r w:rsidRPr="005F6931">
        <w:t>de</w:t>
      </w:r>
      <w:r w:rsidR="00D136BB">
        <w:t xml:space="preserve"> </w:t>
      </w:r>
      <w:r w:rsidRPr="005F6931">
        <w:t>los</w:t>
      </w:r>
      <w:r w:rsidR="00D136BB">
        <w:t xml:space="preserve"> </w:t>
      </w:r>
      <w:r w:rsidRPr="005F6931">
        <w:t>recursos</w:t>
      </w:r>
      <w:r w:rsidR="00D136BB">
        <w:t xml:space="preserve"> </w:t>
      </w:r>
      <w:r w:rsidRPr="005F6931">
        <w:t>hídricos</w:t>
      </w:r>
      <w:r w:rsidR="00D136BB">
        <w:t xml:space="preserve"> </w:t>
      </w:r>
      <w:r w:rsidRPr="005F6931">
        <w:t>en</w:t>
      </w:r>
      <w:r w:rsidR="00D136BB">
        <w:t xml:space="preserve"> </w:t>
      </w:r>
      <w:r w:rsidRPr="005F6931">
        <w:t>la</w:t>
      </w:r>
      <w:r w:rsidR="00D136BB">
        <w:t xml:space="preserve"> </w:t>
      </w:r>
      <w:r w:rsidRPr="005F6931">
        <w:t>región,</w:t>
      </w:r>
      <w:r w:rsidR="00D136BB">
        <w:t xml:space="preserve"> </w:t>
      </w:r>
      <w:r w:rsidRPr="005F6931">
        <w:t>atendiendo</w:t>
      </w:r>
      <w:r w:rsidR="00D136BB">
        <w:t xml:space="preserve"> </w:t>
      </w:r>
      <w:r w:rsidRPr="005F6931">
        <w:t>a</w:t>
      </w:r>
      <w:r w:rsidR="00D136BB">
        <w:t xml:space="preserve"> </w:t>
      </w:r>
      <w:r w:rsidRPr="005F6931">
        <w:t>aspectos</w:t>
      </w:r>
      <w:r w:rsidR="00D136BB">
        <w:t xml:space="preserve"> </w:t>
      </w:r>
      <w:r w:rsidRPr="005F6931">
        <w:t>de</w:t>
      </w:r>
      <w:r w:rsidR="00D136BB">
        <w:t xml:space="preserve"> </w:t>
      </w:r>
      <w:r w:rsidRPr="005F6931">
        <w:t>disponibilidad.</w:t>
      </w:r>
    </w:p>
    <w:p w14:paraId="348FBA15" w14:textId="77777777" w:rsidR="00853862" w:rsidRPr="005F6931" w:rsidRDefault="00853862" w:rsidP="00853862">
      <w:pPr>
        <w:pStyle w:val="NormalWeb"/>
        <w:shd w:val="clear" w:color="auto" w:fill="FFFFFF"/>
        <w:spacing w:before="0" w:beforeAutospacing="0" w:after="0" w:afterAutospacing="0"/>
        <w:jc w:val="both"/>
      </w:pPr>
    </w:p>
    <w:p w14:paraId="08E279CB" w14:textId="01E4BBE3" w:rsidR="00853862" w:rsidRPr="005F6931" w:rsidRDefault="00853862" w:rsidP="00853862">
      <w:pPr>
        <w:pStyle w:val="NormalWeb"/>
        <w:shd w:val="clear" w:color="auto" w:fill="FFFFFF"/>
        <w:spacing w:before="0" w:beforeAutospacing="0" w:after="0" w:afterAutospacing="0"/>
        <w:jc w:val="both"/>
      </w:pPr>
      <w:r w:rsidRPr="005F6931">
        <w:rPr>
          <w:u w:val="single"/>
        </w:rPr>
        <w:t>Indicador:</w:t>
      </w:r>
      <w:r w:rsidR="00D136BB">
        <w:t xml:space="preserve"> </w:t>
      </w:r>
      <w:r w:rsidRPr="005F6931">
        <w:t>Número</w:t>
      </w:r>
      <w:r w:rsidR="00D136BB">
        <w:t xml:space="preserve"> </w:t>
      </w:r>
      <w:r w:rsidRPr="005F6931">
        <w:t>de</w:t>
      </w:r>
      <w:r w:rsidR="00D136BB">
        <w:t xml:space="preserve"> </w:t>
      </w:r>
      <w:r w:rsidRPr="005F6931">
        <w:t>estudios</w:t>
      </w:r>
      <w:r w:rsidR="00D136BB">
        <w:t xml:space="preserve"> </w:t>
      </w:r>
      <w:r w:rsidRPr="005F6931">
        <w:t>hidrológicos</w:t>
      </w:r>
      <w:r w:rsidR="00D136BB">
        <w:t xml:space="preserve"> </w:t>
      </w:r>
      <w:r w:rsidRPr="005F6931">
        <w:t>utilizando</w:t>
      </w:r>
      <w:r w:rsidR="00D136BB">
        <w:t xml:space="preserve"> </w:t>
      </w:r>
      <w:r w:rsidRPr="005F6931">
        <w:t>técnicas</w:t>
      </w:r>
      <w:r w:rsidR="00D136BB">
        <w:t xml:space="preserve"> </w:t>
      </w:r>
      <w:r w:rsidRPr="005F6931">
        <w:t>isotópicas</w:t>
      </w:r>
      <w:r w:rsidR="00D136BB">
        <w:t xml:space="preserve"> </w:t>
      </w:r>
      <w:r w:rsidRPr="005F6931">
        <w:t>y</w:t>
      </w:r>
      <w:r w:rsidR="00D136BB">
        <w:t xml:space="preserve"> </w:t>
      </w:r>
      <w:r w:rsidRPr="005F6931">
        <w:t>nucleares</w:t>
      </w:r>
      <w:r w:rsidR="00D136BB">
        <w:t xml:space="preserve"> </w:t>
      </w:r>
      <w:r w:rsidRPr="005F6931">
        <w:t>incorporados</w:t>
      </w:r>
      <w:r w:rsidR="00D136BB">
        <w:t xml:space="preserve"> </w:t>
      </w:r>
      <w:r w:rsidRPr="005F6931">
        <w:t>en</w:t>
      </w:r>
      <w:r w:rsidR="00D136BB">
        <w:t xml:space="preserve"> </w:t>
      </w:r>
      <w:r w:rsidRPr="005F6931">
        <w:t>los</w:t>
      </w:r>
      <w:r w:rsidR="00D136BB">
        <w:t xml:space="preserve"> </w:t>
      </w:r>
      <w:r w:rsidRPr="005F6931">
        <w:t>planes</w:t>
      </w:r>
      <w:r w:rsidR="00D136BB">
        <w:t xml:space="preserve"> </w:t>
      </w:r>
      <w:r w:rsidRPr="005F6931">
        <w:t>de</w:t>
      </w:r>
      <w:r w:rsidR="00D136BB">
        <w:t xml:space="preserve"> </w:t>
      </w:r>
      <w:r w:rsidRPr="005F6931">
        <w:t>gestión</w:t>
      </w:r>
      <w:r w:rsidR="00D136BB">
        <w:t xml:space="preserve"> </w:t>
      </w:r>
      <w:r w:rsidRPr="005F6931">
        <w:t>de</w:t>
      </w:r>
      <w:r w:rsidR="00D136BB">
        <w:t xml:space="preserve"> </w:t>
      </w:r>
      <w:r w:rsidRPr="005F6931">
        <w:t>recursos</w:t>
      </w:r>
      <w:r w:rsidR="00D136BB">
        <w:t xml:space="preserve"> </w:t>
      </w:r>
      <w:r w:rsidRPr="005F6931">
        <w:t>hídricos</w:t>
      </w:r>
      <w:r w:rsidR="00D136BB">
        <w:t xml:space="preserve"> </w:t>
      </w:r>
      <w:r w:rsidRPr="005F6931">
        <w:t>destinados</w:t>
      </w:r>
      <w:r w:rsidR="00D136BB">
        <w:t xml:space="preserve"> </w:t>
      </w:r>
      <w:r w:rsidRPr="005F6931">
        <w:t>a</w:t>
      </w:r>
      <w:r w:rsidR="00D136BB">
        <w:t xml:space="preserve"> </w:t>
      </w:r>
      <w:r w:rsidRPr="005F6931">
        <w:t>incrementar</w:t>
      </w:r>
      <w:r w:rsidR="00D136BB">
        <w:t xml:space="preserve"> </w:t>
      </w:r>
      <w:r w:rsidRPr="005F6931">
        <w:t>la</w:t>
      </w:r>
      <w:r w:rsidR="00D136BB">
        <w:t xml:space="preserve"> </w:t>
      </w:r>
      <w:r w:rsidRPr="005F6931">
        <w:t>disponibilidad</w:t>
      </w:r>
      <w:r w:rsidR="00D136BB">
        <w:t xml:space="preserve"> </w:t>
      </w:r>
      <w:r w:rsidRPr="005F6931">
        <w:t>de</w:t>
      </w:r>
      <w:r w:rsidR="00D136BB">
        <w:t xml:space="preserve"> </w:t>
      </w:r>
      <w:r w:rsidRPr="005F6931">
        <w:t>agua</w:t>
      </w:r>
      <w:r w:rsidR="00D136BB">
        <w:t xml:space="preserve"> </w:t>
      </w:r>
      <w:r w:rsidRPr="005F6931">
        <w:t>ejecutados</w:t>
      </w:r>
      <w:r w:rsidR="00D136BB">
        <w:t xml:space="preserve"> </w:t>
      </w:r>
      <w:r w:rsidRPr="005F6931">
        <w:t>en</w:t>
      </w:r>
      <w:r w:rsidR="00D136BB">
        <w:t xml:space="preserve"> </w:t>
      </w:r>
      <w:r w:rsidRPr="005F6931">
        <w:t>la</w:t>
      </w:r>
      <w:r w:rsidR="00D136BB">
        <w:t xml:space="preserve"> </w:t>
      </w:r>
      <w:r w:rsidRPr="005F6931">
        <w:t>región</w:t>
      </w:r>
      <w:r w:rsidR="00D136BB">
        <w:t xml:space="preserve"> </w:t>
      </w:r>
      <w:r w:rsidRPr="005F6931">
        <w:t>en</w:t>
      </w:r>
      <w:r w:rsidR="00D136BB">
        <w:t xml:space="preserve"> </w:t>
      </w:r>
      <w:r w:rsidRPr="005F6931">
        <w:t>el</w:t>
      </w:r>
      <w:r w:rsidR="00D136BB">
        <w:t xml:space="preserve"> </w:t>
      </w:r>
      <w:r w:rsidRPr="005F6931">
        <w:t>periodo</w:t>
      </w:r>
      <w:r w:rsidR="00D136BB">
        <w:t xml:space="preserve"> </w:t>
      </w:r>
      <w:r w:rsidRPr="005F6931">
        <w:t>2022-2029.</w:t>
      </w:r>
      <w:r w:rsidR="00D136BB">
        <w:t xml:space="preserve"> </w:t>
      </w:r>
      <w:r w:rsidRPr="005F6931">
        <w:rPr>
          <w:color w:val="000000"/>
        </w:rPr>
        <w:t>(Indicadores</w:t>
      </w:r>
      <w:r w:rsidR="00D136BB">
        <w:rPr>
          <w:color w:val="000000"/>
        </w:rPr>
        <w:t xml:space="preserve"> </w:t>
      </w:r>
      <w:r w:rsidRPr="005F6931">
        <w:rPr>
          <w:color w:val="000000"/>
        </w:rPr>
        <w:t>ODS</w:t>
      </w:r>
      <w:r w:rsidR="00D136BB">
        <w:rPr>
          <w:color w:val="000000"/>
        </w:rPr>
        <w:t xml:space="preserve"> </w:t>
      </w:r>
      <w:r w:rsidRPr="005F6931">
        <w:rPr>
          <w:color w:val="000000"/>
        </w:rPr>
        <w:t>6</w:t>
      </w:r>
      <w:r w:rsidR="00D136BB">
        <w:rPr>
          <w:color w:val="000000"/>
        </w:rPr>
        <w:t xml:space="preserve"> </w:t>
      </w:r>
      <w:r w:rsidRPr="005F6931">
        <w:rPr>
          <w:color w:val="000000"/>
        </w:rPr>
        <w:t>y</w:t>
      </w:r>
      <w:r w:rsidR="00D136BB">
        <w:rPr>
          <w:color w:val="000000"/>
        </w:rPr>
        <w:t xml:space="preserve"> </w:t>
      </w:r>
      <w:r w:rsidRPr="005F6931">
        <w:rPr>
          <w:color w:val="000000"/>
        </w:rPr>
        <w:t>3).</w:t>
      </w:r>
    </w:p>
    <w:p w14:paraId="73672321" w14:textId="492D2668" w:rsidR="00853862" w:rsidRPr="005F6931" w:rsidRDefault="00D136BB" w:rsidP="00853862">
      <w:pPr>
        <w:pStyle w:val="NormalWeb"/>
        <w:shd w:val="clear" w:color="auto" w:fill="FFFFFF"/>
        <w:spacing w:before="0" w:beforeAutospacing="0" w:after="0" w:afterAutospacing="0"/>
        <w:ind w:left="945"/>
        <w:jc w:val="both"/>
      </w:pPr>
      <w:r>
        <w:t xml:space="preserve"> </w:t>
      </w:r>
    </w:p>
    <w:p w14:paraId="56BBA6A4" w14:textId="77777777" w:rsidR="00853862" w:rsidRPr="005F6931" w:rsidRDefault="00853862" w:rsidP="00853862">
      <w:pPr>
        <w:pStyle w:val="NormalWeb"/>
        <w:shd w:val="clear" w:color="auto" w:fill="FFFFFF"/>
        <w:spacing w:before="0" w:beforeAutospacing="0" w:after="0" w:afterAutospacing="0"/>
        <w:jc w:val="both"/>
      </w:pPr>
    </w:p>
    <w:p w14:paraId="77F4D2F1" w14:textId="48ACFEA0" w:rsidR="00853862" w:rsidRPr="005F6931" w:rsidRDefault="00853862" w:rsidP="00853862">
      <w:pPr>
        <w:pStyle w:val="NormalWeb"/>
        <w:shd w:val="clear" w:color="auto" w:fill="FFFFFF"/>
        <w:spacing w:before="0" w:beforeAutospacing="0" w:after="0" w:afterAutospacing="0"/>
        <w:jc w:val="both"/>
        <w:rPr>
          <w:b/>
          <w:bCs/>
          <w:iCs/>
        </w:rPr>
      </w:pPr>
      <w:r w:rsidRPr="005F6931">
        <w:rPr>
          <w:b/>
          <w:bCs/>
          <w:iCs/>
        </w:rPr>
        <w:t>M2.</w:t>
      </w:r>
      <w:r w:rsidR="00D136BB">
        <w:rPr>
          <w:b/>
          <w:bCs/>
          <w:iCs/>
        </w:rPr>
        <w:t xml:space="preserve"> </w:t>
      </w:r>
      <w:r w:rsidRPr="005F6931">
        <w:rPr>
          <w:b/>
          <w:bCs/>
          <w:iCs/>
        </w:rPr>
        <w:t>Insuficiente</w:t>
      </w:r>
      <w:r w:rsidR="00D136BB">
        <w:rPr>
          <w:b/>
          <w:bCs/>
          <w:iCs/>
        </w:rPr>
        <w:t xml:space="preserve"> </w:t>
      </w:r>
      <w:r w:rsidRPr="005F6931">
        <w:rPr>
          <w:b/>
          <w:bCs/>
          <w:iCs/>
        </w:rPr>
        <w:t>conocimiento</w:t>
      </w:r>
      <w:r w:rsidR="00D136BB">
        <w:rPr>
          <w:b/>
          <w:bCs/>
          <w:iCs/>
        </w:rPr>
        <w:t xml:space="preserve"> </w:t>
      </w:r>
      <w:r w:rsidRPr="005F6931">
        <w:rPr>
          <w:b/>
          <w:bCs/>
          <w:iCs/>
        </w:rPr>
        <w:t>sobre</w:t>
      </w:r>
      <w:r w:rsidR="00D136BB">
        <w:rPr>
          <w:b/>
          <w:bCs/>
          <w:iCs/>
        </w:rPr>
        <w:t xml:space="preserve"> </w:t>
      </w:r>
      <w:r w:rsidRPr="005F6931">
        <w:rPr>
          <w:b/>
          <w:bCs/>
          <w:iCs/>
        </w:rPr>
        <w:t>la</w:t>
      </w:r>
      <w:r w:rsidR="00D136BB">
        <w:rPr>
          <w:b/>
          <w:bCs/>
          <w:iCs/>
        </w:rPr>
        <w:t xml:space="preserve"> </w:t>
      </w:r>
      <w:r w:rsidRPr="005F6931">
        <w:rPr>
          <w:b/>
          <w:bCs/>
          <w:iCs/>
        </w:rPr>
        <w:t>calidad</w:t>
      </w:r>
      <w:r w:rsidR="00D136BB">
        <w:rPr>
          <w:b/>
          <w:bCs/>
          <w:iCs/>
        </w:rPr>
        <w:t xml:space="preserve"> </w:t>
      </w:r>
      <w:r w:rsidRPr="005F6931">
        <w:rPr>
          <w:b/>
          <w:bCs/>
          <w:iCs/>
        </w:rPr>
        <w:t>de</w:t>
      </w:r>
      <w:r w:rsidR="00D136BB">
        <w:rPr>
          <w:b/>
          <w:bCs/>
          <w:iCs/>
        </w:rPr>
        <w:t xml:space="preserve"> </w:t>
      </w:r>
      <w:r w:rsidRPr="005F6931">
        <w:rPr>
          <w:b/>
          <w:bCs/>
          <w:iCs/>
        </w:rPr>
        <w:t>agua</w:t>
      </w:r>
      <w:r w:rsidR="00D136BB">
        <w:rPr>
          <w:b/>
          <w:bCs/>
          <w:iCs/>
        </w:rPr>
        <w:t xml:space="preserve"> </w:t>
      </w:r>
      <w:r w:rsidRPr="005F6931">
        <w:rPr>
          <w:b/>
          <w:bCs/>
          <w:iCs/>
        </w:rPr>
        <w:t>y</w:t>
      </w:r>
      <w:r w:rsidR="00D136BB">
        <w:rPr>
          <w:b/>
          <w:bCs/>
          <w:iCs/>
        </w:rPr>
        <w:t xml:space="preserve"> </w:t>
      </w:r>
      <w:r w:rsidRPr="005F6931">
        <w:rPr>
          <w:b/>
          <w:bCs/>
          <w:iCs/>
        </w:rPr>
        <w:t>de</w:t>
      </w:r>
      <w:r w:rsidR="00D136BB">
        <w:rPr>
          <w:b/>
          <w:bCs/>
          <w:iCs/>
        </w:rPr>
        <w:t xml:space="preserve"> </w:t>
      </w:r>
      <w:r w:rsidRPr="005F6931">
        <w:rPr>
          <w:b/>
          <w:bCs/>
          <w:iCs/>
        </w:rPr>
        <w:t>las</w:t>
      </w:r>
      <w:r w:rsidR="00D136BB">
        <w:rPr>
          <w:b/>
          <w:bCs/>
          <w:iCs/>
        </w:rPr>
        <w:t xml:space="preserve"> </w:t>
      </w:r>
      <w:r w:rsidRPr="005F6931">
        <w:rPr>
          <w:b/>
          <w:bCs/>
          <w:iCs/>
        </w:rPr>
        <w:t>posibles</w:t>
      </w:r>
      <w:r w:rsidR="00D136BB">
        <w:rPr>
          <w:b/>
          <w:bCs/>
          <w:iCs/>
        </w:rPr>
        <w:t xml:space="preserve"> </w:t>
      </w:r>
      <w:r w:rsidRPr="005F6931">
        <w:rPr>
          <w:b/>
          <w:bCs/>
          <w:iCs/>
        </w:rPr>
        <w:t>fuentes</w:t>
      </w:r>
      <w:r w:rsidR="00D136BB">
        <w:rPr>
          <w:b/>
          <w:bCs/>
          <w:iCs/>
        </w:rPr>
        <w:t xml:space="preserve"> </w:t>
      </w:r>
      <w:r w:rsidRPr="005F6931">
        <w:rPr>
          <w:b/>
          <w:bCs/>
          <w:iCs/>
        </w:rPr>
        <w:t>que</w:t>
      </w:r>
      <w:r w:rsidR="00D136BB">
        <w:rPr>
          <w:b/>
          <w:bCs/>
          <w:iCs/>
        </w:rPr>
        <w:t xml:space="preserve"> </w:t>
      </w:r>
      <w:r w:rsidRPr="005F6931">
        <w:rPr>
          <w:b/>
          <w:bCs/>
          <w:iCs/>
        </w:rPr>
        <w:t>contribuyen</w:t>
      </w:r>
      <w:r w:rsidR="00D136BB">
        <w:rPr>
          <w:b/>
          <w:bCs/>
          <w:iCs/>
        </w:rPr>
        <w:t xml:space="preserve"> </w:t>
      </w:r>
      <w:r w:rsidRPr="005F6931">
        <w:rPr>
          <w:b/>
          <w:bCs/>
          <w:iCs/>
        </w:rPr>
        <w:t>a</w:t>
      </w:r>
      <w:r w:rsidR="00D136BB">
        <w:rPr>
          <w:b/>
          <w:bCs/>
          <w:iCs/>
        </w:rPr>
        <w:t xml:space="preserve"> </w:t>
      </w:r>
      <w:r w:rsidRPr="005F6931">
        <w:rPr>
          <w:b/>
          <w:bCs/>
          <w:iCs/>
        </w:rPr>
        <w:t>su</w:t>
      </w:r>
      <w:r w:rsidR="00D136BB">
        <w:rPr>
          <w:b/>
          <w:bCs/>
          <w:iCs/>
        </w:rPr>
        <w:t xml:space="preserve"> </w:t>
      </w:r>
      <w:r w:rsidRPr="005F6931">
        <w:rPr>
          <w:b/>
          <w:bCs/>
          <w:iCs/>
        </w:rPr>
        <w:t>contaminación.</w:t>
      </w:r>
    </w:p>
    <w:p w14:paraId="064D60F0" w14:textId="39FE563A" w:rsidR="00853862" w:rsidRPr="005F6931" w:rsidRDefault="00D136BB" w:rsidP="00853862">
      <w:pPr>
        <w:pStyle w:val="NormalWeb"/>
        <w:shd w:val="clear" w:color="auto" w:fill="FFFFFF"/>
        <w:spacing w:before="0" w:beforeAutospacing="0" w:after="0" w:afterAutospacing="0"/>
        <w:ind w:left="945"/>
        <w:jc w:val="both"/>
      </w:pPr>
      <w:r>
        <w:t xml:space="preserve"> </w:t>
      </w:r>
    </w:p>
    <w:p w14:paraId="618C948D" w14:textId="6F0822C8" w:rsidR="00853862" w:rsidRPr="005F6931" w:rsidRDefault="00853862" w:rsidP="00853862">
      <w:pPr>
        <w:pStyle w:val="NormalWeb"/>
        <w:shd w:val="clear" w:color="auto" w:fill="FFFFFF"/>
        <w:spacing w:before="0" w:beforeAutospacing="0" w:after="0" w:afterAutospacing="0"/>
        <w:jc w:val="both"/>
      </w:pPr>
      <w:r w:rsidRPr="005F6931">
        <w:rPr>
          <w:u w:val="single"/>
        </w:rPr>
        <w:t>Justificación:</w:t>
      </w:r>
      <w:r w:rsidR="00D136BB">
        <w:t xml:space="preserve"> </w:t>
      </w:r>
      <w:r w:rsidRPr="005F6931">
        <w:t>Numerosas</w:t>
      </w:r>
      <w:r w:rsidR="00D136BB">
        <w:t xml:space="preserve"> </w:t>
      </w:r>
      <w:r w:rsidRPr="005F6931">
        <w:t>fuentes</w:t>
      </w:r>
      <w:r w:rsidR="00D136BB">
        <w:t xml:space="preserve"> </w:t>
      </w:r>
      <w:r w:rsidRPr="005F6931">
        <w:t>naturales</w:t>
      </w:r>
      <w:r w:rsidR="00D136BB">
        <w:t xml:space="preserve"> </w:t>
      </w:r>
      <w:r w:rsidRPr="005F6931">
        <w:t>y</w:t>
      </w:r>
      <w:r w:rsidR="00D136BB">
        <w:t xml:space="preserve"> </w:t>
      </w:r>
      <w:r w:rsidRPr="005F6931">
        <w:t>antrópicas</w:t>
      </w:r>
      <w:r w:rsidR="00D136BB">
        <w:t xml:space="preserve"> </w:t>
      </w:r>
      <w:r w:rsidRPr="005F6931">
        <w:t>contribuyen</w:t>
      </w:r>
      <w:r w:rsidR="00D136BB">
        <w:t xml:space="preserve"> </w:t>
      </w:r>
      <w:r w:rsidRPr="005F6931">
        <w:t>al</w:t>
      </w:r>
      <w:r w:rsidR="00D136BB">
        <w:t xml:space="preserve"> </w:t>
      </w:r>
      <w:r w:rsidRPr="005F6931">
        <w:t>deterioro</w:t>
      </w:r>
      <w:r w:rsidR="00D136BB">
        <w:t xml:space="preserve"> </w:t>
      </w:r>
      <w:r w:rsidRPr="005F6931">
        <w:t>de</w:t>
      </w:r>
      <w:r w:rsidR="00D136BB">
        <w:t xml:space="preserve"> </w:t>
      </w:r>
      <w:r w:rsidRPr="005F6931">
        <w:t>la</w:t>
      </w:r>
      <w:r w:rsidR="00D136BB">
        <w:t xml:space="preserve"> </w:t>
      </w:r>
      <w:r w:rsidRPr="005F6931">
        <w:t>calidad</w:t>
      </w:r>
      <w:r w:rsidR="00D136BB">
        <w:t xml:space="preserve"> </w:t>
      </w:r>
      <w:r w:rsidRPr="005F6931">
        <w:t>del</w:t>
      </w:r>
      <w:r w:rsidR="00D136BB">
        <w:t xml:space="preserve"> </w:t>
      </w:r>
      <w:r w:rsidRPr="005F6931">
        <w:t>recurso</w:t>
      </w:r>
      <w:r w:rsidR="00D136BB">
        <w:t xml:space="preserve"> </w:t>
      </w:r>
      <w:r w:rsidRPr="005F6931">
        <w:t>hídrico,</w:t>
      </w:r>
      <w:r w:rsidR="00D136BB">
        <w:t xml:space="preserve"> </w:t>
      </w:r>
      <w:r w:rsidRPr="005F6931">
        <w:t>incrementando</w:t>
      </w:r>
      <w:r w:rsidR="00D136BB">
        <w:t xml:space="preserve"> </w:t>
      </w:r>
      <w:r w:rsidRPr="005F6931">
        <w:t>el</w:t>
      </w:r>
      <w:r w:rsidR="00D136BB">
        <w:t xml:space="preserve"> </w:t>
      </w:r>
      <w:r w:rsidRPr="005F6931">
        <w:t>costo</w:t>
      </w:r>
      <w:r w:rsidR="00D136BB">
        <w:t xml:space="preserve"> </w:t>
      </w:r>
      <w:r w:rsidRPr="005F6931">
        <w:t>en</w:t>
      </w:r>
      <w:r w:rsidR="00D136BB">
        <w:t xml:space="preserve"> </w:t>
      </w:r>
      <w:r w:rsidRPr="005F6931">
        <w:t>el</w:t>
      </w:r>
      <w:r w:rsidR="00D136BB">
        <w:t xml:space="preserve"> </w:t>
      </w:r>
      <w:r w:rsidRPr="005F6931">
        <w:t>uso</w:t>
      </w:r>
      <w:r w:rsidR="00D136BB">
        <w:t xml:space="preserve"> </w:t>
      </w:r>
      <w:r w:rsidRPr="005F6931">
        <w:t>de</w:t>
      </w:r>
      <w:r w:rsidR="00D136BB">
        <w:t xml:space="preserve"> </w:t>
      </w:r>
      <w:r w:rsidRPr="005F6931">
        <w:t>plantas</w:t>
      </w:r>
      <w:r w:rsidR="00D136BB">
        <w:t xml:space="preserve"> </w:t>
      </w:r>
      <w:r w:rsidRPr="005F6931">
        <w:t>de</w:t>
      </w:r>
      <w:r w:rsidR="00D136BB">
        <w:t xml:space="preserve"> </w:t>
      </w:r>
      <w:r w:rsidRPr="005F6931">
        <w:t>tratamiento</w:t>
      </w:r>
      <w:r w:rsidR="00D136BB">
        <w:t xml:space="preserve"> </w:t>
      </w:r>
      <w:r w:rsidRPr="005F6931">
        <w:t>de</w:t>
      </w:r>
      <w:r w:rsidR="00D136BB">
        <w:t xml:space="preserve"> </w:t>
      </w:r>
      <w:r w:rsidRPr="005F6931">
        <w:t>agua</w:t>
      </w:r>
      <w:r w:rsidR="00D136BB">
        <w:t xml:space="preserve"> </w:t>
      </w:r>
      <w:r w:rsidRPr="005F6931">
        <w:t>y</w:t>
      </w:r>
      <w:r w:rsidR="00D136BB">
        <w:t xml:space="preserve"> </w:t>
      </w:r>
      <w:r w:rsidRPr="005F6931">
        <w:t>la</w:t>
      </w:r>
      <w:r w:rsidR="00D136BB">
        <w:t xml:space="preserve"> </w:t>
      </w:r>
      <w:r w:rsidRPr="005F6931">
        <w:t>calidad</w:t>
      </w:r>
      <w:r w:rsidR="00D136BB">
        <w:t xml:space="preserve"> </w:t>
      </w:r>
      <w:r w:rsidRPr="005F6931">
        <w:t>del</w:t>
      </w:r>
      <w:r w:rsidR="00D136BB">
        <w:t xml:space="preserve"> </w:t>
      </w:r>
      <w:r w:rsidRPr="005F6931">
        <w:t>recurso</w:t>
      </w:r>
      <w:r w:rsidR="00D136BB">
        <w:t xml:space="preserve"> </w:t>
      </w:r>
      <w:r w:rsidRPr="005F6931">
        <w:t>para</w:t>
      </w:r>
      <w:r w:rsidR="00D136BB">
        <w:t xml:space="preserve"> </w:t>
      </w:r>
      <w:r w:rsidRPr="005F6931">
        <w:t>diferentes</w:t>
      </w:r>
      <w:r w:rsidR="00D136BB">
        <w:t xml:space="preserve"> </w:t>
      </w:r>
      <w:r w:rsidRPr="005F6931">
        <w:t>usos,</w:t>
      </w:r>
      <w:r w:rsidR="00D136BB">
        <w:t xml:space="preserve"> </w:t>
      </w:r>
      <w:r w:rsidRPr="005F6931">
        <w:t>afectando</w:t>
      </w:r>
      <w:r w:rsidR="00D136BB">
        <w:t xml:space="preserve"> </w:t>
      </w:r>
      <w:r w:rsidRPr="005F6931">
        <w:t>tanto</w:t>
      </w:r>
      <w:r w:rsidR="00D136BB">
        <w:t xml:space="preserve"> </w:t>
      </w:r>
      <w:r w:rsidRPr="005F6931">
        <w:t>al</w:t>
      </w:r>
      <w:r w:rsidR="00D136BB">
        <w:t xml:space="preserve"> </w:t>
      </w:r>
      <w:r w:rsidRPr="005F6931">
        <w:t>abastecimiento</w:t>
      </w:r>
      <w:r w:rsidR="00D136BB">
        <w:t xml:space="preserve"> </w:t>
      </w:r>
      <w:r w:rsidRPr="005F6931">
        <w:t>para</w:t>
      </w:r>
      <w:r w:rsidR="00D136BB">
        <w:t xml:space="preserve"> </w:t>
      </w:r>
      <w:r w:rsidRPr="005F6931">
        <w:t>consumo</w:t>
      </w:r>
      <w:r w:rsidR="00D136BB">
        <w:t xml:space="preserve"> </w:t>
      </w:r>
      <w:r w:rsidRPr="005F6931">
        <w:t>humano,</w:t>
      </w:r>
      <w:r w:rsidR="00D136BB">
        <w:t xml:space="preserve"> </w:t>
      </w:r>
      <w:r w:rsidRPr="005F6931">
        <w:t>la</w:t>
      </w:r>
      <w:r w:rsidR="00D136BB">
        <w:t xml:space="preserve"> </w:t>
      </w:r>
      <w:r w:rsidRPr="005F6931">
        <w:t>seguridad</w:t>
      </w:r>
      <w:r w:rsidR="00D136BB">
        <w:t xml:space="preserve"> </w:t>
      </w:r>
      <w:r w:rsidRPr="005F6931">
        <w:t>alimentaria</w:t>
      </w:r>
      <w:r w:rsidR="00D136BB">
        <w:t xml:space="preserve"> </w:t>
      </w:r>
      <w:r w:rsidRPr="005F6931">
        <w:t>o</w:t>
      </w:r>
      <w:r w:rsidR="00D136BB">
        <w:t xml:space="preserve"> </w:t>
      </w:r>
      <w:r w:rsidRPr="005F6931">
        <w:t>el</w:t>
      </w:r>
      <w:r w:rsidR="00D136BB">
        <w:t xml:space="preserve"> </w:t>
      </w:r>
      <w:r w:rsidRPr="005F6931">
        <w:t>desarrollo</w:t>
      </w:r>
      <w:r w:rsidR="00D136BB">
        <w:t xml:space="preserve"> </w:t>
      </w:r>
      <w:r w:rsidRPr="005F6931">
        <w:t>industrial.</w:t>
      </w:r>
      <w:r w:rsidR="00D136BB">
        <w:t xml:space="preserve">  </w:t>
      </w:r>
      <w:r w:rsidRPr="005F6931">
        <w:t>La</w:t>
      </w:r>
      <w:r w:rsidR="00D136BB">
        <w:t xml:space="preserve"> </w:t>
      </w:r>
      <w:r w:rsidRPr="005F6931">
        <w:t>falta</w:t>
      </w:r>
      <w:r w:rsidR="00D136BB">
        <w:t xml:space="preserve"> </w:t>
      </w:r>
      <w:r w:rsidRPr="005F6931">
        <w:t>de</w:t>
      </w:r>
      <w:r w:rsidR="00D136BB">
        <w:t xml:space="preserve"> </w:t>
      </w:r>
      <w:r w:rsidRPr="005F6931">
        <w:t>conocimiento</w:t>
      </w:r>
      <w:r w:rsidR="00D136BB">
        <w:t xml:space="preserve"> </w:t>
      </w:r>
      <w:r w:rsidRPr="005F6931">
        <w:t>sobre</w:t>
      </w:r>
      <w:r w:rsidR="00D136BB">
        <w:t xml:space="preserve"> </w:t>
      </w:r>
      <w:r w:rsidRPr="005F6931">
        <w:t>las</w:t>
      </w:r>
      <w:r w:rsidR="00D136BB">
        <w:t xml:space="preserve"> </w:t>
      </w:r>
      <w:r w:rsidRPr="005F6931">
        <w:t>fuentes</w:t>
      </w:r>
      <w:r w:rsidR="00D136BB">
        <w:t xml:space="preserve"> </w:t>
      </w:r>
      <w:r w:rsidRPr="005F6931">
        <w:t>de</w:t>
      </w:r>
      <w:r w:rsidR="00D136BB">
        <w:t xml:space="preserve"> </w:t>
      </w:r>
      <w:r w:rsidRPr="005F6931">
        <w:t>contaminación</w:t>
      </w:r>
      <w:r w:rsidR="00D136BB">
        <w:t xml:space="preserve"> </w:t>
      </w:r>
      <w:r w:rsidRPr="005F6931">
        <w:t>y</w:t>
      </w:r>
      <w:r w:rsidR="00D136BB">
        <w:t xml:space="preserve"> </w:t>
      </w:r>
      <w:r w:rsidRPr="005F6931">
        <w:t>el</w:t>
      </w:r>
      <w:r w:rsidR="00D136BB">
        <w:t xml:space="preserve"> </w:t>
      </w:r>
      <w:r w:rsidRPr="005F6931">
        <w:t>grado</w:t>
      </w:r>
      <w:r w:rsidR="00D136BB">
        <w:t xml:space="preserve"> </w:t>
      </w:r>
      <w:r w:rsidRPr="005F6931">
        <w:t>de</w:t>
      </w:r>
      <w:r w:rsidR="00D136BB">
        <w:t xml:space="preserve"> </w:t>
      </w:r>
      <w:r w:rsidRPr="005F6931">
        <w:t>vulnerabilidad</w:t>
      </w:r>
      <w:r w:rsidR="00D136BB">
        <w:t xml:space="preserve"> </w:t>
      </w:r>
      <w:r w:rsidRPr="005F6931">
        <w:t>de</w:t>
      </w:r>
      <w:r w:rsidR="00D136BB">
        <w:t xml:space="preserve"> </w:t>
      </w:r>
      <w:r w:rsidRPr="005F6931">
        <w:t>las</w:t>
      </w:r>
      <w:r w:rsidR="00D136BB">
        <w:t xml:space="preserve"> </w:t>
      </w:r>
      <w:r w:rsidRPr="005F6931">
        <w:t>diferentes</w:t>
      </w:r>
      <w:r w:rsidR="00D136BB">
        <w:t xml:space="preserve"> </w:t>
      </w:r>
      <w:r w:rsidRPr="005F6931">
        <w:t>fuentes</w:t>
      </w:r>
      <w:r w:rsidR="00D136BB">
        <w:t xml:space="preserve"> </w:t>
      </w:r>
      <w:r w:rsidRPr="005F6931">
        <w:t>impide</w:t>
      </w:r>
      <w:r w:rsidR="00D136BB">
        <w:t xml:space="preserve"> </w:t>
      </w:r>
      <w:r w:rsidRPr="005F6931">
        <w:t>adoptar</w:t>
      </w:r>
      <w:r w:rsidR="00D136BB">
        <w:t xml:space="preserve"> </w:t>
      </w:r>
      <w:r w:rsidRPr="005F6931">
        <w:t>medidas</w:t>
      </w:r>
      <w:r w:rsidR="00D136BB">
        <w:t xml:space="preserve"> </w:t>
      </w:r>
      <w:r w:rsidRPr="005F6931">
        <w:t>preventivas</w:t>
      </w:r>
      <w:r w:rsidR="00D136BB">
        <w:t xml:space="preserve"> </w:t>
      </w:r>
      <w:r w:rsidRPr="005F6931">
        <w:t>o</w:t>
      </w:r>
      <w:r w:rsidR="00D136BB">
        <w:t xml:space="preserve"> </w:t>
      </w:r>
      <w:r w:rsidRPr="005F6931">
        <w:t>correctoras</w:t>
      </w:r>
      <w:r w:rsidR="00D136BB">
        <w:t xml:space="preserve"> </w:t>
      </w:r>
      <w:r w:rsidRPr="005F6931">
        <w:t>para</w:t>
      </w:r>
      <w:r w:rsidR="00D136BB">
        <w:t xml:space="preserve"> </w:t>
      </w:r>
      <w:r w:rsidRPr="005F6931">
        <w:t>mejorar</w:t>
      </w:r>
      <w:r w:rsidR="00D136BB">
        <w:t xml:space="preserve"> </w:t>
      </w:r>
      <w:r w:rsidRPr="005F6931">
        <w:t>la</w:t>
      </w:r>
      <w:r w:rsidR="00D136BB">
        <w:t xml:space="preserve"> </w:t>
      </w:r>
      <w:r w:rsidRPr="005F6931">
        <w:lastRenderedPageBreak/>
        <w:t>calidad</w:t>
      </w:r>
      <w:r w:rsidR="00D136BB">
        <w:t xml:space="preserve"> </w:t>
      </w:r>
      <w:r w:rsidRPr="005F6931">
        <w:t>del</w:t>
      </w:r>
      <w:r w:rsidR="00D136BB">
        <w:t xml:space="preserve"> </w:t>
      </w:r>
      <w:r w:rsidRPr="005F6931">
        <w:t>agua.</w:t>
      </w:r>
      <w:r w:rsidR="00D136BB">
        <w:t xml:space="preserve"> </w:t>
      </w:r>
      <w:r w:rsidRPr="005F6931">
        <w:t>La</w:t>
      </w:r>
      <w:r w:rsidR="00D136BB">
        <w:t xml:space="preserve"> </w:t>
      </w:r>
      <w:r w:rsidRPr="005F6931">
        <w:t>gestión</w:t>
      </w:r>
      <w:r w:rsidR="00D136BB">
        <w:t xml:space="preserve"> </w:t>
      </w:r>
      <w:r w:rsidRPr="005F6931">
        <w:t>inadecuada</w:t>
      </w:r>
      <w:r w:rsidR="00D136BB">
        <w:t xml:space="preserve"> </w:t>
      </w:r>
      <w:r w:rsidRPr="005F6931">
        <w:t>de</w:t>
      </w:r>
      <w:r w:rsidR="00D136BB">
        <w:t xml:space="preserve"> </w:t>
      </w:r>
      <w:r w:rsidRPr="005F6931">
        <w:t>los</w:t>
      </w:r>
      <w:r w:rsidR="00D136BB">
        <w:t xml:space="preserve"> </w:t>
      </w:r>
      <w:r w:rsidRPr="005F6931">
        <w:t>recursos</w:t>
      </w:r>
      <w:r w:rsidR="00D136BB">
        <w:t xml:space="preserve"> </w:t>
      </w:r>
      <w:r w:rsidRPr="005F6931">
        <w:t>hídricos</w:t>
      </w:r>
      <w:r w:rsidR="00D136BB">
        <w:t xml:space="preserve"> </w:t>
      </w:r>
      <w:r w:rsidRPr="005F6931">
        <w:t>no</w:t>
      </w:r>
      <w:r w:rsidR="00D136BB">
        <w:t xml:space="preserve"> </w:t>
      </w:r>
      <w:r w:rsidRPr="005F6931">
        <w:t>solo</w:t>
      </w:r>
      <w:r w:rsidR="00D136BB">
        <w:t xml:space="preserve"> </w:t>
      </w:r>
      <w:r w:rsidRPr="005F6931">
        <w:t>tiene</w:t>
      </w:r>
      <w:r w:rsidR="00D136BB">
        <w:t xml:space="preserve"> </w:t>
      </w:r>
      <w:r w:rsidRPr="005F6931">
        <w:t>un</w:t>
      </w:r>
      <w:r w:rsidR="00D136BB">
        <w:t xml:space="preserve"> </w:t>
      </w:r>
      <w:r w:rsidRPr="005F6931">
        <w:t>coste</w:t>
      </w:r>
      <w:r w:rsidR="00D136BB">
        <w:t xml:space="preserve"> </w:t>
      </w:r>
      <w:r w:rsidRPr="005F6931">
        <w:t>económico</w:t>
      </w:r>
      <w:r w:rsidR="00D136BB">
        <w:t xml:space="preserve"> </w:t>
      </w:r>
      <w:r w:rsidRPr="005F6931">
        <w:t>y</w:t>
      </w:r>
      <w:r w:rsidR="00D136BB">
        <w:t xml:space="preserve"> </w:t>
      </w:r>
      <w:r w:rsidRPr="005F6931">
        <w:t>social</w:t>
      </w:r>
      <w:r w:rsidR="00D136BB">
        <w:t xml:space="preserve"> </w:t>
      </w:r>
      <w:r w:rsidRPr="005F6931">
        <w:t>importante,</w:t>
      </w:r>
      <w:r w:rsidR="00D136BB">
        <w:t xml:space="preserve"> </w:t>
      </w:r>
      <w:r w:rsidRPr="005F6931">
        <w:t>sino</w:t>
      </w:r>
      <w:r w:rsidR="00D136BB">
        <w:t xml:space="preserve"> </w:t>
      </w:r>
      <w:r w:rsidRPr="005F6931">
        <w:t>que</w:t>
      </w:r>
      <w:r w:rsidR="00D136BB">
        <w:t xml:space="preserve"> </w:t>
      </w:r>
      <w:r w:rsidRPr="005F6931">
        <w:t>afecta</w:t>
      </w:r>
      <w:r w:rsidR="00D136BB">
        <w:t xml:space="preserve"> </w:t>
      </w:r>
      <w:r w:rsidRPr="005F6931">
        <w:t>tanto</w:t>
      </w:r>
      <w:r w:rsidR="00D136BB">
        <w:t xml:space="preserve"> </w:t>
      </w:r>
      <w:r w:rsidRPr="005F6931">
        <w:t>a</w:t>
      </w:r>
      <w:r w:rsidR="00D136BB">
        <w:t xml:space="preserve"> </w:t>
      </w:r>
      <w:r w:rsidRPr="005F6931">
        <w:t>la</w:t>
      </w:r>
      <w:r w:rsidR="00D136BB">
        <w:t xml:space="preserve"> </w:t>
      </w:r>
      <w:r w:rsidRPr="005F6931">
        <w:t>disponibilidad</w:t>
      </w:r>
      <w:r w:rsidR="00D136BB">
        <w:t xml:space="preserve"> </w:t>
      </w:r>
      <w:r w:rsidRPr="005F6931">
        <w:t>como</w:t>
      </w:r>
      <w:r w:rsidR="00D136BB">
        <w:t xml:space="preserve"> </w:t>
      </w:r>
      <w:r w:rsidRPr="005F6931">
        <w:t>a</w:t>
      </w:r>
      <w:r w:rsidR="00D136BB">
        <w:t xml:space="preserve"> </w:t>
      </w:r>
      <w:r w:rsidRPr="005F6931">
        <w:t>su</w:t>
      </w:r>
      <w:r w:rsidR="00D136BB">
        <w:t xml:space="preserve"> </w:t>
      </w:r>
      <w:r w:rsidRPr="005F6931">
        <w:t>calidad.</w:t>
      </w:r>
    </w:p>
    <w:p w14:paraId="692BDC5B" w14:textId="6658DC34" w:rsidR="00853862" w:rsidRPr="005F6931" w:rsidRDefault="00D136BB" w:rsidP="00853862">
      <w:pPr>
        <w:pStyle w:val="NormalWeb"/>
        <w:shd w:val="clear" w:color="auto" w:fill="FFFFFF"/>
        <w:spacing w:before="0" w:beforeAutospacing="0" w:after="0" w:afterAutospacing="0"/>
        <w:ind w:left="945"/>
        <w:jc w:val="both"/>
      </w:pPr>
      <w:r>
        <w:t xml:space="preserve"> </w:t>
      </w:r>
    </w:p>
    <w:p w14:paraId="52B187EB" w14:textId="70523A0C" w:rsidR="00853862" w:rsidRPr="005F6931" w:rsidRDefault="00853862" w:rsidP="00853862">
      <w:pPr>
        <w:pStyle w:val="NormalWeb"/>
        <w:shd w:val="clear" w:color="auto" w:fill="FFFFFF"/>
        <w:spacing w:before="0" w:beforeAutospacing="0" w:after="0" w:afterAutospacing="0"/>
        <w:jc w:val="both"/>
      </w:pPr>
      <w:r w:rsidRPr="005F6931">
        <w:rPr>
          <w:u w:val="single"/>
        </w:rPr>
        <w:t>Objetivos:</w:t>
      </w:r>
      <w:r w:rsidR="00D136BB">
        <w:t xml:space="preserve"> </w:t>
      </w:r>
      <w:r w:rsidRPr="005F6931">
        <w:t>Generar</w:t>
      </w:r>
      <w:r w:rsidR="00D136BB">
        <w:t xml:space="preserve"> </w:t>
      </w:r>
      <w:r w:rsidRPr="005F6931">
        <w:t>información</w:t>
      </w:r>
      <w:r w:rsidR="00D136BB">
        <w:t xml:space="preserve"> </w:t>
      </w:r>
      <w:r w:rsidRPr="005F6931">
        <w:t>utilizando</w:t>
      </w:r>
      <w:r w:rsidR="00D136BB">
        <w:t xml:space="preserve"> </w:t>
      </w:r>
      <w:r w:rsidRPr="005F6931">
        <w:t>técnicas</w:t>
      </w:r>
      <w:r w:rsidR="00D136BB">
        <w:t xml:space="preserve"> </w:t>
      </w:r>
      <w:r w:rsidRPr="005F6931">
        <w:t>isotópicas</w:t>
      </w:r>
      <w:r w:rsidR="00D136BB">
        <w:t xml:space="preserve"> </w:t>
      </w:r>
      <w:r w:rsidRPr="005F6931">
        <w:t>y</w:t>
      </w:r>
      <w:r w:rsidR="00D136BB">
        <w:t xml:space="preserve"> </w:t>
      </w:r>
      <w:r w:rsidRPr="005F6931">
        <w:t>nucleares</w:t>
      </w:r>
      <w:r w:rsidR="00D136BB">
        <w:t xml:space="preserve"> </w:t>
      </w:r>
      <w:r w:rsidRPr="005F6931">
        <w:t>sobre</w:t>
      </w:r>
      <w:r w:rsidR="00D136BB">
        <w:t xml:space="preserve"> </w:t>
      </w:r>
      <w:r w:rsidRPr="005F6931">
        <w:t>fuentes</w:t>
      </w:r>
      <w:r w:rsidR="00D136BB">
        <w:t xml:space="preserve"> </w:t>
      </w:r>
      <w:r w:rsidRPr="005F6931">
        <w:t>de</w:t>
      </w:r>
      <w:r w:rsidR="00D136BB">
        <w:t xml:space="preserve"> </w:t>
      </w:r>
      <w:r w:rsidRPr="005F6931">
        <w:t>contaminación</w:t>
      </w:r>
      <w:r w:rsidR="00D136BB">
        <w:t xml:space="preserve"> </w:t>
      </w:r>
      <w:r w:rsidRPr="005F6931">
        <w:t>y</w:t>
      </w:r>
      <w:r w:rsidR="00D136BB">
        <w:t xml:space="preserve"> </w:t>
      </w:r>
      <w:r w:rsidRPr="005F6931">
        <w:t>procesos</w:t>
      </w:r>
      <w:r w:rsidR="00D136BB">
        <w:t xml:space="preserve"> </w:t>
      </w:r>
      <w:r w:rsidRPr="005F6931">
        <w:t>que</w:t>
      </w:r>
      <w:r w:rsidR="00D136BB">
        <w:t xml:space="preserve"> </w:t>
      </w:r>
      <w:r w:rsidRPr="005F6931">
        <w:t>afectan</w:t>
      </w:r>
      <w:r w:rsidR="00D136BB">
        <w:t xml:space="preserve"> </w:t>
      </w:r>
      <w:r w:rsidRPr="005F6931">
        <w:t>a</w:t>
      </w:r>
      <w:r w:rsidR="00D136BB">
        <w:t xml:space="preserve"> </w:t>
      </w:r>
      <w:r w:rsidRPr="005F6931">
        <w:t>la</w:t>
      </w:r>
      <w:r w:rsidR="00D136BB">
        <w:t xml:space="preserve"> </w:t>
      </w:r>
      <w:r w:rsidRPr="005F6931">
        <w:t>calidad</w:t>
      </w:r>
      <w:r w:rsidR="00D136BB">
        <w:t xml:space="preserve"> </w:t>
      </w:r>
      <w:r w:rsidRPr="005F6931">
        <w:t>del</w:t>
      </w:r>
      <w:r w:rsidR="00D136BB">
        <w:t xml:space="preserve"> </w:t>
      </w:r>
      <w:r w:rsidRPr="005F6931">
        <w:t>recurso</w:t>
      </w:r>
      <w:r w:rsidR="00D136BB">
        <w:t xml:space="preserve"> </w:t>
      </w:r>
      <w:r w:rsidRPr="005F6931">
        <w:t>hídrico</w:t>
      </w:r>
      <w:r w:rsidR="00D136BB">
        <w:t xml:space="preserve"> </w:t>
      </w:r>
      <w:r w:rsidRPr="005F6931">
        <w:t>para</w:t>
      </w:r>
      <w:r w:rsidR="00D136BB">
        <w:t xml:space="preserve"> </w:t>
      </w:r>
      <w:r w:rsidRPr="005F6931">
        <w:t>su</w:t>
      </w:r>
      <w:r w:rsidR="00D136BB">
        <w:t xml:space="preserve"> </w:t>
      </w:r>
      <w:r w:rsidRPr="005F6931">
        <w:t>integración</w:t>
      </w:r>
      <w:r w:rsidR="00D136BB">
        <w:t xml:space="preserve"> </w:t>
      </w:r>
      <w:r w:rsidRPr="005F6931">
        <w:t>en</w:t>
      </w:r>
      <w:r w:rsidR="00D136BB">
        <w:t xml:space="preserve"> </w:t>
      </w:r>
      <w:r w:rsidRPr="005F6931">
        <w:t>planes</w:t>
      </w:r>
      <w:r w:rsidR="00D136BB">
        <w:t xml:space="preserve"> </w:t>
      </w:r>
      <w:r w:rsidRPr="005F6931">
        <w:t>de</w:t>
      </w:r>
      <w:r w:rsidR="00D136BB">
        <w:t xml:space="preserve"> </w:t>
      </w:r>
      <w:r w:rsidRPr="005F6931">
        <w:t>gestión.</w:t>
      </w:r>
    </w:p>
    <w:p w14:paraId="7FB81BAF" w14:textId="4B79FF83" w:rsidR="00853862" w:rsidRPr="005F6931" w:rsidRDefault="00D136BB" w:rsidP="00853862">
      <w:pPr>
        <w:pStyle w:val="NormalWeb"/>
        <w:shd w:val="clear" w:color="auto" w:fill="FFFFFF"/>
        <w:spacing w:before="0" w:beforeAutospacing="0" w:after="0" w:afterAutospacing="0"/>
        <w:ind w:left="945"/>
        <w:jc w:val="both"/>
      </w:pPr>
      <w:r>
        <w:t xml:space="preserve"> </w:t>
      </w:r>
    </w:p>
    <w:p w14:paraId="550AF631" w14:textId="1602EE2C" w:rsidR="00853862" w:rsidRPr="005F6931" w:rsidRDefault="00853862" w:rsidP="00853862">
      <w:pPr>
        <w:pStyle w:val="NormalWeb"/>
        <w:shd w:val="clear" w:color="auto" w:fill="FFFFFF"/>
        <w:spacing w:before="0" w:beforeAutospacing="0" w:after="0" w:afterAutospacing="0"/>
        <w:jc w:val="both"/>
      </w:pPr>
      <w:r w:rsidRPr="005F6931">
        <w:rPr>
          <w:u w:val="single"/>
        </w:rPr>
        <w:t>Indicador:</w:t>
      </w:r>
      <w:r w:rsidR="00D136BB">
        <w:t xml:space="preserve"> </w:t>
      </w:r>
      <w:r w:rsidRPr="005F6931">
        <w:t>Número</w:t>
      </w:r>
      <w:r w:rsidR="00D136BB">
        <w:t xml:space="preserve"> </w:t>
      </w:r>
      <w:r w:rsidRPr="005F6931">
        <w:t>de</w:t>
      </w:r>
      <w:r w:rsidR="00D136BB">
        <w:t xml:space="preserve"> </w:t>
      </w:r>
      <w:r w:rsidRPr="005F6931">
        <w:t>estudios</w:t>
      </w:r>
      <w:r w:rsidR="00D136BB">
        <w:t xml:space="preserve"> </w:t>
      </w:r>
      <w:r w:rsidRPr="005F6931">
        <w:t>hidrológicos</w:t>
      </w:r>
      <w:r w:rsidR="00D136BB">
        <w:t xml:space="preserve"> </w:t>
      </w:r>
      <w:r w:rsidRPr="005F6931">
        <w:t>incorporados</w:t>
      </w:r>
      <w:r w:rsidR="00D136BB">
        <w:t xml:space="preserve"> </w:t>
      </w:r>
      <w:r w:rsidRPr="005F6931">
        <w:t>en</w:t>
      </w:r>
      <w:r w:rsidR="00D136BB">
        <w:t xml:space="preserve"> </w:t>
      </w:r>
      <w:r w:rsidRPr="005F6931">
        <w:t>los</w:t>
      </w:r>
      <w:r w:rsidR="00D136BB">
        <w:t xml:space="preserve"> </w:t>
      </w:r>
      <w:r w:rsidRPr="005F6931">
        <w:t>planes</w:t>
      </w:r>
      <w:r w:rsidR="00D136BB">
        <w:t xml:space="preserve"> </w:t>
      </w:r>
      <w:r w:rsidRPr="005F6931">
        <w:t>de</w:t>
      </w:r>
      <w:r w:rsidR="00D136BB">
        <w:t xml:space="preserve"> </w:t>
      </w:r>
      <w:r w:rsidRPr="005F6931">
        <w:t>gestión</w:t>
      </w:r>
      <w:r w:rsidR="00D136BB">
        <w:t xml:space="preserve"> </w:t>
      </w:r>
      <w:r w:rsidRPr="005F6931">
        <w:t>de</w:t>
      </w:r>
      <w:r w:rsidR="00D136BB">
        <w:t xml:space="preserve"> </w:t>
      </w:r>
      <w:r w:rsidRPr="005F6931">
        <w:t>recursos</w:t>
      </w:r>
      <w:r w:rsidR="00D136BB">
        <w:t xml:space="preserve"> </w:t>
      </w:r>
      <w:r w:rsidRPr="005F6931">
        <w:t>hídricos</w:t>
      </w:r>
      <w:r w:rsidR="00D136BB">
        <w:t xml:space="preserve"> </w:t>
      </w:r>
      <w:r w:rsidRPr="005F6931">
        <w:t>destinados</w:t>
      </w:r>
      <w:r w:rsidR="00D136BB">
        <w:t xml:space="preserve"> </w:t>
      </w:r>
      <w:r w:rsidRPr="005F6931">
        <w:t>a</w:t>
      </w:r>
      <w:r w:rsidR="00D136BB">
        <w:t xml:space="preserve"> </w:t>
      </w:r>
      <w:r w:rsidRPr="005F6931">
        <w:t>mejorar</w:t>
      </w:r>
      <w:r w:rsidR="00D136BB">
        <w:t xml:space="preserve"> </w:t>
      </w:r>
      <w:r w:rsidRPr="005F6931">
        <w:t>la</w:t>
      </w:r>
      <w:r w:rsidR="00D136BB">
        <w:t xml:space="preserve"> </w:t>
      </w:r>
      <w:r w:rsidRPr="005F6931">
        <w:t>calidad</w:t>
      </w:r>
      <w:r w:rsidR="00D136BB">
        <w:t xml:space="preserve"> </w:t>
      </w:r>
      <w:r w:rsidRPr="005F6931">
        <w:t>de</w:t>
      </w:r>
      <w:r w:rsidR="00D136BB">
        <w:t xml:space="preserve"> </w:t>
      </w:r>
      <w:r w:rsidRPr="005F6931">
        <w:t>agua</w:t>
      </w:r>
      <w:r w:rsidR="00D136BB">
        <w:t xml:space="preserve"> </w:t>
      </w:r>
      <w:r w:rsidRPr="005F6931">
        <w:t>ejecutados</w:t>
      </w:r>
      <w:r w:rsidR="00D136BB">
        <w:t xml:space="preserve"> </w:t>
      </w:r>
      <w:r w:rsidRPr="005F6931">
        <w:t>en</w:t>
      </w:r>
      <w:r w:rsidR="00D136BB">
        <w:t xml:space="preserve"> </w:t>
      </w:r>
      <w:r w:rsidRPr="005F6931">
        <w:t>la</w:t>
      </w:r>
      <w:r w:rsidR="00D136BB">
        <w:t xml:space="preserve"> </w:t>
      </w:r>
      <w:r w:rsidRPr="005F6931">
        <w:t>región</w:t>
      </w:r>
      <w:r w:rsidR="00D136BB">
        <w:t xml:space="preserve"> </w:t>
      </w:r>
      <w:r w:rsidRPr="005F6931">
        <w:t>en</w:t>
      </w:r>
      <w:r w:rsidR="00D136BB">
        <w:t xml:space="preserve"> </w:t>
      </w:r>
      <w:r w:rsidRPr="005F6931">
        <w:t>el</w:t>
      </w:r>
      <w:r w:rsidR="00D136BB">
        <w:t xml:space="preserve"> </w:t>
      </w:r>
      <w:r w:rsidRPr="005F6931">
        <w:t>periodo</w:t>
      </w:r>
      <w:r w:rsidR="00D136BB">
        <w:t xml:space="preserve"> </w:t>
      </w:r>
      <w:r w:rsidRPr="005F6931">
        <w:t>2022-2029.</w:t>
      </w:r>
      <w:r w:rsidR="00D136BB">
        <w:t xml:space="preserve"> </w:t>
      </w:r>
      <w:r w:rsidRPr="005F6931">
        <w:rPr>
          <w:color w:val="000000"/>
        </w:rPr>
        <w:t>(Indicadores</w:t>
      </w:r>
      <w:r w:rsidR="00D136BB">
        <w:rPr>
          <w:color w:val="000000"/>
        </w:rPr>
        <w:t xml:space="preserve"> </w:t>
      </w:r>
      <w:r w:rsidRPr="005F6931">
        <w:rPr>
          <w:color w:val="000000"/>
        </w:rPr>
        <w:t>ODS</w:t>
      </w:r>
      <w:r w:rsidR="00D136BB">
        <w:rPr>
          <w:color w:val="000000"/>
        </w:rPr>
        <w:t xml:space="preserve"> </w:t>
      </w:r>
      <w:r w:rsidRPr="005F6931">
        <w:rPr>
          <w:color w:val="000000"/>
        </w:rPr>
        <w:t>6</w:t>
      </w:r>
      <w:r w:rsidR="00D136BB">
        <w:rPr>
          <w:color w:val="000000"/>
        </w:rPr>
        <w:t xml:space="preserve"> </w:t>
      </w:r>
      <w:r w:rsidRPr="005F6931">
        <w:rPr>
          <w:color w:val="000000"/>
        </w:rPr>
        <w:t>y</w:t>
      </w:r>
      <w:r w:rsidR="00D136BB">
        <w:rPr>
          <w:color w:val="000000"/>
        </w:rPr>
        <w:t xml:space="preserve"> </w:t>
      </w:r>
      <w:r w:rsidRPr="005F6931">
        <w:rPr>
          <w:color w:val="000000"/>
        </w:rPr>
        <w:t>3).</w:t>
      </w:r>
    </w:p>
    <w:p w14:paraId="2093AC1D" w14:textId="77777777" w:rsidR="00853862" w:rsidRPr="005F6931" w:rsidRDefault="00853862" w:rsidP="00853862">
      <w:pPr>
        <w:pStyle w:val="Default"/>
        <w:jc w:val="both"/>
        <w:rPr>
          <w:rFonts w:ascii="Times New Roman" w:hAnsi="Times New Roman" w:cs="Times New Roman"/>
          <w:color w:val="auto"/>
        </w:rPr>
      </w:pPr>
    </w:p>
    <w:p w14:paraId="5C3EA71B" w14:textId="77777777" w:rsidR="00853862" w:rsidRPr="005F6931" w:rsidRDefault="00853862" w:rsidP="00853862">
      <w:pPr>
        <w:pStyle w:val="Default"/>
        <w:jc w:val="both"/>
        <w:rPr>
          <w:rFonts w:ascii="Times New Roman" w:hAnsi="Times New Roman" w:cs="Times New Roman"/>
          <w:color w:val="auto"/>
        </w:rPr>
      </w:pPr>
    </w:p>
    <w:p w14:paraId="6A9D9717" w14:textId="7C0B5E0C" w:rsidR="00853862" w:rsidRPr="005F6931" w:rsidRDefault="00853862" w:rsidP="00853862">
      <w:pPr>
        <w:jc w:val="both"/>
        <w:rPr>
          <w:rFonts w:ascii="Times New Roman" w:hAnsi="Times New Roman" w:cs="Times New Roman"/>
          <w:b/>
          <w:bCs/>
          <w:iCs/>
          <w:sz w:val="24"/>
          <w:szCs w:val="24"/>
        </w:rPr>
      </w:pPr>
      <w:r w:rsidRPr="005F6931">
        <w:rPr>
          <w:rFonts w:ascii="Times New Roman" w:hAnsi="Times New Roman" w:cs="Times New Roman"/>
          <w:b/>
          <w:bCs/>
          <w:iCs/>
          <w:sz w:val="24"/>
          <w:szCs w:val="24"/>
        </w:rPr>
        <w:t>M3.</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Insuficiente</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conocimiento</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de</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los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principales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procesos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que</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afectan</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las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zonas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costeras,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océanos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y</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los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recursos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marinos.</w:t>
      </w:r>
    </w:p>
    <w:p w14:paraId="3ABA36DB" w14:textId="3815529E" w:rsidR="00853862" w:rsidRPr="005F6931" w:rsidRDefault="00853862" w:rsidP="00853862">
      <w:pPr>
        <w:shd w:val="clear" w:color="auto" w:fill="FFFFFF"/>
        <w:spacing w:after="0" w:line="240" w:lineRule="auto"/>
        <w:jc w:val="both"/>
        <w:rPr>
          <w:rFonts w:ascii="Times New Roman" w:hAnsi="Times New Roman" w:cs="Times New Roman"/>
          <w:color w:val="000000"/>
          <w:sz w:val="24"/>
          <w:szCs w:val="24"/>
          <w:lang w:eastAsia="es-AR"/>
        </w:rPr>
      </w:pPr>
      <w:r w:rsidRPr="005F6931">
        <w:rPr>
          <w:rFonts w:ascii="Times New Roman" w:hAnsi="Times New Roman" w:cs="Times New Roman"/>
          <w:color w:val="000000"/>
          <w:sz w:val="24"/>
          <w:szCs w:val="24"/>
          <w:u w:val="single"/>
          <w:lang w:eastAsia="es-AR"/>
        </w:rPr>
        <w:t>Justificación:</w:t>
      </w:r>
      <w:r w:rsidR="00D136BB">
        <w:rPr>
          <w:rFonts w:ascii="Times New Roman" w:hAnsi="Times New Roman" w:cs="Times New Roman"/>
          <w:color w:val="000000"/>
          <w:sz w:val="24"/>
          <w:szCs w:val="24"/>
          <w:lang w:eastAsia="es-AR"/>
        </w:rPr>
        <w:t xml:space="preserve"> </w:t>
      </w:r>
      <w:r w:rsidR="00C54B63">
        <w:rPr>
          <w:rFonts w:ascii="Times New Roman" w:hAnsi="Times New Roman" w:cs="Times New Roman"/>
          <w:color w:val="000000"/>
          <w:sz w:val="24"/>
          <w:szCs w:val="24"/>
          <w:lang w:eastAsia="es-AR"/>
        </w:rPr>
        <w:t>AL</w:t>
      </w:r>
      <w:r w:rsidR="00BC37D5">
        <w:rPr>
          <w:rFonts w:ascii="Times New Roman" w:hAnsi="Times New Roman" w:cs="Times New Roman"/>
          <w:color w:val="000000"/>
          <w:sz w:val="24"/>
          <w:szCs w:val="24"/>
          <w:lang w:eastAsia="es-AR"/>
        </w:rPr>
        <w:t>y</w:t>
      </w:r>
      <w:r w:rsidR="00C54B63">
        <w:rPr>
          <w:rFonts w:ascii="Times New Roman" w:hAnsi="Times New Roman" w:cs="Times New Roman"/>
          <w:color w:val="000000"/>
          <w:sz w:val="24"/>
          <w:szCs w:val="24"/>
          <w:lang w:eastAsia="es-AR"/>
        </w:rPr>
        <w:t>C</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tiene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una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línea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costa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más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70000</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km,</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junto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cual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localizan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muchos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sus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mayores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asentamientos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humanos.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Para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22</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países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región,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mar</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representa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un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60%</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más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su</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territorio.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pesca,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turismo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actividad</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portuaria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dependen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gran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medida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servicios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ecosistémicos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mar.</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Este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sector</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crucial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para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seguridad</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alimentaria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pequeños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estados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insulares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contribuye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manera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significativa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al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turismo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Caribe,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zona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que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realiza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45%</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viajes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cruceros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mundo.</w:t>
      </w:r>
    </w:p>
    <w:p w14:paraId="67B7C2BF" w14:textId="77777777" w:rsidR="00BF2F49" w:rsidRDefault="00BF2F49" w:rsidP="00853862">
      <w:pPr>
        <w:shd w:val="clear" w:color="auto" w:fill="FFFFFF"/>
        <w:spacing w:after="0" w:line="240" w:lineRule="auto"/>
        <w:jc w:val="both"/>
        <w:rPr>
          <w:rFonts w:ascii="Times New Roman" w:hAnsi="Times New Roman" w:cs="Times New Roman"/>
          <w:color w:val="000000"/>
          <w:sz w:val="24"/>
          <w:szCs w:val="24"/>
          <w:lang w:eastAsia="es-AR"/>
        </w:rPr>
      </w:pPr>
    </w:p>
    <w:p w14:paraId="14D73FCF" w14:textId="4E92F44E" w:rsidR="00853862" w:rsidRPr="005F6931" w:rsidRDefault="00BF2F49" w:rsidP="00853862">
      <w:pPr>
        <w:shd w:val="clear" w:color="auto" w:fill="FFFFFF"/>
        <w:spacing w:after="0" w:line="240" w:lineRule="auto"/>
        <w:jc w:val="both"/>
        <w:rPr>
          <w:rFonts w:ascii="Times New Roman" w:hAnsi="Times New Roman" w:cs="Times New Roman"/>
          <w:color w:val="000000"/>
          <w:sz w:val="24"/>
          <w:szCs w:val="24"/>
          <w:lang w:eastAsia="es-AR"/>
        </w:rPr>
      </w:pPr>
      <w:r>
        <w:rPr>
          <w:rFonts w:ascii="Times New Roman" w:hAnsi="Times New Roman" w:cs="Times New Roman"/>
          <w:color w:val="000000"/>
          <w:sz w:val="24"/>
          <w:szCs w:val="24"/>
          <w:lang w:eastAsia="es-AR"/>
        </w:rPr>
        <w:t>S</w:t>
      </w:r>
      <w:r w:rsidR="00853862" w:rsidRPr="005F6931">
        <w:rPr>
          <w:rFonts w:ascii="Times New Roman" w:hAnsi="Times New Roman" w:cs="Times New Roman"/>
          <w:color w:val="000000"/>
          <w:sz w:val="24"/>
          <w:szCs w:val="24"/>
          <w:lang w:eastAsia="es-AR"/>
        </w:rPr>
        <w:t>obre</w:t>
      </w:r>
      <w:r w:rsidR="00D136BB">
        <w:rPr>
          <w:rFonts w:ascii="Times New Roman" w:hAnsi="Times New Roman" w:cs="Times New Roman"/>
          <w:color w:val="000000"/>
          <w:sz w:val="24"/>
          <w:szCs w:val="24"/>
          <w:lang w:eastAsia="es-AR"/>
        </w:rPr>
        <w:t xml:space="preserve"> </w:t>
      </w:r>
      <w:r>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explotación</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recursos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marinos,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incremento</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acuacultura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marina,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aumento</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fenómenos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floraciones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algas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toxicas,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acidificación</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océanos,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incremento</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nivel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mar,</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contaminación</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costera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(nutrientes,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químicos,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plásticos,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etc)</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cambios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climáticos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han</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provocados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perdidas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en</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biodiversidad,</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h</w:t>
      </w:r>
      <w:r>
        <w:rPr>
          <w:rFonts w:ascii="Times New Roman" w:hAnsi="Times New Roman" w:cs="Times New Roman"/>
          <w:color w:val="000000"/>
          <w:sz w:val="24"/>
          <w:szCs w:val="24"/>
          <w:lang w:eastAsia="es-AR"/>
        </w:rPr>
        <w:t>á</w:t>
      </w:r>
      <w:r w:rsidR="00853862" w:rsidRPr="005F6931">
        <w:rPr>
          <w:rFonts w:ascii="Times New Roman" w:hAnsi="Times New Roman" w:cs="Times New Roman"/>
          <w:color w:val="000000"/>
          <w:sz w:val="24"/>
          <w:szCs w:val="24"/>
          <w:lang w:eastAsia="es-AR"/>
        </w:rPr>
        <w:t>bitats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deterioro</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zona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marino-costera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región,</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comprometiendo</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servicios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ecosistémicos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desarrollo</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países</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del</w:t>
      </w:r>
      <w:r w:rsidR="00D136BB">
        <w:rPr>
          <w:rFonts w:ascii="Times New Roman" w:hAnsi="Times New Roman" w:cs="Times New Roman"/>
          <w:color w:val="000000"/>
          <w:sz w:val="24"/>
          <w:szCs w:val="24"/>
          <w:lang w:eastAsia="es-AR"/>
        </w:rPr>
        <w:t xml:space="preserve"> </w:t>
      </w:r>
      <w:r w:rsidR="00853862" w:rsidRPr="005F6931">
        <w:rPr>
          <w:rFonts w:ascii="Times New Roman" w:hAnsi="Times New Roman" w:cs="Times New Roman"/>
          <w:color w:val="000000"/>
          <w:sz w:val="24"/>
          <w:szCs w:val="24"/>
          <w:lang w:eastAsia="es-AR"/>
        </w:rPr>
        <w:t>área.</w:t>
      </w:r>
    </w:p>
    <w:p w14:paraId="20B7B048" w14:textId="53FEE518" w:rsidR="00853862" w:rsidRPr="005F6931" w:rsidRDefault="00853862" w:rsidP="00853862">
      <w:pPr>
        <w:shd w:val="clear" w:color="auto" w:fill="FFFFFF"/>
        <w:spacing w:after="0" w:line="240" w:lineRule="auto"/>
        <w:jc w:val="both"/>
        <w:rPr>
          <w:rFonts w:ascii="Times New Roman" w:hAnsi="Times New Roman" w:cs="Times New Roman"/>
          <w:color w:val="000000"/>
          <w:sz w:val="24"/>
          <w:szCs w:val="24"/>
          <w:lang w:eastAsia="es-AR"/>
        </w:rPr>
      </w:pPr>
      <w:r w:rsidRPr="005F6931">
        <w:rPr>
          <w:rFonts w:ascii="Times New Roman" w:hAnsi="Times New Roman" w:cs="Times New Roman"/>
          <w:color w:val="000000"/>
          <w:sz w:val="24"/>
          <w:szCs w:val="24"/>
          <w:lang w:eastAsia="es-AR"/>
        </w:rPr>
        <w:t>Pese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su</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contribución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económica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sus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valores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ecológicos,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conocimiento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sobre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estado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zonas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costeras,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mares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océanos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región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limitado.</w:t>
      </w:r>
    </w:p>
    <w:p w14:paraId="41F289F5" w14:textId="77777777" w:rsidR="00853862" w:rsidRPr="005F6931" w:rsidRDefault="00853862" w:rsidP="00853862">
      <w:pPr>
        <w:shd w:val="clear" w:color="auto" w:fill="FFFFFF"/>
        <w:spacing w:after="0" w:line="240" w:lineRule="auto"/>
        <w:jc w:val="both"/>
        <w:rPr>
          <w:rFonts w:ascii="Times New Roman" w:hAnsi="Times New Roman" w:cs="Times New Roman"/>
          <w:color w:val="000000"/>
          <w:sz w:val="24"/>
          <w:szCs w:val="24"/>
          <w:lang w:eastAsia="es-AR"/>
        </w:rPr>
      </w:pPr>
    </w:p>
    <w:p w14:paraId="10A340A4" w14:textId="2FFC495D" w:rsidR="00853862" w:rsidRPr="005F6931" w:rsidRDefault="00853862" w:rsidP="00853862">
      <w:pPr>
        <w:shd w:val="clear" w:color="auto" w:fill="FFFFFF"/>
        <w:spacing w:after="0" w:line="240" w:lineRule="auto"/>
        <w:jc w:val="both"/>
        <w:rPr>
          <w:rFonts w:ascii="Times New Roman" w:hAnsi="Times New Roman" w:cs="Times New Roman"/>
          <w:color w:val="000000"/>
          <w:sz w:val="24"/>
          <w:szCs w:val="24"/>
          <w:lang w:eastAsia="es-AR"/>
        </w:rPr>
      </w:pPr>
      <w:r w:rsidRPr="005F6931">
        <w:rPr>
          <w:rFonts w:ascii="Times New Roman" w:hAnsi="Times New Roman" w:cs="Times New Roman"/>
          <w:color w:val="000000"/>
          <w:sz w:val="24"/>
          <w:szCs w:val="24"/>
          <w:u w:val="single"/>
          <w:lang w:eastAsia="es-AR"/>
        </w:rPr>
        <w:t>Objetivo: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Desarrollar</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información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integrada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utilizando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entre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otras,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técnicas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nucleares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isotópicas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que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contribuyan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conservar</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utilizar</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forma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sostenible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océanos,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mares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recursos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marinos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para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el</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desarrollo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sostenible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en</w:t>
      </w:r>
      <w:r w:rsidR="00D136BB">
        <w:rPr>
          <w:rFonts w:ascii="Times New Roman" w:hAnsi="Times New Roman" w:cs="Times New Roman"/>
          <w:color w:val="000000"/>
          <w:sz w:val="24"/>
          <w:szCs w:val="24"/>
          <w:lang w:eastAsia="es-AR"/>
        </w:rPr>
        <w:t xml:space="preserve"> </w:t>
      </w:r>
      <w:r w:rsidR="00C54B63">
        <w:rPr>
          <w:rFonts w:ascii="Times New Roman" w:hAnsi="Times New Roman" w:cs="Times New Roman"/>
          <w:color w:val="000000"/>
          <w:sz w:val="24"/>
          <w:szCs w:val="24"/>
          <w:lang w:eastAsia="es-AR"/>
        </w:rPr>
        <w:t>AL</w:t>
      </w:r>
      <w:r w:rsidR="00BC37D5">
        <w:rPr>
          <w:rFonts w:ascii="Times New Roman" w:hAnsi="Times New Roman" w:cs="Times New Roman"/>
          <w:color w:val="000000"/>
          <w:sz w:val="24"/>
          <w:szCs w:val="24"/>
          <w:lang w:eastAsia="es-AR"/>
        </w:rPr>
        <w:t>y</w:t>
      </w:r>
      <w:r w:rsidR="00C54B63">
        <w:rPr>
          <w:rFonts w:ascii="Times New Roman" w:hAnsi="Times New Roman" w:cs="Times New Roman"/>
          <w:color w:val="000000"/>
          <w:sz w:val="24"/>
          <w:szCs w:val="24"/>
          <w:lang w:eastAsia="es-AR"/>
        </w:rPr>
        <w:t>C</w:t>
      </w:r>
      <w:r w:rsidRPr="005F6931">
        <w:rPr>
          <w:rFonts w:ascii="Times New Roman" w:hAnsi="Times New Roman" w:cs="Times New Roman"/>
          <w:color w:val="000000"/>
          <w:sz w:val="24"/>
          <w:szCs w:val="24"/>
          <w:lang w:eastAsia="es-AR"/>
        </w:rPr>
        <w:t>.</w:t>
      </w:r>
    </w:p>
    <w:p w14:paraId="61F395BD" w14:textId="77777777" w:rsidR="00853862" w:rsidRPr="005F6931" w:rsidRDefault="00853862" w:rsidP="00853862">
      <w:pPr>
        <w:shd w:val="clear" w:color="auto" w:fill="FFFFFF"/>
        <w:spacing w:after="0" w:line="240" w:lineRule="auto"/>
        <w:jc w:val="both"/>
        <w:rPr>
          <w:rFonts w:ascii="Times New Roman" w:hAnsi="Times New Roman" w:cs="Times New Roman"/>
          <w:color w:val="000000"/>
          <w:sz w:val="24"/>
          <w:szCs w:val="24"/>
          <w:lang w:eastAsia="es-AR"/>
        </w:rPr>
      </w:pPr>
    </w:p>
    <w:p w14:paraId="58C45C69" w14:textId="4601CA90" w:rsidR="00853862" w:rsidRPr="005F6931" w:rsidRDefault="00853862" w:rsidP="00853862">
      <w:pPr>
        <w:shd w:val="clear" w:color="auto" w:fill="FFFFFF"/>
        <w:spacing w:after="0" w:line="240" w:lineRule="auto"/>
        <w:jc w:val="both"/>
        <w:rPr>
          <w:rFonts w:ascii="Times New Roman" w:hAnsi="Times New Roman" w:cs="Times New Roman"/>
          <w:color w:val="000000"/>
          <w:sz w:val="24"/>
          <w:szCs w:val="24"/>
          <w:lang w:eastAsia="es-AR"/>
        </w:rPr>
      </w:pPr>
      <w:r w:rsidRPr="005F6931">
        <w:rPr>
          <w:rFonts w:ascii="Times New Roman" w:hAnsi="Times New Roman" w:cs="Times New Roman"/>
          <w:color w:val="000000"/>
          <w:sz w:val="24"/>
          <w:szCs w:val="24"/>
          <w:u w:val="single"/>
          <w:lang w:eastAsia="es-AR"/>
        </w:rPr>
        <w:t>Indicador:</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Número</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países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que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generan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reportes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información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integrada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para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gestión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sostenible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de</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zona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costera,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mares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océanos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en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la</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región</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(ODS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14).</w:t>
      </w:r>
    </w:p>
    <w:p w14:paraId="0019FF71" w14:textId="77777777" w:rsidR="00853862" w:rsidRPr="005F6931" w:rsidRDefault="00853862" w:rsidP="00853862">
      <w:pPr>
        <w:shd w:val="clear" w:color="auto" w:fill="FFFFFF"/>
        <w:spacing w:after="0" w:line="240" w:lineRule="auto"/>
        <w:jc w:val="both"/>
        <w:rPr>
          <w:rFonts w:ascii="Times New Roman" w:hAnsi="Times New Roman" w:cs="Times New Roman"/>
          <w:color w:val="000000"/>
          <w:sz w:val="24"/>
          <w:szCs w:val="24"/>
          <w:lang w:eastAsia="es-AR"/>
        </w:rPr>
      </w:pPr>
    </w:p>
    <w:p w14:paraId="0069369F" w14:textId="77777777" w:rsidR="00853862" w:rsidRPr="005F6931" w:rsidRDefault="00853862" w:rsidP="00853862">
      <w:pPr>
        <w:shd w:val="clear" w:color="auto" w:fill="FFFFFF"/>
        <w:spacing w:after="0" w:line="240" w:lineRule="auto"/>
        <w:jc w:val="both"/>
        <w:rPr>
          <w:rFonts w:ascii="Times New Roman" w:hAnsi="Times New Roman" w:cs="Times New Roman"/>
          <w:color w:val="000000"/>
          <w:sz w:val="24"/>
          <w:szCs w:val="24"/>
          <w:lang w:eastAsia="es-AR"/>
        </w:rPr>
      </w:pPr>
    </w:p>
    <w:p w14:paraId="5F611773" w14:textId="52302DE6" w:rsidR="00853862" w:rsidRPr="005F6931" w:rsidRDefault="00853862" w:rsidP="00853862">
      <w:pPr>
        <w:jc w:val="both"/>
        <w:rPr>
          <w:rFonts w:ascii="Times New Roman" w:hAnsi="Times New Roman" w:cs="Times New Roman"/>
          <w:b/>
          <w:bCs/>
          <w:iCs/>
          <w:sz w:val="24"/>
          <w:szCs w:val="24"/>
        </w:rPr>
      </w:pPr>
      <w:r w:rsidRPr="005F6931">
        <w:rPr>
          <w:rFonts w:ascii="Times New Roman" w:hAnsi="Times New Roman" w:cs="Times New Roman"/>
          <w:b/>
          <w:bCs/>
          <w:iCs/>
          <w:color w:val="000000"/>
          <w:sz w:val="24"/>
          <w:szCs w:val="24"/>
          <w:lang w:eastAsia="es-AR"/>
        </w:rPr>
        <w:t>M4.</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Insuficiente</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conocimiento</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de</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los</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niveles</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de</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concentración</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de</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partículas</w:t>
      </w:r>
      <w:r w:rsidR="00D136BB">
        <w:rPr>
          <w:rFonts w:ascii="Times New Roman" w:hAnsi="Times New Roman" w:cs="Times New Roman"/>
          <w:b/>
          <w:bCs/>
          <w:iCs/>
          <w:color w:val="000000"/>
          <w:sz w:val="24"/>
          <w:szCs w:val="24"/>
          <w:lang w:eastAsia="es-AR"/>
        </w:rPr>
        <w:t xml:space="preserve"> </w:t>
      </w:r>
      <w:r w:rsidRPr="005F6931">
        <w:rPr>
          <w:rFonts w:ascii="Times New Roman" w:hAnsi="Times New Roman" w:cs="Times New Roman"/>
          <w:b/>
          <w:bCs/>
          <w:iCs/>
          <w:color w:val="000000"/>
          <w:sz w:val="24"/>
          <w:szCs w:val="24"/>
          <w:lang w:eastAsia="es-AR"/>
        </w:rPr>
        <w:t>y</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aerosoles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atmosféricos,</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su</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composición</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e</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impacto</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en</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la</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salud</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humana.</w:t>
      </w:r>
    </w:p>
    <w:p w14:paraId="2ACD8D01" w14:textId="12348D77" w:rsidR="00853862" w:rsidRPr="005F6931" w:rsidRDefault="00853862" w:rsidP="00853862">
      <w:pPr>
        <w:jc w:val="both"/>
        <w:rPr>
          <w:rFonts w:ascii="Times New Roman" w:hAnsi="Times New Roman" w:cs="Times New Roman"/>
          <w:sz w:val="24"/>
          <w:szCs w:val="24"/>
        </w:rPr>
      </w:pPr>
      <w:r w:rsidRPr="005F6931">
        <w:rPr>
          <w:rFonts w:ascii="Times New Roman" w:hAnsi="Times New Roman" w:cs="Times New Roman"/>
          <w:sz w:val="24"/>
          <w:szCs w:val="24"/>
        </w:rPr>
        <w:t>Justificación: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75%</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población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vive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ciudades,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cuales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tienen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serios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atmosférica.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áreas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rurales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expuestas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emisiones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antropogénicas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naturales.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todos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casos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emisoras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estas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partículas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aerosoles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pueden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ser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locales,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regionales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transfronterizas.</w:t>
      </w:r>
    </w:p>
    <w:p w14:paraId="2AA72559" w14:textId="60CE296B" w:rsidR="00853862" w:rsidRPr="005F6931" w:rsidRDefault="00853862" w:rsidP="00853862">
      <w:pPr>
        <w:jc w:val="both"/>
        <w:rPr>
          <w:rFonts w:ascii="Times New Roman" w:hAnsi="Times New Roman" w:cs="Times New Roman"/>
          <w:sz w:val="24"/>
          <w:szCs w:val="24"/>
        </w:rPr>
      </w:pPr>
      <w:r w:rsidRPr="005F6931">
        <w:rPr>
          <w:rFonts w:ascii="Times New Roman" w:hAnsi="Times New Roman" w:cs="Times New Roman"/>
          <w:sz w:val="24"/>
          <w:szCs w:val="24"/>
        </w:rPr>
        <w:lastRenderedPageBreak/>
        <w:t>Altas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cargas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particulado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especialmente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tamaño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inferior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2.5</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micrómetros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(PM2.5)</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han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sido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asociadas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diferentes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dolencias,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por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que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constituyen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un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riesgo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caracterización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química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particulado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aerosoles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permite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sólo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conocer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concentraciones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distintas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especies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sino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identificar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que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originan.</w:t>
      </w:r>
    </w:p>
    <w:p w14:paraId="695093D5" w14:textId="68ADA631" w:rsidR="00853862" w:rsidRPr="005F6931" w:rsidRDefault="00853862" w:rsidP="00853862">
      <w:pPr>
        <w:jc w:val="both"/>
        <w:rPr>
          <w:rFonts w:ascii="Times New Roman" w:hAnsi="Times New Roman" w:cs="Times New Roman"/>
          <w:sz w:val="24"/>
          <w:szCs w:val="24"/>
        </w:rPr>
      </w:pPr>
      <w:r w:rsidRPr="005F6931">
        <w:rPr>
          <w:rFonts w:ascii="Times New Roman" w:hAnsi="Times New Roman" w:cs="Times New Roman"/>
          <w:sz w:val="24"/>
          <w:szCs w:val="24"/>
          <w:u w:val="single"/>
        </w:rPr>
        <w:t>Objetivo: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mejora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gestión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calidad</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través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incorporación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Analíticas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(TAN)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caracterización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química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particulado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estudios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monitoreo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identificación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contribución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inventarios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identificados.</w:t>
      </w:r>
    </w:p>
    <w:p w14:paraId="53443DAD" w14:textId="7134B299" w:rsidR="00853862" w:rsidRPr="005F6931" w:rsidRDefault="00853862" w:rsidP="00853862">
      <w:pPr>
        <w:jc w:val="both"/>
        <w:rPr>
          <w:rFonts w:ascii="Times New Roman" w:hAnsi="Times New Roman" w:cs="Times New Roman"/>
          <w:sz w:val="24"/>
          <w:szCs w:val="24"/>
        </w:rPr>
      </w:pPr>
      <w:r w:rsidRPr="005F6931">
        <w:rPr>
          <w:rFonts w:ascii="Times New Roman" w:hAnsi="Times New Roman" w:cs="Times New Roman"/>
          <w:sz w:val="24"/>
          <w:szCs w:val="24"/>
          <w:u w:val="single"/>
        </w:rPr>
        <w:t>Indicador: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ciudades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estudios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fuentes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identificadas,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impacto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afecciones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que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puedan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implementar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medidas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mitigación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reducir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tasa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mortalidad</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atribuida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aire.</w:t>
      </w:r>
      <w:r w:rsidR="00D136BB">
        <w:rPr>
          <w:rFonts w:ascii="Times New Roman" w:hAnsi="Times New Roman" w:cs="Times New Roman"/>
          <w:sz w:val="24"/>
          <w:szCs w:val="24"/>
        </w:rPr>
        <w:t xml:space="preserve"> </w:t>
      </w:r>
      <w:r w:rsidRPr="005F6931">
        <w:rPr>
          <w:rFonts w:ascii="Times New Roman" w:hAnsi="Times New Roman" w:cs="Times New Roman"/>
          <w:color w:val="000000"/>
          <w:sz w:val="24"/>
          <w:szCs w:val="24"/>
          <w:lang w:eastAsia="es-AR"/>
        </w:rPr>
        <w:t>(Indicadores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ODS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3</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11).</w:t>
      </w:r>
    </w:p>
    <w:p w14:paraId="7BFEF3E1" w14:textId="77777777" w:rsidR="00853862" w:rsidRPr="005F6931" w:rsidRDefault="00853862" w:rsidP="00853862">
      <w:pPr>
        <w:jc w:val="both"/>
        <w:rPr>
          <w:rFonts w:ascii="Times New Roman" w:hAnsi="Times New Roman" w:cs="Times New Roman"/>
          <w:sz w:val="24"/>
          <w:szCs w:val="24"/>
        </w:rPr>
      </w:pPr>
    </w:p>
    <w:p w14:paraId="7EDEFD5D" w14:textId="6E7BE2E1" w:rsidR="00853862" w:rsidRPr="005F6931" w:rsidRDefault="00853862" w:rsidP="00853862">
      <w:pPr>
        <w:jc w:val="both"/>
        <w:rPr>
          <w:rFonts w:ascii="Times New Roman" w:hAnsi="Times New Roman" w:cs="Times New Roman"/>
          <w:b/>
          <w:bCs/>
          <w:iCs/>
          <w:sz w:val="24"/>
          <w:szCs w:val="24"/>
        </w:rPr>
      </w:pPr>
      <w:r w:rsidRPr="005F6931">
        <w:rPr>
          <w:rFonts w:ascii="Times New Roman" w:hAnsi="Times New Roman" w:cs="Times New Roman"/>
          <w:b/>
          <w:bCs/>
          <w:iCs/>
          <w:sz w:val="24"/>
          <w:szCs w:val="24"/>
        </w:rPr>
        <w:t>M5.</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Insuficiente</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evaluación</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de</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la</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degradación</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y</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contaminación</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del</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suelo</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y</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su</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impacto</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en</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la</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salud</w:t>
      </w:r>
      <w:r w:rsidR="00D136BB">
        <w:rPr>
          <w:rFonts w:ascii="Times New Roman" w:hAnsi="Times New Roman" w:cs="Times New Roman"/>
          <w:b/>
          <w:bCs/>
          <w:iCs/>
          <w:sz w:val="24"/>
          <w:szCs w:val="24"/>
        </w:rPr>
        <w:t xml:space="preserve"> </w:t>
      </w:r>
      <w:r w:rsidRPr="005F6931">
        <w:rPr>
          <w:rFonts w:ascii="Times New Roman" w:hAnsi="Times New Roman" w:cs="Times New Roman"/>
          <w:b/>
          <w:bCs/>
          <w:iCs/>
          <w:sz w:val="24"/>
          <w:szCs w:val="24"/>
        </w:rPr>
        <w:t>humana.</w:t>
      </w:r>
    </w:p>
    <w:p w14:paraId="4BAAD817" w14:textId="40E07964" w:rsidR="00853862" w:rsidRPr="005F6931" w:rsidRDefault="00853862" w:rsidP="00853862">
      <w:pPr>
        <w:jc w:val="both"/>
        <w:rPr>
          <w:rFonts w:ascii="Times New Roman" w:hAnsi="Times New Roman" w:cs="Times New Roman"/>
          <w:sz w:val="24"/>
          <w:szCs w:val="24"/>
        </w:rPr>
      </w:pPr>
      <w:r w:rsidRPr="005F6931">
        <w:rPr>
          <w:rFonts w:ascii="Times New Roman" w:hAnsi="Times New Roman" w:cs="Times New Roman"/>
          <w:sz w:val="24"/>
          <w:szCs w:val="24"/>
          <w:u w:val="single"/>
        </w:rPr>
        <w:t>Justificación: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Un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porcentaje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importante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están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contaminados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por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metales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pesados</w:t>
      </w:r>
      <w:r w:rsidR="00D136BB">
        <w:rPr>
          <w:rFonts w:ascii="Times New Roman" w:hAnsi="Times New Roman" w:cs="Times New Roman"/>
          <w:sz w:val="24"/>
          <w:szCs w:val="24"/>
        </w:rPr>
        <w:t xml:space="preserve"> </w:t>
      </w:r>
      <w:r w:rsidR="00BF2F49">
        <w:rPr>
          <w:rFonts w:ascii="Times New Roman" w:hAnsi="Times New Roman" w:cs="Times New Roman"/>
          <w:sz w:val="24"/>
          <w:szCs w:val="24"/>
        </w:rPr>
        <w:t>y</w:t>
      </w:r>
      <w:r w:rsidR="00D136BB">
        <w:rPr>
          <w:rFonts w:ascii="Times New Roman" w:hAnsi="Times New Roman" w:cs="Times New Roman"/>
          <w:sz w:val="24"/>
          <w:szCs w:val="24"/>
        </w:rPr>
        <w:t xml:space="preserve"> </w:t>
      </w:r>
      <w:r w:rsidR="00BF2F49">
        <w:rPr>
          <w:rFonts w:ascii="Times New Roman" w:hAnsi="Times New Roman" w:cs="Times New Roman"/>
          <w:sz w:val="24"/>
          <w:szCs w:val="24"/>
        </w:rPr>
        <w:t>otros</w:t>
      </w:r>
      <w:r w:rsidR="00D136BB">
        <w:rPr>
          <w:rFonts w:ascii="Times New Roman" w:hAnsi="Times New Roman" w:cs="Times New Roman"/>
          <w:sz w:val="24"/>
          <w:szCs w:val="24"/>
        </w:rPr>
        <w:t xml:space="preserve"> </w:t>
      </w:r>
      <w:r w:rsidR="00BF2F49">
        <w:rPr>
          <w:rFonts w:ascii="Times New Roman" w:hAnsi="Times New Roman" w:cs="Times New Roman"/>
          <w:sz w:val="24"/>
          <w:szCs w:val="24"/>
        </w:rPr>
        <w:t>elementos</w:t>
      </w:r>
      <w:r w:rsidR="00D136BB">
        <w:rPr>
          <w:rFonts w:ascii="Times New Roman" w:hAnsi="Times New Roman" w:cs="Times New Roman"/>
          <w:sz w:val="24"/>
          <w:szCs w:val="24"/>
        </w:rPr>
        <w:t xml:space="preserve"> </w:t>
      </w:r>
      <w:r w:rsidR="00BF2F49">
        <w:rPr>
          <w:rFonts w:ascii="Times New Roman" w:hAnsi="Times New Roman" w:cs="Times New Roman"/>
          <w:sz w:val="24"/>
          <w:szCs w:val="24"/>
        </w:rPr>
        <w:t>tóxicos</w:t>
      </w:r>
      <w:r w:rsidRPr="005F6931">
        <w:rPr>
          <w:rFonts w:ascii="Times New Roman" w:hAnsi="Times New Roman" w:cs="Times New Roman"/>
          <w:sz w:val="24"/>
          <w:szCs w:val="24"/>
        </w:rPr>
        <w:t>,</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plaguicidas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otras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sustancias,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cuales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son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transferidos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flora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fauna.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Además,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sólo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un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35%</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desechos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sólidos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gestiona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utilizando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relleno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sanitario,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causando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afectando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animal.</w:t>
      </w:r>
    </w:p>
    <w:p w14:paraId="7430B535" w14:textId="3017CC88" w:rsidR="00853862" w:rsidRPr="005F6931" w:rsidRDefault="00853862" w:rsidP="00853862">
      <w:pPr>
        <w:jc w:val="both"/>
        <w:rPr>
          <w:rFonts w:ascii="Times New Roman" w:hAnsi="Times New Roman" w:cs="Times New Roman"/>
          <w:sz w:val="24"/>
          <w:szCs w:val="24"/>
        </w:rPr>
      </w:pPr>
      <w:r w:rsidRPr="005F6931">
        <w:rPr>
          <w:rFonts w:ascii="Times New Roman" w:hAnsi="Times New Roman" w:cs="Times New Roman"/>
          <w:sz w:val="24"/>
          <w:szCs w:val="24"/>
        </w:rPr>
        <w:t>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17%</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plaguicidas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más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10%</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total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mundial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fertilizantes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comercializan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enfrentan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problemas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relacionados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residuos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plaguicidas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alimentos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consumo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local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exportación,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sobrepasando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muchos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casos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niveles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fijados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por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legislación.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existe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suficiente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capacidad</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analítica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determinación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impacto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salud</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humana,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flora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fauna.</w:t>
      </w:r>
    </w:p>
    <w:p w14:paraId="0BA49DB4" w14:textId="0C255F47" w:rsidR="00853862" w:rsidRPr="005F6931" w:rsidRDefault="00853862" w:rsidP="00853862">
      <w:pPr>
        <w:jc w:val="both"/>
        <w:rPr>
          <w:rFonts w:ascii="Times New Roman" w:hAnsi="Times New Roman" w:cs="Times New Roman"/>
          <w:sz w:val="24"/>
          <w:szCs w:val="24"/>
        </w:rPr>
      </w:pPr>
      <w:r w:rsidRPr="005F6931">
        <w:rPr>
          <w:rFonts w:ascii="Times New Roman" w:hAnsi="Times New Roman" w:cs="Times New Roman"/>
          <w:sz w:val="24"/>
          <w:szCs w:val="24"/>
          <w:u w:val="single"/>
        </w:rPr>
        <w:t>Objetivo: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Contribuir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mejorar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evaluación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impacto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generando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información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niveles,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tipo,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distribución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dispersión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contaminantes.</w:t>
      </w:r>
      <w:r w:rsidR="00D136BB">
        <w:rPr>
          <w:rFonts w:ascii="Times New Roman" w:hAnsi="Times New Roman" w:cs="Times New Roman"/>
          <w:sz w:val="24"/>
          <w:szCs w:val="24"/>
        </w:rPr>
        <w:t xml:space="preserve"> </w:t>
      </w:r>
    </w:p>
    <w:p w14:paraId="1E4BD24A" w14:textId="4A94823B" w:rsidR="004A0459" w:rsidRDefault="00853862" w:rsidP="00853862">
      <w:pPr>
        <w:jc w:val="both"/>
        <w:rPr>
          <w:rFonts w:ascii="Times New Roman" w:hAnsi="Times New Roman" w:cs="Times New Roman"/>
          <w:sz w:val="24"/>
          <w:szCs w:val="24"/>
        </w:rPr>
        <w:sectPr w:rsidR="004A0459" w:rsidSect="002B1DC0">
          <w:pgSz w:w="12240" w:h="15840"/>
          <w:pgMar w:top="1440" w:right="1077" w:bottom="1440" w:left="1077" w:header="708" w:footer="708" w:gutter="0"/>
          <w:cols w:space="708"/>
          <w:docGrid w:linePitch="360"/>
        </w:sectPr>
      </w:pPr>
      <w:r w:rsidRPr="005F6931">
        <w:rPr>
          <w:rFonts w:ascii="Times New Roman" w:hAnsi="Times New Roman" w:cs="Times New Roman"/>
          <w:sz w:val="24"/>
          <w:szCs w:val="24"/>
          <w:u w:val="single"/>
        </w:rPr>
        <w:t>Indicador: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informes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diagnóstico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sobre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contaminantes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empleando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técnicas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nucleares,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cuales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contribuyan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desarrollo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legislaciones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que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conlleven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reducir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considerablemente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el</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muertes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enfermedades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causadas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por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productos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químicos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peligrosos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y</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por</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la</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contaminación</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de</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los</w:t>
      </w:r>
      <w:r w:rsidR="00D136BB">
        <w:rPr>
          <w:rFonts w:ascii="Times New Roman" w:hAnsi="Times New Roman" w:cs="Times New Roman"/>
          <w:sz w:val="24"/>
          <w:szCs w:val="24"/>
        </w:rPr>
        <w:t xml:space="preserve"> </w:t>
      </w:r>
      <w:r w:rsidRPr="005F6931">
        <w:rPr>
          <w:rFonts w:ascii="Times New Roman" w:hAnsi="Times New Roman" w:cs="Times New Roman"/>
          <w:sz w:val="24"/>
          <w:szCs w:val="24"/>
        </w:rPr>
        <w:t>suelos.</w:t>
      </w:r>
      <w:r w:rsidR="00D136BB">
        <w:rPr>
          <w:rFonts w:ascii="Times New Roman" w:hAnsi="Times New Roman" w:cs="Times New Roman"/>
          <w:sz w:val="24"/>
          <w:szCs w:val="24"/>
        </w:rPr>
        <w:t xml:space="preserve"> </w:t>
      </w:r>
      <w:r w:rsidRPr="005F6931">
        <w:rPr>
          <w:rFonts w:ascii="Times New Roman" w:hAnsi="Times New Roman" w:cs="Times New Roman"/>
          <w:color w:val="000000"/>
          <w:sz w:val="24"/>
          <w:szCs w:val="24"/>
          <w:lang w:eastAsia="es-AR"/>
        </w:rPr>
        <w:t>(Indicadores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ODS</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15</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y</w:t>
      </w:r>
      <w:r w:rsidR="00D136BB">
        <w:rPr>
          <w:rFonts w:ascii="Times New Roman" w:hAnsi="Times New Roman" w:cs="Times New Roman"/>
          <w:color w:val="000000"/>
          <w:sz w:val="24"/>
          <w:szCs w:val="24"/>
          <w:lang w:eastAsia="es-AR"/>
        </w:rPr>
        <w:t xml:space="preserve"> </w:t>
      </w:r>
      <w:r w:rsidRPr="005F6931">
        <w:rPr>
          <w:rFonts w:ascii="Times New Roman" w:hAnsi="Times New Roman" w:cs="Times New Roman"/>
          <w:color w:val="000000"/>
          <w:sz w:val="24"/>
          <w:szCs w:val="24"/>
          <w:lang w:eastAsia="es-AR"/>
        </w:rPr>
        <w:t>3)</w:t>
      </w:r>
    </w:p>
    <w:p w14:paraId="4F0460F9" w14:textId="77777777" w:rsidR="005F6931" w:rsidRDefault="005F6931" w:rsidP="00853862">
      <w:pPr>
        <w:rPr>
          <w:b/>
          <w:bCs/>
        </w:rPr>
      </w:pPr>
    </w:p>
    <w:p w14:paraId="760920B2" w14:textId="54058D4A" w:rsidR="00A150CC" w:rsidRPr="00D532E8" w:rsidRDefault="005F6931" w:rsidP="00853862">
      <w:pPr>
        <w:rPr>
          <w:rFonts w:ascii="Times New Roman" w:hAnsi="Times New Roman" w:cs="Times New Roman"/>
          <w:b/>
          <w:bCs/>
          <w:sz w:val="24"/>
          <w:szCs w:val="24"/>
        </w:rPr>
      </w:pPr>
      <w:r w:rsidRPr="00D532E8">
        <w:rPr>
          <w:rFonts w:ascii="Times New Roman" w:hAnsi="Times New Roman" w:cs="Times New Roman"/>
          <w:b/>
          <w:bCs/>
          <w:sz w:val="24"/>
          <w:szCs w:val="24"/>
        </w:rPr>
        <w:t>IV.</w:t>
      </w:r>
      <w:r w:rsidR="00D136BB">
        <w:rPr>
          <w:rFonts w:ascii="Times New Roman" w:hAnsi="Times New Roman" w:cs="Times New Roman"/>
          <w:b/>
          <w:bCs/>
          <w:sz w:val="24"/>
          <w:szCs w:val="24"/>
        </w:rPr>
        <w:t xml:space="preserve"> </w:t>
      </w:r>
      <w:r w:rsidR="00853862" w:rsidRPr="00D532E8">
        <w:rPr>
          <w:rFonts w:ascii="Times New Roman" w:hAnsi="Times New Roman" w:cs="Times New Roman"/>
          <w:b/>
          <w:bCs/>
          <w:sz w:val="24"/>
          <w:szCs w:val="24"/>
        </w:rPr>
        <w:t>P</w:t>
      </w:r>
      <w:r w:rsidR="00D532E8" w:rsidRPr="00D532E8">
        <w:rPr>
          <w:rFonts w:ascii="Times New Roman" w:hAnsi="Times New Roman" w:cs="Times New Roman"/>
          <w:b/>
          <w:bCs/>
          <w:sz w:val="24"/>
          <w:szCs w:val="24"/>
        </w:rPr>
        <w:t>riorización</w:t>
      </w:r>
      <w:r w:rsidR="00D136BB">
        <w:rPr>
          <w:rFonts w:ascii="Times New Roman" w:hAnsi="Times New Roman" w:cs="Times New Roman"/>
          <w:b/>
          <w:bCs/>
          <w:sz w:val="24"/>
          <w:szCs w:val="24"/>
        </w:rPr>
        <w:t xml:space="preserve"> </w:t>
      </w:r>
      <w:r w:rsidR="00D532E8" w:rsidRPr="00D532E8">
        <w:rPr>
          <w:rFonts w:ascii="Times New Roman" w:hAnsi="Times New Roman" w:cs="Times New Roman"/>
          <w:b/>
          <w:bCs/>
          <w:sz w:val="24"/>
          <w:szCs w:val="24"/>
        </w:rPr>
        <w:t>de</w:t>
      </w:r>
      <w:r w:rsidR="00D136BB">
        <w:rPr>
          <w:rFonts w:ascii="Times New Roman" w:hAnsi="Times New Roman" w:cs="Times New Roman"/>
          <w:b/>
          <w:bCs/>
          <w:sz w:val="24"/>
          <w:szCs w:val="24"/>
        </w:rPr>
        <w:t xml:space="preserve"> </w:t>
      </w:r>
      <w:r w:rsidR="00D532E8" w:rsidRPr="00D532E8">
        <w:rPr>
          <w:rFonts w:ascii="Times New Roman" w:hAnsi="Times New Roman" w:cs="Times New Roman"/>
          <w:b/>
          <w:bCs/>
          <w:sz w:val="24"/>
          <w:szCs w:val="24"/>
        </w:rPr>
        <w:t>las</w:t>
      </w:r>
      <w:r w:rsidR="00D136BB">
        <w:rPr>
          <w:rFonts w:ascii="Times New Roman" w:hAnsi="Times New Roman" w:cs="Times New Roman"/>
          <w:b/>
          <w:bCs/>
          <w:sz w:val="24"/>
          <w:szCs w:val="24"/>
        </w:rPr>
        <w:t xml:space="preserve"> </w:t>
      </w:r>
      <w:r w:rsidR="00D532E8" w:rsidRPr="00D532E8">
        <w:rPr>
          <w:rFonts w:ascii="Times New Roman" w:hAnsi="Times New Roman" w:cs="Times New Roman"/>
          <w:b/>
          <w:bCs/>
          <w:sz w:val="24"/>
          <w:szCs w:val="24"/>
        </w:rPr>
        <w:t>Necesidades/Problemas</w:t>
      </w:r>
      <w:r w:rsidR="00D136BB">
        <w:rPr>
          <w:rFonts w:ascii="Times New Roman" w:hAnsi="Times New Roman" w:cs="Times New Roman"/>
          <w:b/>
          <w:bCs/>
          <w:sz w:val="24"/>
          <w:szCs w:val="24"/>
        </w:rPr>
        <w:t xml:space="preserve"> </w:t>
      </w:r>
      <w:r w:rsidR="00D532E8" w:rsidRPr="00D532E8">
        <w:rPr>
          <w:rFonts w:ascii="Times New Roman" w:hAnsi="Times New Roman" w:cs="Times New Roman"/>
          <w:b/>
          <w:bCs/>
          <w:sz w:val="24"/>
          <w:szCs w:val="24"/>
        </w:rPr>
        <w:t>en</w:t>
      </w:r>
      <w:r w:rsidR="00D136BB">
        <w:rPr>
          <w:rFonts w:ascii="Times New Roman" w:hAnsi="Times New Roman" w:cs="Times New Roman"/>
          <w:b/>
          <w:bCs/>
          <w:sz w:val="24"/>
          <w:szCs w:val="24"/>
        </w:rPr>
        <w:t xml:space="preserve"> </w:t>
      </w:r>
      <w:r w:rsidR="00D532E8" w:rsidRPr="00D532E8">
        <w:rPr>
          <w:rFonts w:ascii="Times New Roman" w:hAnsi="Times New Roman" w:cs="Times New Roman"/>
          <w:b/>
          <w:bCs/>
          <w:sz w:val="24"/>
          <w:szCs w:val="24"/>
        </w:rPr>
        <w:t>Ambiente</w:t>
      </w:r>
      <w:r w:rsidR="00D136BB">
        <w:rPr>
          <w:rFonts w:ascii="Times New Roman" w:hAnsi="Times New Roman" w:cs="Times New Roman"/>
          <w:b/>
          <w:bCs/>
          <w:sz w:val="24"/>
          <w:szCs w:val="24"/>
        </w:rPr>
        <w:t xml:space="preserve"> </w:t>
      </w:r>
      <w:r w:rsidR="008E1E07" w:rsidRPr="000D68CF">
        <w:rPr>
          <w:rFonts w:ascii="Times New Roman" w:hAnsi="Times New Roman" w:cs="Times New Roman"/>
          <w:b/>
          <w:bCs/>
          <w:sz w:val="24"/>
          <w:szCs w:val="24"/>
          <w:lang w:val="es-ES"/>
        </w:rPr>
        <w:t>(de acuerdo al enfoque metodológico del Anexo 1).</w:t>
      </w:r>
    </w:p>
    <w:p w14:paraId="48938003" w14:textId="296E4B6D" w:rsidR="00852BE0" w:rsidRPr="00A150CC" w:rsidRDefault="00852BE0" w:rsidP="00852BE0">
      <w:pPr>
        <w:rPr>
          <w:rFonts w:ascii="Times New Roman" w:hAnsi="Times New Roman" w:cs="Times New Roman"/>
        </w:rPr>
      </w:pPr>
      <w:r>
        <w:rPr>
          <w:rFonts w:ascii="Times New Roman" w:hAnsi="Times New Roman" w:cs="Times New Roman"/>
        </w:rPr>
        <w:t>Tabla</w:t>
      </w:r>
      <w:r w:rsidR="00D136BB">
        <w:rPr>
          <w:rFonts w:ascii="Times New Roman" w:hAnsi="Times New Roman" w:cs="Times New Roman"/>
        </w:rPr>
        <w:t xml:space="preserve"> </w:t>
      </w:r>
      <w:r>
        <w:rPr>
          <w:rFonts w:ascii="Times New Roman" w:hAnsi="Times New Roman" w:cs="Times New Roman"/>
        </w:rPr>
        <w:t>3:</w:t>
      </w:r>
      <w:r w:rsidR="00D136BB">
        <w:rPr>
          <w:rFonts w:ascii="Times New Roman" w:hAnsi="Times New Roman" w:cs="Times New Roman"/>
        </w:rPr>
        <w:t xml:space="preserve"> </w:t>
      </w:r>
      <w:r>
        <w:rPr>
          <w:rFonts w:ascii="Times New Roman" w:hAnsi="Times New Roman" w:cs="Times New Roman"/>
        </w:rPr>
        <w:t>Priorización</w:t>
      </w:r>
      <w:r w:rsidR="00D136BB">
        <w:rPr>
          <w:rFonts w:ascii="Times New Roman" w:hAnsi="Times New Roman" w:cs="Times New Roman"/>
        </w:rPr>
        <w:t xml:space="preserve"> </w:t>
      </w:r>
      <w:r>
        <w:rPr>
          <w:rFonts w:ascii="Times New Roman" w:hAnsi="Times New Roman" w:cs="Times New Roman"/>
        </w:rPr>
        <w:t>de</w:t>
      </w:r>
      <w:r w:rsidR="00D136BB">
        <w:rPr>
          <w:rFonts w:ascii="Times New Roman" w:hAnsi="Times New Roman" w:cs="Times New Roman"/>
        </w:rPr>
        <w:t xml:space="preserve"> </w:t>
      </w:r>
      <w:r>
        <w:rPr>
          <w:rFonts w:ascii="Times New Roman" w:hAnsi="Times New Roman" w:cs="Times New Roman"/>
        </w:rPr>
        <w:t>las</w:t>
      </w:r>
      <w:r w:rsidR="00D136BB">
        <w:rPr>
          <w:rFonts w:ascii="Times New Roman" w:hAnsi="Times New Roman" w:cs="Times New Roman"/>
        </w:rPr>
        <w:t xml:space="preserve"> </w:t>
      </w:r>
      <w:r>
        <w:rPr>
          <w:rFonts w:ascii="Times New Roman" w:hAnsi="Times New Roman" w:cs="Times New Roman"/>
        </w:rPr>
        <w:t>Necesidades/Problemas</w:t>
      </w:r>
      <w:r w:rsidR="00D136BB">
        <w:rPr>
          <w:rFonts w:ascii="Times New Roman" w:hAnsi="Times New Roman" w:cs="Times New Roman"/>
        </w:rPr>
        <w:t xml:space="preserve"> </w:t>
      </w:r>
      <w:r>
        <w:rPr>
          <w:rFonts w:ascii="Times New Roman" w:hAnsi="Times New Roman" w:cs="Times New Roman"/>
        </w:rPr>
        <w:t>en</w:t>
      </w:r>
      <w:r w:rsidR="00D136BB">
        <w:rPr>
          <w:rFonts w:ascii="Times New Roman" w:hAnsi="Times New Roman" w:cs="Times New Roman"/>
        </w:rPr>
        <w:t xml:space="preserve"> </w:t>
      </w:r>
      <w:r>
        <w:rPr>
          <w:rFonts w:ascii="Times New Roman" w:hAnsi="Times New Roman" w:cs="Times New Roman"/>
        </w:rPr>
        <w:t>Ambiente</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555"/>
        <w:gridCol w:w="1984"/>
        <w:gridCol w:w="1984"/>
        <w:gridCol w:w="1985"/>
        <w:gridCol w:w="2126"/>
        <w:gridCol w:w="851"/>
        <w:gridCol w:w="2268"/>
        <w:gridCol w:w="573"/>
        <w:gridCol w:w="845"/>
      </w:tblGrid>
      <w:tr w:rsidR="00BD4B03" w:rsidRPr="00545ACF" w14:paraId="42C2127B" w14:textId="77777777" w:rsidTr="00BD4B03">
        <w:trPr>
          <w:trHeight w:val="439"/>
          <w:tblHeader/>
          <w:jc w:val="center"/>
        </w:trPr>
        <w:tc>
          <w:tcPr>
            <w:tcW w:w="425" w:type="dxa"/>
            <w:tcBorders>
              <w:bottom w:val="single" w:sz="4" w:space="0" w:color="auto"/>
            </w:tcBorders>
            <w:shd w:val="clear" w:color="auto" w:fill="FFFF00"/>
            <w:vAlign w:val="center"/>
          </w:tcPr>
          <w:p w14:paraId="5DA2BBB2" w14:textId="06A2FF6F" w:rsidR="00BD4B03" w:rsidRPr="00545ACF" w:rsidRDefault="00BD4B03" w:rsidP="00BD4B0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w:t>
            </w:r>
          </w:p>
        </w:tc>
        <w:tc>
          <w:tcPr>
            <w:tcW w:w="1555" w:type="dxa"/>
            <w:tcBorders>
              <w:bottom w:val="single" w:sz="4" w:space="0" w:color="auto"/>
            </w:tcBorders>
            <w:shd w:val="clear" w:color="auto" w:fill="FFFF00"/>
            <w:vAlign w:val="center"/>
          </w:tcPr>
          <w:p w14:paraId="47078157" w14:textId="77777777" w:rsidR="00BD4B03" w:rsidRPr="00545ACF" w:rsidRDefault="00BD4B03" w:rsidP="00BD4B03">
            <w:pPr>
              <w:spacing w:after="0" w:line="240" w:lineRule="auto"/>
              <w:jc w:val="center"/>
              <w:rPr>
                <w:rFonts w:ascii="Times New Roman" w:hAnsi="Times New Roman" w:cs="Times New Roman"/>
                <w:b/>
                <w:sz w:val="20"/>
                <w:szCs w:val="20"/>
              </w:rPr>
            </w:pPr>
            <w:r w:rsidRPr="00545ACF">
              <w:rPr>
                <w:rFonts w:ascii="Times New Roman" w:hAnsi="Times New Roman" w:cs="Times New Roman"/>
                <w:b/>
                <w:sz w:val="20"/>
                <w:szCs w:val="20"/>
              </w:rPr>
              <w:t>NECESIDAD/</w:t>
            </w:r>
          </w:p>
          <w:p w14:paraId="05F9D31B" w14:textId="77777777" w:rsidR="00BD4B03" w:rsidRPr="00545ACF" w:rsidRDefault="00BD4B03" w:rsidP="00BD4B03">
            <w:pPr>
              <w:spacing w:after="0" w:line="240" w:lineRule="auto"/>
              <w:jc w:val="center"/>
              <w:rPr>
                <w:rFonts w:ascii="Times New Roman" w:hAnsi="Times New Roman" w:cs="Times New Roman"/>
                <w:b/>
                <w:sz w:val="20"/>
                <w:szCs w:val="20"/>
              </w:rPr>
            </w:pPr>
            <w:r w:rsidRPr="00545ACF">
              <w:rPr>
                <w:rFonts w:ascii="Times New Roman" w:hAnsi="Times New Roman" w:cs="Times New Roman"/>
                <w:b/>
                <w:sz w:val="20"/>
                <w:szCs w:val="20"/>
              </w:rPr>
              <w:t>PROBLEMA</w:t>
            </w:r>
          </w:p>
        </w:tc>
        <w:tc>
          <w:tcPr>
            <w:tcW w:w="1984" w:type="dxa"/>
            <w:shd w:val="clear" w:color="auto" w:fill="FFFF00"/>
            <w:vAlign w:val="center"/>
          </w:tcPr>
          <w:p w14:paraId="5C2466E2" w14:textId="620448CC" w:rsidR="00BD4B03" w:rsidRPr="00BD4B03" w:rsidRDefault="00BD4B03" w:rsidP="00BD4B03">
            <w:pPr>
              <w:spacing w:after="0" w:line="240" w:lineRule="auto"/>
              <w:jc w:val="center"/>
              <w:rPr>
                <w:rFonts w:ascii="Times New Roman" w:hAnsi="Times New Roman" w:cs="Times New Roman"/>
                <w:b/>
                <w:sz w:val="20"/>
                <w:szCs w:val="20"/>
              </w:rPr>
            </w:pPr>
            <w:r w:rsidRPr="00BD4B03">
              <w:rPr>
                <w:b/>
              </w:rPr>
              <w:t>Severidad</w:t>
            </w:r>
          </w:p>
        </w:tc>
        <w:tc>
          <w:tcPr>
            <w:tcW w:w="1984" w:type="dxa"/>
            <w:shd w:val="clear" w:color="auto" w:fill="FFFF00"/>
            <w:vAlign w:val="center"/>
          </w:tcPr>
          <w:p w14:paraId="7B8BCF27" w14:textId="43495858" w:rsidR="00BD4B03" w:rsidRPr="00BD4B03" w:rsidRDefault="00BD4B03" w:rsidP="00BD4B03">
            <w:pPr>
              <w:spacing w:after="0" w:line="240" w:lineRule="auto"/>
              <w:jc w:val="center"/>
              <w:rPr>
                <w:rFonts w:ascii="Times New Roman" w:hAnsi="Times New Roman" w:cs="Times New Roman"/>
                <w:b/>
                <w:sz w:val="20"/>
                <w:szCs w:val="20"/>
              </w:rPr>
            </w:pPr>
            <w:r w:rsidRPr="00BD4B03">
              <w:rPr>
                <w:b/>
              </w:rPr>
              <w:t>Tiempo</w:t>
            </w:r>
          </w:p>
        </w:tc>
        <w:tc>
          <w:tcPr>
            <w:tcW w:w="1985" w:type="dxa"/>
            <w:shd w:val="clear" w:color="auto" w:fill="FFFF00"/>
            <w:vAlign w:val="center"/>
          </w:tcPr>
          <w:p w14:paraId="3D971051" w14:textId="748DA7F8" w:rsidR="00BD4B03" w:rsidRPr="00BD4B03" w:rsidRDefault="00BD4B03" w:rsidP="00BD4B03">
            <w:pPr>
              <w:spacing w:after="0" w:line="240" w:lineRule="auto"/>
              <w:jc w:val="center"/>
              <w:rPr>
                <w:rFonts w:ascii="Times New Roman" w:hAnsi="Times New Roman" w:cs="Times New Roman"/>
                <w:b/>
                <w:sz w:val="20"/>
                <w:szCs w:val="20"/>
              </w:rPr>
            </w:pPr>
            <w:r w:rsidRPr="00BD4B03">
              <w:rPr>
                <w:b/>
              </w:rPr>
              <w:t>Extensión</w:t>
            </w:r>
          </w:p>
        </w:tc>
        <w:tc>
          <w:tcPr>
            <w:tcW w:w="2126" w:type="dxa"/>
            <w:shd w:val="clear" w:color="auto" w:fill="FFFF00"/>
            <w:vAlign w:val="center"/>
          </w:tcPr>
          <w:p w14:paraId="6759C4B9" w14:textId="1FB18F1E" w:rsidR="00BD4B03" w:rsidRPr="00BD4B03" w:rsidRDefault="00BD4B03" w:rsidP="00BD4B03">
            <w:pPr>
              <w:spacing w:after="0" w:line="240" w:lineRule="auto"/>
              <w:jc w:val="center"/>
              <w:rPr>
                <w:rFonts w:ascii="Times New Roman" w:hAnsi="Times New Roman" w:cs="Times New Roman"/>
                <w:b/>
                <w:sz w:val="20"/>
                <w:szCs w:val="20"/>
              </w:rPr>
            </w:pPr>
            <w:r w:rsidRPr="00BD4B03">
              <w:rPr>
                <w:b/>
              </w:rPr>
              <w:t>Relevancia</w:t>
            </w:r>
          </w:p>
        </w:tc>
        <w:tc>
          <w:tcPr>
            <w:tcW w:w="851" w:type="dxa"/>
            <w:shd w:val="clear" w:color="auto" w:fill="FFFF00"/>
            <w:vAlign w:val="center"/>
          </w:tcPr>
          <w:p w14:paraId="79DCCA1D" w14:textId="28A89B34" w:rsidR="00BD4B03" w:rsidRPr="00BD4B03" w:rsidRDefault="00BD4B03" w:rsidP="00BD4B03">
            <w:pPr>
              <w:spacing w:after="0" w:line="240" w:lineRule="auto"/>
              <w:jc w:val="center"/>
              <w:rPr>
                <w:rFonts w:ascii="Times New Roman" w:hAnsi="Times New Roman" w:cs="Times New Roman"/>
                <w:b/>
                <w:sz w:val="20"/>
                <w:szCs w:val="20"/>
              </w:rPr>
            </w:pPr>
            <w:r w:rsidRPr="00BD4B03">
              <w:rPr>
                <w:b/>
              </w:rPr>
              <w:t>Grado Total</w:t>
            </w:r>
          </w:p>
        </w:tc>
        <w:tc>
          <w:tcPr>
            <w:tcW w:w="2268" w:type="dxa"/>
            <w:shd w:val="clear" w:color="auto" w:fill="FFFF00"/>
            <w:vAlign w:val="center"/>
          </w:tcPr>
          <w:p w14:paraId="2642C3BB" w14:textId="0A5BC671" w:rsidR="00BD4B03" w:rsidRPr="00BD4B03" w:rsidRDefault="00BD4B03" w:rsidP="00BD4B03">
            <w:pPr>
              <w:spacing w:after="0" w:line="240" w:lineRule="auto"/>
              <w:jc w:val="center"/>
              <w:rPr>
                <w:rFonts w:ascii="Times New Roman" w:hAnsi="Times New Roman" w:cs="Times New Roman"/>
                <w:b/>
                <w:sz w:val="20"/>
                <w:szCs w:val="20"/>
              </w:rPr>
            </w:pPr>
            <w:r w:rsidRPr="00BD4B03">
              <w:rPr>
                <w:b/>
              </w:rPr>
              <w:t>Dificultad</w:t>
            </w:r>
          </w:p>
        </w:tc>
        <w:tc>
          <w:tcPr>
            <w:tcW w:w="573" w:type="dxa"/>
            <w:shd w:val="clear" w:color="auto" w:fill="FFFF00"/>
            <w:vAlign w:val="center"/>
          </w:tcPr>
          <w:p w14:paraId="6A5BA6E3" w14:textId="789A97CC" w:rsidR="00BD4B03" w:rsidRPr="00BD4B03" w:rsidRDefault="00BD4B03" w:rsidP="00BD4B03">
            <w:pPr>
              <w:spacing w:after="0" w:line="240" w:lineRule="auto"/>
              <w:jc w:val="center"/>
              <w:rPr>
                <w:rFonts w:ascii="Times New Roman" w:hAnsi="Times New Roman" w:cs="Times New Roman"/>
                <w:b/>
                <w:sz w:val="20"/>
                <w:szCs w:val="20"/>
              </w:rPr>
            </w:pPr>
            <w:r w:rsidRPr="00BD4B03">
              <w:rPr>
                <w:b/>
              </w:rPr>
              <w:t>R/D</w:t>
            </w:r>
          </w:p>
        </w:tc>
        <w:tc>
          <w:tcPr>
            <w:tcW w:w="845" w:type="dxa"/>
            <w:shd w:val="clear" w:color="auto" w:fill="FFFF00"/>
            <w:vAlign w:val="center"/>
          </w:tcPr>
          <w:p w14:paraId="77318B83" w14:textId="6CEA6E04" w:rsidR="00BD4B03" w:rsidRPr="00BD4B03" w:rsidRDefault="00BD4B03" w:rsidP="00BD4B03">
            <w:pPr>
              <w:spacing w:after="0" w:line="240" w:lineRule="auto"/>
              <w:jc w:val="center"/>
              <w:rPr>
                <w:rFonts w:ascii="Times New Roman" w:hAnsi="Times New Roman" w:cs="Times New Roman"/>
                <w:b/>
                <w:sz w:val="20"/>
                <w:szCs w:val="20"/>
              </w:rPr>
            </w:pPr>
            <w:r w:rsidRPr="00BD4B03">
              <w:rPr>
                <w:b/>
              </w:rPr>
              <w:t>Grado Final</w:t>
            </w:r>
          </w:p>
        </w:tc>
      </w:tr>
      <w:tr w:rsidR="00852BE0" w:rsidRPr="00545ACF" w14:paraId="51C2863E" w14:textId="77777777" w:rsidTr="00BD4B03">
        <w:trPr>
          <w:jc w:val="center"/>
        </w:trPr>
        <w:tc>
          <w:tcPr>
            <w:tcW w:w="425" w:type="dxa"/>
            <w:vMerge w:val="restart"/>
            <w:shd w:val="clear" w:color="auto" w:fill="FFFF00"/>
            <w:vAlign w:val="center"/>
          </w:tcPr>
          <w:p w14:paraId="2A4BD61F" w14:textId="362DFE45" w:rsidR="00852BE0" w:rsidRPr="00545ACF" w:rsidRDefault="00852BE0" w:rsidP="00F030C2">
            <w:pPr>
              <w:spacing w:after="0" w:line="240" w:lineRule="auto"/>
              <w:jc w:val="center"/>
              <w:rPr>
                <w:rFonts w:ascii="Times New Roman" w:hAnsi="Times New Roman" w:cs="Times New Roman"/>
                <w:b/>
                <w:bCs/>
                <w:iCs/>
                <w:sz w:val="20"/>
                <w:szCs w:val="20"/>
              </w:rPr>
            </w:pPr>
            <w:r w:rsidRPr="00545ACF">
              <w:rPr>
                <w:rFonts w:ascii="Times New Roman" w:hAnsi="Times New Roman" w:cs="Times New Roman"/>
                <w:b/>
                <w:bCs/>
                <w:iCs/>
                <w:sz w:val="20"/>
                <w:szCs w:val="20"/>
              </w:rPr>
              <w:t>1</w:t>
            </w:r>
          </w:p>
        </w:tc>
        <w:tc>
          <w:tcPr>
            <w:tcW w:w="1555" w:type="dxa"/>
            <w:vMerge w:val="restart"/>
            <w:shd w:val="clear" w:color="auto" w:fill="auto"/>
            <w:vAlign w:val="center"/>
          </w:tcPr>
          <w:p w14:paraId="7E84B9C5" w14:textId="77777777" w:rsidR="00BD4B03" w:rsidRDefault="00BD4B03" w:rsidP="00F030C2">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M1</w:t>
            </w:r>
          </w:p>
          <w:p w14:paraId="3A622A25" w14:textId="208FE155" w:rsidR="00852BE0" w:rsidRPr="00545ACF" w:rsidRDefault="00852BE0" w:rsidP="00F030C2">
            <w:pPr>
              <w:spacing w:after="0" w:line="240" w:lineRule="auto"/>
              <w:jc w:val="center"/>
              <w:rPr>
                <w:rFonts w:ascii="Times New Roman" w:hAnsi="Times New Roman" w:cs="Times New Roman"/>
                <w:i/>
                <w:sz w:val="20"/>
                <w:szCs w:val="20"/>
              </w:rPr>
            </w:pPr>
            <w:r w:rsidRPr="00545ACF">
              <w:rPr>
                <w:rFonts w:ascii="Times New Roman" w:hAnsi="Times New Roman" w:cs="Times New Roman"/>
                <w:b/>
                <w:bCs/>
                <w:iCs/>
                <w:sz w:val="20"/>
                <w:szCs w:val="20"/>
              </w:rPr>
              <w:t>Insuficiente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conocimiento</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la</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disponibilidad</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inadecuada</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gestión</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los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Recursos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Hídricos</w:t>
            </w:r>
            <w:r w:rsidRPr="00545ACF">
              <w:rPr>
                <w:rFonts w:ascii="Times New Roman" w:hAnsi="Times New Roman" w:cs="Times New Roman"/>
                <w:i/>
                <w:sz w:val="20"/>
                <w:szCs w:val="20"/>
              </w:rPr>
              <w:t>.</w:t>
            </w:r>
          </w:p>
        </w:tc>
        <w:tc>
          <w:tcPr>
            <w:tcW w:w="1984" w:type="dxa"/>
            <w:vAlign w:val="center"/>
          </w:tcPr>
          <w:p w14:paraId="62F7A0D6"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5</w:t>
            </w:r>
          </w:p>
        </w:tc>
        <w:tc>
          <w:tcPr>
            <w:tcW w:w="1984" w:type="dxa"/>
            <w:vAlign w:val="center"/>
          </w:tcPr>
          <w:p w14:paraId="50E211F3"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5</w:t>
            </w:r>
          </w:p>
        </w:tc>
        <w:tc>
          <w:tcPr>
            <w:tcW w:w="1985" w:type="dxa"/>
            <w:vAlign w:val="center"/>
          </w:tcPr>
          <w:p w14:paraId="0BD779D0"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5</w:t>
            </w:r>
          </w:p>
        </w:tc>
        <w:tc>
          <w:tcPr>
            <w:tcW w:w="2126" w:type="dxa"/>
            <w:vAlign w:val="center"/>
          </w:tcPr>
          <w:p w14:paraId="6468CE91"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w:t>
            </w:r>
          </w:p>
        </w:tc>
        <w:tc>
          <w:tcPr>
            <w:tcW w:w="851" w:type="dxa"/>
            <w:vAlign w:val="center"/>
          </w:tcPr>
          <w:p w14:paraId="23C97EBF"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19</w:t>
            </w:r>
          </w:p>
        </w:tc>
        <w:tc>
          <w:tcPr>
            <w:tcW w:w="2268" w:type="dxa"/>
            <w:vAlign w:val="center"/>
          </w:tcPr>
          <w:p w14:paraId="041038B6"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w:t>
            </w:r>
          </w:p>
        </w:tc>
        <w:tc>
          <w:tcPr>
            <w:tcW w:w="573" w:type="dxa"/>
            <w:vAlign w:val="center"/>
          </w:tcPr>
          <w:p w14:paraId="7D5C50FD"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w:t>
            </w:r>
          </w:p>
        </w:tc>
        <w:tc>
          <w:tcPr>
            <w:tcW w:w="845" w:type="dxa"/>
            <w:vAlign w:val="center"/>
          </w:tcPr>
          <w:p w14:paraId="599C06ED"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19</w:t>
            </w:r>
          </w:p>
        </w:tc>
      </w:tr>
      <w:tr w:rsidR="00852BE0" w:rsidRPr="00545ACF" w14:paraId="79F9702A" w14:textId="77777777" w:rsidTr="00BD4B03">
        <w:trPr>
          <w:jc w:val="center"/>
        </w:trPr>
        <w:tc>
          <w:tcPr>
            <w:tcW w:w="425" w:type="dxa"/>
            <w:vMerge/>
            <w:vAlign w:val="center"/>
          </w:tcPr>
          <w:p w14:paraId="2EA4D1B1" w14:textId="44D7A796" w:rsidR="00852BE0" w:rsidRPr="00545ACF" w:rsidRDefault="00852BE0" w:rsidP="00F030C2">
            <w:pPr>
              <w:spacing w:after="0" w:line="240" w:lineRule="auto"/>
              <w:jc w:val="center"/>
              <w:rPr>
                <w:rFonts w:ascii="Times New Roman" w:hAnsi="Times New Roman" w:cs="Times New Roman"/>
                <w:sz w:val="20"/>
                <w:szCs w:val="20"/>
              </w:rPr>
            </w:pPr>
          </w:p>
        </w:tc>
        <w:tc>
          <w:tcPr>
            <w:tcW w:w="1555" w:type="dxa"/>
            <w:vMerge/>
            <w:vAlign w:val="center"/>
          </w:tcPr>
          <w:p w14:paraId="040D2CA0" w14:textId="77777777" w:rsidR="00852BE0" w:rsidRPr="00545ACF" w:rsidRDefault="00852BE0" w:rsidP="00F030C2">
            <w:pPr>
              <w:spacing w:after="0" w:line="240" w:lineRule="auto"/>
              <w:jc w:val="center"/>
              <w:rPr>
                <w:rFonts w:ascii="Times New Roman" w:hAnsi="Times New Roman" w:cs="Times New Roman"/>
                <w:sz w:val="20"/>
                <w:szCs w:val="20"/>
              </w:rPr>
            </w:pPr>
          </w:p>
        </w:tc>
        <w:tc>
          <w:tcPr>
            <w:tcW w:w="1984" w:type="dxa"/>
            <w:vAlign w:val="center"/>
          </w:tcPr>
          <w:p w14:paraId="0875A7E2" w14:textId="2918AE65"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disponibilidad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cápita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países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w:t>
            </w:r>
            <w:r w:rsidR="00BC37D5" w:rsidRPr="00BD4B03">
              <w:rPr>
                <w:rFonts w:ascii="Times New Roman" w:hAnsi="Times New Roman" w:cs="Times New Roman"/>
                <w:sz w:val="18"/>
                <w:szCs w:val="18"/>
              </w:rPr>
              <w:t>y</w:t>
            </w:r>
            <w:r w:rsidRPr="00BD4B03">
              <w:rPr>
                <w:rFonts w:ascii="Times New Roman" w:hAnsi="Times New Roman" w:cs="Times New Roman"/>
                <w:sz w:val="18"/>
                <w:szCs w:val="18"/>
              </w:rPr>
              <w:t>C,</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factor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clave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desarrollo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humano,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decrece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forma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continuada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desde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hace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varias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décadas,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limitando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muchos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casos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desarrollo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económico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afectando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salud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humana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ecosistemas.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falta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políticas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sostenibles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gestión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basadas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estudios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hidrológicos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integrales,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hace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problema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acceso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perciba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fuente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conflictos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futuro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inmediato.</w:t>
            </w:r>
          </w:p>
        </w:tc>
        <w:tc>
          <w:tcPr>
            <w:tcW w:w="1984" w:type="dxa"/>
            <w:vAlign w:val="center"/>
          </w:tcPr>
          <w:p w14:paraId="24B62D98" w14:textId="72CED2B1"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países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00C54B63" w:rsidRPr="00BD4B03">
              <w:rPr>
                <w:rFonts w:ascii="Times New Roman" w:hAnsi="Times New Roman" w:cs="Times New Roman"/>
                <w:sz w:val="18"/>
                <w:szCs w:val="18"/>
              </w:rPr>
              <w:t>AL</w:t>
            </w:r>
            <w:r w:rsidR="00BC37D5" w:rsidRPr="00BD4B03">
              <w:rPr>
                <w:rFonts w:ascii="Times New Roman" w:hAnsi="Times New Roman" w:cs="Times New Roman"/>
                <w:sz w:val="18"/>
                <w:szCs w:val="18"/>
              </w:rPr>
              <w:t>y</w:t>
            </w:r>
            <w:r w:rsidR="00C54B63" w:rsidRPr="00BD4B03">
              <w:rPr>
                <w:rFonts w:ascii="Times New Roman" w:hAnsi="Times New Roman" w:cs="Times New Roman"/>
                <w:sz w:val="18"/>
                <w:szCs w:val="18"/>
              </w:rPr>
              <w:t>C</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enfrentan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problemas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puntuales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proporcionar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forma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continuada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población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satisfacer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así</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creciente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demanda,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ligada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desarrollo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económico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incremento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población.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escenarios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cambio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climático,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aumento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fenómenos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meteorológicos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extremos,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indican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situación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acceso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probablemente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empeorará</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medio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largo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plazo.</w:t>
            </w:r>
          </w:p>
        </w:tc>
        <w:tc>
          <w:tcPr>
            <w:tcW w:w="1985" w:type="dxa"/>
            <w:vAlign w:val="center"/>
          </w:tcPr>
          <w:p w14:paraId="7BFFE54D" w14:textId="7928CC89"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Todos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países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ALC</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afrontan,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diverso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grado,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problemas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más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menos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graves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relacionados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disponibilidad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continua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recurso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hídrico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cubrir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necesidades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abastecimiento,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producción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alimentos,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industria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mantenimiento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ecosistemas</w:t>
            </w:r>
          </w:p>
        </w:tc>
        <w:tc>
          <w:tcPr>
            <w:tcW w:w="2126" w:type="dxa"/>
            <w:vAlign w:val="center"/>
          </w:tcPr>
          <w:p w14:paraId="230CA6F2" w14:textId="621BC9EE"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integrado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técnicas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nucleares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isotópicas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(junto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otras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herramientas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hidrológicas)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evaluación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sistemas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superficiales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subterráneas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proporciona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información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indispensable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adopción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medidas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gestión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sostenible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recurso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hídrico</w:t>
            </w:r>
          </w:p>
        </w:tc>
        <w:tc>
          <w:tcPr>
            <w:tcW w:w="851" w:type="dxa"/>
            <w:vAlign w:val="center"/>
          </w:tcPr>
          <w:p w14:paraId="376D6203" w14:textId="77777777" w:rsidR="00852BE0" w:rsidRPr="00BD4B03" w:rsidRDefault="00852BE0" w:rsidP="00F030C2">
            <w:pPr>
              <w:spacing w:after="0" w:line="240" w:lineRule="auto"/>
              <w:jc w:val="center"/>
              <w:rPr>
                <w:rFonts w:ascii="Times New Roman" w:hAnsi="Times New Roman" w:cs="Times New Roman"/>
                <w:sz w:val="18"/>
                <w:szCs w:val="18"/>
              </w:rPr>
            </w:pPr>
          </w:p>
        </w:tc>
        <w:tc>
          <w:tcPr>
            <w:tcW w:w="2268" w:type="dxa"/>
            <w:vAlign w:val="center"/>
          </w:tcPr>
          <w:p w14:paraId="7A55ED98" w14:textId="7DA08D11"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Si</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bien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generación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información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planes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gestión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formulados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región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mostrado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gran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avance,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impacto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positivo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implementación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mismos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necesita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mayor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involucramiento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actores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gubernamentales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poder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toma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decisión.</w:t>
            </w:r>
          </w:p>
        </w:tc>
        <w:tc>
          <w:tcPr>
            <w:tcW w:w="573" w:type="dxa"/>
            <w:vAlign w:val="center"/>
          </w:tcPr>
          <w:p w14:paraId="4D88DE9F" w14:textId="77777777" w:rsidR="00852BE0" w:rsidRPr="00545ACF" w:rsidRDefault="00852BE0" w:rsidP="00F030C2">
            <w:pPr>
              <w:spacing w:after="0" w:line="240" w:lineRule="auto"/>
              <w:jc w:val="center"/>
              <w:rPr>
                <w:rFonts w:ascii="Times New Roman" w:hAnsi="Times New Roman" w:cs="Times New Roman"/>
                <w:sz w:val="20"/>
                <w:szCs w:val="20"/>
              </w:rPr>
            </w:pPr>
          </w:p>
        </w:tc>
        <w:tc>
          <w:tcPr>
            <w:tcW w:w="845" w:type="dxa"/>
            <w:vAlign w:val="center"/>
          </w:tcPr>
          <w:p w14:paraId="16D16416" w14:textId="77777777" w:rsidR="00852BE0" w:rsidRPr="00545ACF" w:rsidRDefault="00852BE0" w:rsidP="00F030C2">
            <w:pPr>
              <w:spacing w:after="0" w:line="240" w:lineRule="auto"/>
              <w:jc w:val="center"/>
              <w:rPr>
                <w:rFonts w:ascii="Times New Roman" w:hAnsi="Times New Roman" w:cs="Times New Roman"/>
                <w:sz w:val="20"/>
                <w:szCs w:val="20"/>
              </w:rPr>
            </w:pPr>
          </w:p>
        </w:tc>
      </w:tr>
      <w:tr w:rsidR="00852BE0" w:rsidRPr="00545ACF" w14:paraId="11A3667C" w14:textId="77777777" w:rsidTr="00BD4B03">
        <w:trPr>
          <w:jc w:val="center"/>
        </w:trPr>
        <w:tc>
          <w:tcPr>
            <w:tcW w:w="425" w:type="dxa"/>
            <w:vMerge w:val="restart"/>
            <w:shd w:val="clear" w:color="auto" w:fill="FFFF00"/>
            <w:vAlign w:val="center"/>
          </w:tcPr>
          <w:p w14:paraId="7150E2BB" w14:textId="1D8078B5" w:rsidR="00852BE0" w:rsidRPr="00545ACF" w:rsidRDefault="00852BE0" w:rsidP="00F030C2">
            <w:pPr>
              <w:spacing w:after="0" w:line="240" w:lineRule="auto"/>
              <w:jc w:val="center"/>
              <w:rPr>
                <w:rFonts w:ascii="Times New Roman" w:hAnsi="Times New Roman" w:cs="Times New Roman"/>
                <w:b/>
                <w:bCs/>
                <w:iCs/>
                <w:sz w:val="20"/>
                <w:szCs w:val="20"/>
              </w:rPr>
            </w:pPr>
            <w:r w:rsidRPr="00545ACF">
              <w:rPr>
                <w:rFonts w:ascii="Times New Roman" w:hAnsi="Times New Roman" w:cs="Times New Roman"/>
                <w:b/>
                <w:bCs/>
                <w:iCs/>
                <w:sz w:val="20"/>
                <w:szCs w:val="20"/>
              </w:rPr>
              <w:t>2</w:t>
            </w:r>
          </w:p>
        </w:tc>
        <w:tc>
          <w:tcPr>
            <w:tcW w:w="1555" w:type="dxa"/>
            <w:vMerge w:val="restart"/>
            <w:shd w:val="clear" w:color="auto" w:fill="auto"/>
            <w:vAlign w:val="center"/>
          </w:tcPr>
          <w:p w14:paraId="64A370D9" w14:textId="77777777" w:rsidR="00BD4B03" w:rsidRDefault="00BD4B03" w:rsidP="00F030C2">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M2</w:t>
            </w:r>
          </w:p>
          <w:p w14:paraId="47171A4B" w14:textId="2D6501AE" w:rsidR="00852BE0" w:rsidRPr="00545ACF" w:rsidRDefault="00852BE0" w:rsidP="00F030C2">
            <w:pPr>
              <w:spacing w:after="0" w:line="240" w:lineRule="auto"/>
              <w:jc w:val="center"/>
              <w:rPr>
                <w:rFonts w:ascii="Times New Roman" w:hAnsi="Times New Roman" w:cs="Times New Roman"/>
                <w:i/>
                <w:sz w:val="20"/>
                <w:szCs w:val="20"/>
              </w:rPr>
            </w:pPr>
            <w:r w:rsidRPr="00545ACF">
              <w:rPr>
                <w:rFonts w:ascii="Times New Roman" w:hAnsi="Times New Roman" w:cs="Times New Roman"/>
                <w:b/>
                <w:bCs/>
                <w:iCs/>
                <w:sz w:val="20"/>
                <w:szCs w:val="20"/>
              </w:rPr>
              <w:t>Insuficiente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conocimiento</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sobre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la</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calidad</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agua</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y</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las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posibles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fuentes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que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contribuyen</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a</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su</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contaminación.</w:t>
            </w:r>
          </w:p>
        </w:tc>
        <w:tc>
          <w:tcPr>
            <w:tcW w:w="1984" w:type="dxa"/>
            <w:vAlign w:val="center"/>
          </w:tcPr>
          <w:p w14:paraId="5C587A8C"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4,5</w:t>
            </w:r>
          </w:p>
        </w:tc>
        <w:tc>
          <w:tcPr>
            <w:tcW w:w="1984" w:type="dxa"/>
            <w:vAlign w:val="center"/>
          </w:tcPr>
          <w:p w14:paraId="49623BC1"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5</w:t>
            </w:r>
          </w:p>
        </w:tc>
        <w:tc>
          <w:tcPr>
            <w:tcW w:w="1985" w:type="dxa"/>
            <w:vAlign w:val="center"/>
          </w:tcPr>
          <w:p w14:paraId="589B2E5C"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5</w:t>
            </w:r>
          </w:p>
        </w:tc>
        <w:tc>
          <w:tcPr>
            <w:tcW w:w="2126" w:type="dxa"/>
            <w:vAlign w:val="center"/>
          </w:tcPr>
          <w:p w14:paraId="544E51B1"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3,5</w:t>
            </w:r>
          </w:p>
        </w:tc>
        <w:tc>
          <w:tcPr>
            <w:tcW w:w="851" w:type="dxa"/>
            <w:vAlign w:val="center"/>
          </w:tcPr>
          <w:p w14:paraId="5BA0DE12"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18</w:t>
            </w:r>
          </w:p>
        </w:tc>
        <w:tc>
          <w:tcPr>
            <w:tcW w:w="2268" w:type="dxa"/>
            <w:vAlign w:val="center"/>
          </w:tcPr>
          <w:p w14:paraId="45745286"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3</w:t>
            </w:r>
          </w:p>
        </w:tc>
        <w:tc>
          <w:tcPr>
            <w:tcW w:w="573" w:type="dxa"/>
            <w:vAlign w:val="center"/>
          </w:tcPr>
          <w:p w14:paraId="1A8EAD6F"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1,17</w:t>
            </w:r>
          </w:p>
        </w:tc>
        <w:tc>
          <w:tcPr>
            <w:tcW w:w="845" w:type="dxa"/>
            <w:vAlign w:val="center"/>
          </w:tcPr>
          <w:p w14:paraId="6EA02B20"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21</w:t>
            </w:r>
          </w:p>
        </w:tc>
      </w:tr>
      <w:tr w:rsidR="00852BE0" w:rsidRPr="00545ACF" w14:paraId="6AAFBE2F" w14:textId="77777777" w:rsidTr="00BD4B03">
        <w:trPr>
          <w:jc w:val="center"/>
        </w:trPr>
        <w:tc>
          <w:tcPr>
            <w:tcW w:w="425" w:type="dxa"/>
            <w:vMerge/>
            <w:vAlign w:val="center"/>
          </w:tcPr>
          <w:p w14:paraId="449F6043" w14:textId="6D2D1E67" w:rsidR="00852BE0" w:rsidRPr="00545ACF" w:rsidRDefault="00852BE0" w:rsidP="00F030C2">
            <w:pPr>
              <w:spacing w:after="0" w:line="240" w:lineRule="auto"/>
              <w:jc w:val="center"/>
              <w:rPr>
                <w:rFonts w:ascii="Times New Roman" w:hAnsi="Times New Roman" w:cs="Times New Roman"/>
                <w:sz w:val="20"/>
                <w:szCs w:val="20"/>
              </w:rPr>
            </w:pPr>
          </w:p>
        </w:tc>
        <w:tc>
          <w:tcPr>
            <w:tcW w:w="1555" w:type="dxa"/>
            <w:vMerge/>
            <w:vAlign w:val="center"/>
          </w:tcPr>
          <w:p w14:paraId="313CD38A" w14:textId="77777777" w:rsidR="00852BE0" w:rsidRPr="00545ACF" w:rsidRDefault="00852BE0" w:rsidP="00F030C2">
            <w:pPr>
              <w:spacing w:after="0" w:line="240" w:lineRule="auto"/>
              <w:jc w:val="center"/>
              <w:rPr>
                <w:rFonts w:ascii="Times New Roman" w:hAnsi="Times New Roman" w:cs="Times New Roman"/>
                <w:sz w:val="20"/>
                <w:szCs w:val="20"/>
              </w:rPr>
            </w:pPr>
          </w:p>
        </w:tc>
        <w:tc>
          <w:tcPr>
            <w:tcW w:w="1984" w:type="dxa"/>
            <w:vAlign w:val="center"/>
          </w:tcPr>
          <w:p w14:paraId="6E155693" w14:textId="148FA1B3" w:rsidR="00852BE0" w:rsidRPr="00BD4B03" w:rsidRDefault="00852BE0" w:rsidP="00BD4B03">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Junto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problemas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disponibilidad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preocupación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creciente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gestores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recurso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hídrico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muchas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actividades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humanas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traducen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deterioro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creciente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misma,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exposición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cuerpos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número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creciente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lastRenderedPageBreak/>
              <w:t>contaminantes.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traduce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desarrollo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económico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limitado,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problemas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salud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humana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impacto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negativo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biodiversidad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ecosistemas.</w:t>
            </w:r>
          </w:p>
        </w:tc>
        <w:tc>
          <w:tcPr>
            <w:tcW w:w="1984" w:type="dxa"/>
            <w:vAlign w:val="center"/>
          </w:tcPr>
          <w:p w14:paraId="43A73A11" w14:textId="051272DB"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lastRenderedPageBreak/>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explotación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intensiva,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tanto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fuentes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superficiales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subterráneas,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junto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aumento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población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desarrollo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económico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conducido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w:t>
            </w:r>
            <w:r w:rsidR="00BC37D5" w:rsidRPr="00BD4B03">
              <w:rPr>
                <w:rFonts w:ascii="Times New Roman" w:hAnsi="Times New Roman" w:cs="Times New Roman"/>
                <w:sz w:val="18"/>
                <w:szCs w:val="18"/>
              </w:rPr>
              <w:t>y</w:t>
            </w:r>
            <w:r w:rsidRPr="00BD4B03">
              <w:rPr>
                <w:rFonts w:ascii="Times New Roman" w:hAnsi="Times New Roman" w:cs="Times New Roman"/>
                <w:sz w:val="18"/>
                <w:szCs w:val="18"/>
              </w:rPr>
              <w:t>C</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deterioro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progresivo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recurso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haciendo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cada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vez</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más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difícil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autoridades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lastRenderedPageBreak/>
              <w:t>proporcionar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buena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cubrir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todas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necesidades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población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ecosistemas.</w:t>
            </w:r>
          </w:p>
        </w:tc>
        <w:tc>
          <w:tcPr>
            <w:tcW w:w="1985" w:type="dxa"/>
            <w:vAlign w:val="center"/>
          </w:tcPr>
          <w:p w14:paraId="016B70FA" w14:textId="77637152"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lastRenderedPageBreak/>
              <w:t>Todos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países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ALC</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afrontan,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diverso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grado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escala,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problemas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relacionados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deterioro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recurso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hídrico,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implicando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numerosas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fuentes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naturales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antrópicas.</w:t>
            </w:r>
          </w:p>
        </w:tc>
        <w:tc>
          <w:tcPr>
            <w:tcW w:w="2126" w:type="dxa"/>
            <w:vAlign w:val="center"/>
          </w:tcPr>
          <w:p w14:paraId="11D9CF49" w14:textId="4FE9F4BC"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técnicas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nucleares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isotópicas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permiten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obtener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información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esencial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sobre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fuentes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procesos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físico-químicos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afectan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salubridad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permitiendo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llevar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cabo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medidas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correctoras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paliativas.</w:t>
            </w:r>
          </w:p>
        </w:tc>
        <w:tc>
          <w:tcPr>
            <w:tcW w:w="851" w:type="dxa"/>
            <w:vAlign w:val="center"/>
          </w:tcPr>
          <w:p w14:paraId="6BF1DA4A" w14:textId="77777777" w:rsidR="00852BE0" w:rsidRPr="00BD4B03" w:rsidRDefault="00852BE0" w:rsidP="00F030C2">
            <w:pPr>
              <w:spacing w:after="0" w:line="240" w:lineRule="auto"/>
              <w:jc w:val="center"/>
              <w:rPr>
                <w:rFonts w:ascii="Times New Roman" w:hAnsi="Times New Roman" w:cs="Times New Roman"/>
                <w:sz w:val="18"/>
                <w:szCs w:val="18"/>
              </w:rPr>
            </w:pPr>
          </w:p>
        </w:tc>
        <w:tc>
          <w:tcPr>
            <w:tcW w:w="2268" w:type="dxa"/>
            <w:vAlign w:val="center"/>
          </w:tcPr>
          <w:p w14:paraId="38504C1F" w14:textId="0BAA5CAF"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infraestructura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recursos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humanos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capacitados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análisis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identificación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potenciales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fuentes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presentan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disparidad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entre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países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región.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todos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datos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obtenidos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laboratorios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operan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sistemas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gestión,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son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comparable.</w:t>
            </w:r>
          </w:p>
        </w:tc>
        <w:tc>
          <w:tcPr>
            <w:tcW w:w="573" w:type="dxa"/>
            <w:vAlign w:val="center"/>
          </w:tcPr>
          <w:p w14:paraId="7B850D76" w14:textId="77777777" w:rsidR="00852BE0" w:rsidRPr="00545ACF" w:rsidRDefault="00852BE0" w:rsidP="00F030C2">
            <w:pPr>
              <w:spacing w:after="0" w:line="240" w:lineRule="auto"/>
              <w:jc w:val="center"/>
              <w:rPr>
                <w:rFonts w:ascii="Times New Roman" w:hAnsi="Times New Roman" w:cs="Times New Roman"/>
                <w:sz w:val="20"/>
                <w:szCs w:val="20"/>
              </w:rPr>
            </w:pPr>
          </w:p>
        </w:tc>
        <w:tc>
          <w:tcPr>
            <w:tcW w:w="845" w:type="dxa"/>
            <w:vAlign w:val="center"/>
          </w:tcPr>
          <w:p w14:paraId="3A625DA8" w14:textId="77777777" w:rsidR="00852BE0" w:rsidRPr="00545ACF" w:rsidRDefault="00852BE0" w:rsidP="00F030C2">
            <w:pPr>
              <w:spacing w:after="0" w:line="240" w:lineRule="auto"/>
              <w:jc w:val="center"/>
              <w:rPr>
                <w:rFonts w:ascii="Times New Roman" w:hAnsi="Times New Roman" w:cs="Times New Roman"/>
                <w:sz w:val="20"/>
                <w:szCs w:val="20"/>
              </w:rPr>
            </w:pPr>
          </w:p>
        </w:tc>
      </w:tr>
      <w:tr w:rsidR="00852BE0" w:rsidRPr="00545ACF" w14:paraId="597F4A60" w14:textId="77777777" w:rsidTr="00BD4B03">
        <w:trPr>
          <w:jc w:val="center"/>
        </w:trPr>
        <w:tc>
          <w:tcPr>
            <w:tcW w:w="425" w:type="dxa"/>
            <w:vMerge w:val="restart"/>
            <w:shd w:val="clear" w:color="auto" w:fill="FFFF00"/>
            <w:vAlign w:val="center"/>
          </w:tcPr>
          <w:p w14:paraId="73200E34" w14:textId="76F452FF" w:rsidR="00852BE0" w:rsidRPr="00545ACF" w:rsidRDefault="00852BE0" w:rsidP="00F030C2">
            <w:pPr>
              <w:spacing w:after="0" w:line="240" w:lineRule="auto"/>
              <w:jc w:val="center"/>
              <w:rPr>
                <w:rFonts w:ascii="Times New Roman" w:hAnsi="Times New Roman" w:cs="Times New Roman"/>
                <w:b/>
                <w:bCs/>
                <w:iCs/>
                <w:sz w:val="20"/>
                <w:szCs w:val="20"/>
              </w:rPr>
            </w:pPr>
            <w:r w:rsidRPr="00545ACF">
              <w:rPr>
                <w:rFonts w:ascii="Times New Roman" w:hAnsi="Times New Roman" w:cs="Times New Roman"/>
                <w:b/>
                <w:bCs/>
                <w:iCs/>
                <w:sz w:val="20"/>
                <w:szCs w:val="20"/>
              </w:rPr>
              <w:t>3</w:t>
            </w:r>
          </w:p>
        </w:tc>
        <w:tc>
          <w:tcPr>
            <w:tcW w:w="1555" w:type="dxa"/>
            <w:vMerge w:val="restart"/>
            <w:shd w:val="clear" w:color="auto" w:fill="auto"/>
            <w:vAlign w:val="center"/>
          </w:tcPr>
          <w:p w14:paraId="1620EAF6" w14:textId="77777777" w:rsidR="00BD4B03" w:rsidRDefault="00BD4B03" w:rsidP="00F030C2">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M3</w:t>
            </w:r>
          </w:p>
          <w:p w14:paraId="2FCDC7C5" w14:textId="1E10C922" w:rsidR="00852BE0" w:rsidRPr="00545ACF" w:rsidRDefault="00852BE0" w:rsidP="00F030C2">
            <w:pPr>
              <w:spacing w:after="0" w:line="240" w:lineRule="auto"/>
              <w:jc w:val="center"/>
              <w:rPr>
                <w:rFonts w:ascii="Times New Roman" w:hAnsi="Times New Roman" w:cs="Times New Roman"/>
                <w:b/>
                <w:bCs/>
                <w:iCs/>
                <w:sz w:val="20"/>
                <w:szCs w:val="20"/>
              </w:rPr>
            </w:pPr>
            <w:r w:rsidRPr="00545ACF">
              <w:rPr>
                <w:rFonts w:ascii="Times New Roman" w:hAnsi="Times New Roman" w:cs="Times New Roman"/>
                <w:b/>
                <w:bCs/>
                <w:iCs/>
                <w:sz w:val="20"/>
                <w:szCs w:val="20"/>
              </w:rPr>
              <w:t>Insuficiente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conocimiento</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los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principales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procesos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que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afectan</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las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zonas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costeras,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océanos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y</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los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recursos</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marinos.</w:t>
            </w:r>
          </w:p>
        </w:tc>
        <w:tc>
          <w:tcPr>
            <w:tcW w:w="1984" w:type="dxa"/>
            <w:vAlign w:val="center"/>
          </w:tcPr>
          <w:p w14:paraId="0475932E"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4,5</w:t>
            </w:r>
          </w:p>
        </w:tc>
        <w:tc>
          <w:tcPr>
            <w:tcW w:w="1984" w:type="dxa"/>
            <w:vAlign w:val="center"/>
          </w:tcPr>
          <w:p w14:paraId="2D9C118C"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4,75</w:t>
            </w:r>
          </w:p>
        </w:tc>
        <w:tc>
          <w:tcPr>
            <w:tcW w:w="1985" w:type="dxa"/>
            <w:vAlign w:val="center"/>
          </w:tcPr>
          <w:p w14:paraId="5759E66C"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4,5</w:t>
            </w:r>
          </w:p>
        </w:tc>
        <w:tc>
          <w:tcPr>
            <w:tcW w:w="2126" w:type="dxa"/>
            <w:vAlign w:val="center"/>
          </w:tcPr>
          <w:p w14:paraId="2EE9B0C6"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3,5</w:t>
            </w:r>
          </w:p>
        </w:tc>
        <w:tc>
          <w:tcPr>
            <w:tcW w:w="851" w:type="dxa"/>
            <w:vAlign w:val="center"/>
          </w:tcPr>
          <w:p w14:paraId="562F7937"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17,25</w:t>
            </w:r>
          </w:p>
        </w:tc>
        <w:tc>
          <w:tcPr>
            <w:tcW w:w="2268" w:type="dxa"/>
            <w:vAlign w:val="center"/>
          </w:tcPr>
          <w:p w14:paraId="764A1249"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3</w:t>
            </w:r>
          </w:p>
        </w:tc>
        <w:tc>
          <w:tcPr>
            <w:tcW w:w="573" w:type="dxa"/>
            <w:vAlign w:val="center"/>
          </w:tcPr>
          <w:p w14:paraId="12AC7C86"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1,17</w:t>
            </w:r>
          </w:p>
        </w:tc>
        <w:tc>
          <w:tcPr>
            <w:tcW w:w="845" w:type="dxa"/>
            <w:vAlign w:val="center"/>
          </w:tcPr>
          <w:p w14:paraId="7E31D9D9"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20,48</w:t>
            </w:r>
          </w:p>
        </w:tc>
      </w:tr>
      <w:tr w:rsidR="00852BE0" w:rsidRPr="00545ACF" w14:paraId="0AA008D1" w14:textId="77777777" w:rsidTr="00BD4B03">
        <w:trPr>
          <w:jc w:val="center"/>
        </w:trPr>
        <w:tc>
          <w:tcPr>
            <w:tcW w:w="425" w:type="dxa"/>
            <w:vMerge/>
            <w:vAlign w:val="center"/>
          </w:tcPr>
          <w:p w14:paraId="03551820" w14:textId="07E2AF9E" w:rsidR="00852BE0" w:rsidRPr="00545ACF" w:rsidRDefault="00852BE0" w:rsidP="00F030C2">
            <w:pPr>
              <w:spacing w:after="0" w:line="240" w:lineRule="auto"/>
              <w:jc w:val="center"/>
              <w:rPr>
                <w:rFonts w:ascii="Times New Roman" w:hAnsi="Times New Roman" w:cs="Times New Roman"/>
                <w:sz w:val="20"/>
                <w:szCs w:val="20"/>
              </w:rPr>
            </w:pPr>
          </w:p>
        </w:tc>
        <w:tc>
          <w:tcPr>
            <w:tcW w:w="1555" w:type="dxa"/>
            <w:vMerge/>
            <w:vAlign w:val="center"/>
          </w:tcPr>
          <w:p w14:paraId="728B2F88" w14:textId="77777777" w:rsidR="00852BE0" w:rsidRPr="00545ACF" w:rsidRDefault="00852BE0" w:rsidP="00F030C2">
            <w:pPr>
              <w:spacing w:after="0" w:line="240" w:lineRule="auto"/>
              <w:jc w:val="center"/>
              <w:rPr>
                <w:rFonts w:ascii="Times New Roman" w:hAnsi="Times New Roman" w:cs="Times New Roman"/>
                <w:sz w:val="20"/>
                <w:szCs w:val="20"/>
              </w:rPr>
            </w:pPr>
          </w:p>
        </w:tc>
        <w:tc>
          <w:tcPr>
            <w:tcW w:w="1984" w:type="dxa"/>
            <w:vAlign w:val="center"/>
          </w:tcPr>
          <w:p w14:paraId="60AB5F2E" w14:textId="30BCB557"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actualidad,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produce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continuo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deterioro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zonas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marino-costeras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(70000</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km)</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22</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países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región,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provocan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perdidas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hábitat,</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biodiversidad,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servicios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ecosistémicos,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impactos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negativos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turismo,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pesca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seguridad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alimentaria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región.</w:t>
            </w:r>
          </w:p>
        </w:tc>
        <w:tc>
          <w:tcPr>
            <w:tcW w:w="1984" w:type="dxa"/>
            <w:vAlign w:val="center"/>
          </w:tcPr>
          <w:p w14:paraId="296F5256" w14:textId="01AEFE26"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degradación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zona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costera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incrementa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rápidamente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solo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actividad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antrópica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sino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efectos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cambio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climático,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hace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necesario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tomar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acciones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urgentes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permitan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avanzar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comprensión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fenómenos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generar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información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generar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planes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manejo,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adaptación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mitigación.</w:t>
            </w:r>
          </w:p>
        </w:tc>
        <w:tc>
          <w:tcPr>
            <w:tcW w:w="1985" w:type="dxa"/>
            <w:vAlign w:val="center"/>
          </w:tcPr>
          <w:p w14:paraId="2EB672ED" w14:textId="0C4F93AF"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zona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costera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región</w:t>
            </w:r>
            <w:r w:rsidR="00D136BB" w:rsidRPr="00BD4B03">
              <w:rPr>
                <w:rFonts w:ascii="Times New Roman" w:hAnsi="Times New Roman" w:cs="Times New Roman"/>
                <w:sz w:val="18"/>
                <w:szCs w:val="18"/>
              </w:rPr>
              <w:t xml:space="preserve"> </w:t>
            </w:r>
            <w:r w:rsidR="00BC37D5" w:rsidRPr="00BD4B03">
              <w:rPr>
                <w:rFonts w:ascii="Times New Roman" w:hAnsi="Times New Roman" w:cs="Times New Roman"/>
                <w:color w:val="000000"/>
                <w:sz w:val="18"/>
                <w:szCs w:val="18"/>
                <w:shd w:val="clear" w:color="auto" w:fill="FFFFFF"/>
              </w:rPr>
              <w:t>ALyC</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representa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60%</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territorio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22</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países.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mar</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Caribe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compartido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por</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17</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estados,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con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cual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convierten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un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ecosistema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regional.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contaminación,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FANs,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acidificación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océanos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y</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mares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son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problemáticas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comunes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todos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países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región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y</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tienen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un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alcance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transfronterizo.</w:t>
            </w:r>
          </w:p>
        </w:tc>
        <w:tc>
          <w:tcPr>
            <w:tcW w:w="2126" w:type="dxa"/>
            <w:vAlign w:val="center"/>
          </w:tcPr>
          <w:p w14:paraId="2863C517" w14:textId="5C1785C4"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color w:val="000000"/>
                <w:sz w:val="18"/>
                <w:szCs w:val="18"/>
                <w:shd w:val="clear" w:color="auto" w:fill="FFFFFF"/>
              </w:rPr>
              <w:t>Las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técnicas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nucleares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isotópicas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han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demostrado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ser</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gran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utilidad</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para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estudio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diferentes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problemas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asociados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deterioro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zona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costera,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mares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y</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océanos.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uso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radiotrazadores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ambientales,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isótopos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estables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y</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técnicas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analíticas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nucleares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son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técnicas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disponibles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accesibles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diferentes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países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región.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existencia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red</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REMARCO</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una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oportunidad</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para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región</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y</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el</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soporte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a</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los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madores</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w:t>
            </w:r>
            <w:r w:rsidR="00D136BB" w:rsidRPr="00BD4B03">
              <w:rPr>
                <w:rFonts w:ascii="Times New Roman" w:hAnsi="Times New Roman" w:cs="Times New Roman"/>
                <w:color w:val="000000"/>
                <w:sz w:val="18"/>
                <w:szCs w:val="18"/>
                <w:shd w:val="clear" w:color="auto" w:fill="FFFFFF"/>
              </w:rPr>
              <w:t xml:space="preserve"> </w:t>
            </w:r>
            <w:r w:rsidRPr="00BD4B03">
              <w:rPr>
                <w:rFonts w:ascii="Times New Roman" w:hAnsi="Times New Roman" w:cs="Times New Roman"/>
                <w:color w:val="000000"/>
                <w:sz w:val="18"/>
                <w:szCs w:val="18"/>
                <w:shd w:val="clear" w:color="auto" w:fill="FFFFFF"/>
              </w:rPr>
              <w:t>decisiones.</w:t>
            </w:r>
          </w:p>
        </w:tc>
        <w:tc>
          <w:tcPr>
            <w:tcW w:w="851" w:type="dxa"/>
            <w:vAlign w:val="center"/>
          </w:tcPr>
          <w:p w14:paraId="168CD8C7" w14:textId="77777777" w:rsidR="00852BE0" w:rsidRPr="00BD4B03" w:rsidRDefault="00852BE0" w:rsidP="00F030C2">
            <w:pPr>
              <w:spacing w:after="0" w:line="240" w:lineRule="auto"/>
              <w:jc w:val="center"/>
              <w:rPr>
                <w:rFonts w:ascii="Times New Roman" w:hAnsi="Times New Roman" w:cs="Times New Roman"/>
                <w:sz w:val="18"/>
                <w:szCs w:val="18"/>
              </w:rPr>
            </w:pPr>
          </w:p>
        </w:tc>
        <w:tc>
          <w:tcPr>
            <w:tcW w:w="2268" w:type="dxa"/>
            <w:vAlign w:val="center"/>
          </w:tcPr>
          <w:p w14:paraId="34650078" w14:textId="768CFA98"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complejidad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procesos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estudiar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requiere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elaborados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diseños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investigación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concurrencia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diferentes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técnicas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complementarias.</w:t>
            </w:r>
          </w:p>
          <w:p w14:paraId="21CFBB96" w14:textId="77777777" w:rsidR="00852BE0" w:rsidRPr="00BD4B03" w:rsidRDefault="00852BE0" w:rsidP="00F030C2">
            <w:pPr>
              <w:spacing w:after="0" w:line="240" w:lineRule="auto"/>
              <w:jc w:val="center"/>
              <w:rPr>
                <w:rFonts w:ascii="Times New Roman" w:hAnsi="Times New Roman" w:cs="Times New Roman"/>
                <w:sz w:val="18"/>
                <w:szCs w:val="18"/>
              </w:rPr>
            </w:pPr>
          </w:p>
        </w:tc>
        <w:tc>
          <w:tcPr>
            <w:tcW w:w="573" w:type="dxa"/>
            <w:vAlign w:val="center"/>
          </w:tcPr>
          <w:p w14:paraId="395C219D" w14:textId="77777777" w:rsidR="00852BE0" w:rsidRPr="00BD4B03" w:rsidRDefault="00852BE0" w:rsidP="00F030C2">
            <w:pPr>
              <w:spacing w:after="0" w:line="240" w:lineRule="auto"/>
              <w:jc w:val="center"/>
              <w:rPr>
                <w:rFonts w:ascii="Times New Roman" w:hAnsi="Times New Roman" w:cs="Times New Roman"/>
                <w:sz w:val="18"/>
                <w:szCs w:val="18"/>
              </w:rPr>
            </w:pPr>
          </w:p>
        </w:tc>
        <w:tc>
          <w:tcPr>
            <w:tcW w:w="845" w:type="dxa"/>
            <w:vAlign w:val="center"/>
          </w:tcPr>
          <w:p w14:paraId="1E825FC0" w14:textId="77777777" w:rsidR="00852BE0" w:rsidRPr="00BD4B03" w:rsidRDefault="00852BE0" w:rsidP="00F030C2">
            <w:pPr>
              <w:spacing w:after="0" w:line="240" w:lineRule="auto"/>
              <w:jc w:val="center"/>
              <w:rPr>
                <w:rFonts w:ascii="Times New Roman" w:hAnsi="Times New Roman" w:cs="Times New Roman"/>
                <w:sz w:val="18"/>
                <w:szCs w:val="18"/>
              </w:rPr>
            </w:pPr>
          </w:p>
        </w:tc>
      </w:tr>
      <w:tr w:rsidR="00BD4B03" w:rsidRPr="00545ACF" w14:paraId="564A5309" w14:textId="77777777" w:rsidTr="00BD4B03">
        <w:trPr>
          <w:jc w:val="center"/>
        </w:trPr>
        <w:tc>
          <w:tcPr>
            <w:tcW w:w="425" w:type="dxa"/>
            <w:vMerge w:val="restart"/>
            <w:shd w:val="clear" w:color="auto" w:fill="FFFF00"/>
            <w:vAlign w:val="center"/>
          </w:tcPr>
          <w:p w14:paraId="387EF904" w14:textId="417C8E67" w:rsidR="00BD4B03" w:rsidRPr="00545ACF" w:rsidRDefault="00BD4B03" w:rsidP="00F030C2">
            <w:pPr>
              <w:spacing w:after="0" w:line="240" w:lineRule="auto"/>
              <w:jc w:val="center"/>
              <w:rPr>
                <w:rFonts w:ascii="Times New Roman" w:hAnsi="Times New Roman" w:cs="Times New Roman"/>
                <w:b/>
                <w:bCs/>
                <w:iCs/>
                <w:sz w:val="20"/>
                <w:szCs w:val="20"/>
              </w:rPr>
            </w:pPr>
            <w:r w:rsidRPr="00545ACF">
              <w:rPr>
                <w:rFonts w:ascii="Times New Roman" w:hAnsi="Times New Roman" w:cs="Times New Roman"/>
                <w:b/>
                <w:bCs/>
                <w:iCs/>
                <w:sz w:val="20"/>
                <w:szCs w:val="20"/>
              </w:rPr>
              <w:t>4</w:t>
            </w:r>
          </w:p>
        </w:tc>
        <w:tc>
          <w:tcPr>
            <w:tcW w:w="1555" w:type="dxa"/>
            <w:vMerge w:val="restart"/>
            <w:shd w:val="clear" w:color="auto" w:fill="auto"/>
            <w:vAlign w:val="center"/>
          </w:tcPr>
          <w:p w14:paraId="61EAFEB3" w14:textId="0F3A0FCB" w:rsidR="00BD4B03" w:rsidRDefault="00BD4B03" w:rsidP="00F030C2">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M4</w:t>
            </w:r>
          </w:p>
          <w:p w14:paraId="7A23E60B" w14:textId="361DB5C0" w:rsidR="00BD4B03" w:rsidRPr="00545ACF" w:rsidRDefault="00BD4B03" w:rsidP="00F030C2">
            <w:pPr>
              <w:spacing w:after="0" w:line="240" w:lineRule="auto"/>
              <w:jc w:val="center"/>
              <w:rPr>
                <w:rFonts w:ascii="Times New Roman" w:hAnsi="Times New Roman" w:cs="Times New Roman"/>
                <w:b/>
                <w:bCs/>
                <w:iCs/>
                <w:sz w:val="20"/>
                <w:szCs w:val="20"/>
              </w:rPr>
            </w:pPr>
            <w:r w:rsidRPr="00545ACF">
              <w:rPr>
                <w:rFonts w:ascii="Times New Roman" w:hAnsi="Times New Roman" w:cs="Times New Roman"/>
                <w:b/>
                <w:bCs/>
                <w:iCs/>
                <w:sz w:val="20"/>
                <w:szCs w:val="20"/>
              </w:rPr>
              <w:t>Insuficiente</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conocimiento</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los</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niveles</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concentración</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partículas</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y</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aerosoles</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atmosféricos,</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su</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composición</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lastRenderedPageBreak/>
              <w:t>e</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impacto</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en</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la</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salud</w:t>
            </w:r>
            <w:r>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humana.</w:t>
            </w:r>
          </w:p>
        </w:tc>
        <w:tc>
          <w:tcPr>
            <w:tcW w:w="1984" w:type="dxa"/>
            <w:vAlign w:val="center"/>
          </w:tcPr>
          <w:p w14:paraId="4E3D1ACC" w14:textId="77777777" w:rsidR="00BD4B03" w:rsidRPr="00545ACF" w:rsidRDefault="00BD4B03"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lastRenderedPageBreak/>
              <w:t>4</w:t>
            </w:r>
          </w:p>
        </w:tc>
        <w:tc>
          <w:tcPr>
            <w:tcW w:w="1984" w:type="dxa"/>
            <w:vAlign w:val="center"/>
          </w:tcPr>
          <w:p w14:paraId="1939E60B" w14:textId="77777777" w:rsidR="00BD4B03" w:rsidRPr="00545ACF" w:rsidRDefault="00BD4B03"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4,5</w:t>
            </w:r>
          </w:p>
        </w:tc>
        <w:tc>
          <w:tcPr>
            <w:tcW w:w="1985" w:type="dxa"/>
            <w:vAlign w:val="center"/>
          </w:tcPr>
          <w:p w14:paraId="5D3AF6FB" w14:textId="77777777" w:rsidR="00BD4B03" w:rsidRPr="00545ACF" w:rsidRDefault="00BD4B03"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4,25</w:t>
            </w:r>
          </w:p>
        </w:tc>
        <w:tc>
          <w:tcPr>
            <w:tcW w:w="2126" w:type="dxa"/>
            <w:vAlign w:val="center"/>
          </w:tcPr>
          <w:p w14:paraId="3A21E3DC" w14:textId="77777777" w:rsidR="00BD4B03" w:rsidRPr="00545ACF" w:rsidRDefault="00BD4B03"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w:t>
            </w:r>
          </w:p>
        </w:tc>
        <w:tc>
          <w:tcPr>
            <w:tcW w:w="851" w:type="dxa"/>
            <w:vAlign w:val="center"/>
          </w:tcPr>
          <w:p w14:paraId="412F3F3F" w14:textId="77777777" w:rsidR="00BD4B03" w:rsidRPr="00545ACF" w:rsidRDefault="00BD4B03"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16,75</w:t>
            </w:r>
          </w:p>
        </w:tc>
        <w:tc>
          <w:tcPr>
            <w:tcW w:w="2268" w:type="dxa"/>
            <w:vAlign w:val="center"/>
          </w:tcPr>
          <w:p w14:paraId="4C9A22F0" w14:textId="77777777" w:rsidR="00BD4B03" w:rsidRPr="00545ACF" w:rsidRDefault="00BD4B03"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w:t>
            </w:r>
          </w:p>
        </w:tc>
        <w:tc>
          <w:tcPr>
            <w:tcW w:w="573" w:type="dxa"/>
            <w:vAlign w:val="center"/>
          </w:tcPr>
          <w:p w14:paraId="503B1CDD" w14:textId="77777777" w:rsidR="00BD4B03" w:rsidRPr="00545ACF" w:rsidRDefault="00BD4B03"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w:t>
            </w:r>
          </w:p>
        </w:tc>
        <w:tc>
          <w:tcPr>
            <w:tcW w:w="845" w:type="dxa"/>
            <w:vAlign w:val="center"/>
          </w:tcPr>
          <w:p w14:paraId="06CF35A9" w14:textId="77777777" w:rsidR="00BD4B03" w:rsidRPr="00545ACF" w:rsidRDefault="00BD4B03"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16,75</w:t>
            </w:r>
          </w:p>
        </w:tc>
      </w:tr>
      <w:tr w:rsidR="00BD4B03" w:rsidRPr="00545ACF" w14:paraId="59F4D670" w14:textId="77777777" w:rsidTr="00BD4B03">
        <w:trPr>
          <w:jc w:val="center"/>
        </w:trPr>
        <w:tc>
          <w:tcPr>
            <w:tcW w:w="425" w:type="dxa"/>
            <w:vMerge/>
            <w:shd w:val="clear" w:color="auto" w:fill="FFFF00"/>
            <w:vAlign w:val="center"/>
          </w:tcPr>
          <w:p w14:paraId="7C605469" w14:textId="119B1AA7" w:rsidR="00BD4B03" w:rsidRPr="00545ACF" w:rsidRDefault="00BD4B03" w:rsidP="00F030C2">
            <w:pPr>
              <w:spacing w:after="0" w:line="240" w:lineRule="auto"/>
              <w:jc w:val="center"/>
              <w:rPr>
                <w:rFonts w:ascii="Times New Roman" w:hAnsi="Times New Roman" w:cs="Times New Roman"/>
                <w:sz w:val="20"/>
                <w:szCs w:val="20"/>
              </w:rPr>
            </w:pPr>
          </w:p>
        </w:tc>
        <w:tc>
          <w:tcPr>
            <w:tcW w:w="1555" w:type="dxa"/>
            <w:vMerge/>
            <w:vAlign w:val="center"/>
          </w:tcPr>
          <w:p w14:paraId="16933FAD" w14:textId="77777777" w:rsidR="00BD4B03" w:rsidRPr="00545ACF" w:rsidRDefault="00BD4B03" w:rsidP="00F030C2">
            <w:pPr>
              <w:spacing w:after="0" w:line="240" w:lineRule="auto"/>
              <w:jc w:val="center"/>
              <w:rPr>
                <w:rFonts w:ascii="Times New Roman" w:hAnsi="Times New Roman" w:cs="Times New Roman"/>
                <w:sz w:val="20"/>
                <w:szCs w:val="20"/>
              </w:rPr>
            </w:pPr>
          </w:p>
        </w:tc>
        <w:tc>
          <w:tcPr>
            <w:tcW w:w="1984" w:type="dxa"/>
            <w:vAlign w:val="center"/>
          </w:tcPr>
          <w:p w14:paraId="29FE8952" w14:textId="3FABBF86" w:rsidR="00BD4B03" w:rsidRPr="00BD4B03" w:rsidRDefault="00BD4B03"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El 75 % de la población de la región vive en ciudades en las cuales se concentra el máximo de actividad industrial y de contaminación por otras fuentes antropogénicas (calefacción, emisiones vehiculares, entre otras).</w:t>
            </w:r>
          </w:p>
          <w:p w14:paraId="24E6CE7B" w14:textId="5FFD7626" w:rsidR="00BD4B03" w:rsidRPr="00BD4B03" w:rsidRDefault="00BD4B03"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lastRenderedPageBreak/>
              <w:t>Las áreas rurales se ven afectadas por el transporte de estos contaminantes en la atmósfera a nivel local y regional.</w:t>
            </w:r>
          </w:p>
          <w:p w14:paraId="2800B472" w14:textId="1F71B67E" w:rsidR="00BD4B03" w:rsidRPr="00BD4B03" w:rsidRDefault="00BD4B03" w:rsidP="00BD4B03">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El material aerotransportado con tamaño de partículas inferior a 2.5 micrones resulta especialmente nocivo y su concentración esta correlacionada con la incidencia de diferentes afecciones pulmonares.</w:t>
            </w:r>
          </w:p>
        </w:tc>
        <w:tc>
          <w:tcPr>
            <w:tcW w:w="1984" w:type="dxa"/>
            <w:vAlign w:val="center"/>
          </w:tcPr>
          <w:p w14:paraId="3E1737FB" w14:textId="6DAEC099" w:rsidR="00BD4B03" w:rsidRPr="00BD4B03" w:rsidRDefault="00BD4B03"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lastRenderedPageBreak/>
              <w:t>El deterioro de la calidad del aire y su impacto negativo en la salud humana se agrava aceleradamente. Es necesario contar con información sobre las fuentes de contaminación para poder sugerir medidas de control y mitigación</w:t>
            </w:r>
          </w:p>
        </w:tc>
        <w:tc>
          <w:tcPr>
            <w:tcW w:w="1985" w:type="dxa"/>
            <w:vAlign w:val="center"/>
          </w:tcPr>
          <w:p w14:paraId="1BCB655D" w14:textId="3714BFB1" w:rsidR="00BD4B03" w:rsidRPr="00BD4B03" w:rsidRDefault="00BD4B03"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El transporte de los contaminantes trasciende fronteras geográficas y afecta no solo a los emisores de contaminantes.</w:t>
            </w:r>
          </w:p>
          <w:p w14:paraId="64FC57B5" w14:textId="34903148" w:rsidR="00BD4B03" w:rsidRPr="00BD4B03" w:rsidRDefault="00BD4B03"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 xml:space="preserve">Es importante conocer los perfiles de cada fuente para poder identificar eventos de transporte a largo rango </w:t>
            </w:r>
            <w:r w:rsidRPr="00BD4B03">
              <w:rPr>
                <w:rFonts w:ascii="Times New Roman" w:hAnsi="Times New Roman" w:cs="Times New Roman"/>
                <w:sz w:val="18"/>
                <w:szCs w:val="18"/>
              </w:rPr>
              <w:lastRenderedPageBreak/>
              <w:t>y evaluar el origen de la contaminación</w:t>
            </w:r>
          </w:p>
        </w:tc>
        <w:tc>
          <w:tcPr>
            <w:tcW w:w="2126" w:type="dxa"/>
            <w:vAlign w:val="center"/>
          </w:tcPr>
          <w:p w14:paraId="3FBD9A10" w14:textId="0DFD4CF3" w:rsidR="00BD4B03" w:rsidRPr="00BD4B03" w:rsidRDefault="00BD4B03"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lastRenderedPageBreak/>
              <w:t>Las TAN permiten determinar la concentración de un gran número de elementos, lo cual a su vez permite identificar las diferentes fuentes de contaminación.</w:t>
            </w:r>
          </w:p>
        </w:tc>
        <w:tc>
          <w:tcPr>
            <w:tcW w:w="851" w:type="dxa"/>
            <w:vAlign w:val="center"/>
          </w:tcPr>
          <w:p w14:paraId="67CC3373" w14:textId="77777777" w:rsidR="00BD4B03" w:rsidRPr="00BD4B03" w:rsidRDefault="00BD4B03" w:rsidP="00F030C2">
            <w:pPr>
              <w:spacing w:after="0" w:line="240" w:lineRule="auto"/>
              <w:jc w:val="center"/>
              <w:rPr>
                <w:rFonts w:ascii="Times New Roman" w:hAnsi="Times New Roman" w:cs="Times New Roman"/>
                <w:sz w:val="18"/>
                <w:szCs w:val="18"/>
              </w:rPr>
            </w:pPr>
          </w:p>
        </w:tc>
        <w:tc>
          <w:tcPr>
            <w:tcW w:w="2268" w:type="dxa"/>
            <w:vAlign w:val="center"/>
          </w:tcPr>
          <w:p w14:paraId="1FDEA23D" w14:textId="7D2DD0A5" w:rsidR="00BD4B03" w:rsidRPr="00BD4B03" w:rsidRDefault="00BD4B03"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 capacidad analítica no está disponible en todos los países de la región. Aunque varios laboratorios operan sistemas de gestión de calidad, no todos los datos que se generan son de calidad comparable, lo cual puede afectar la identificación de las fuentes de contaminación.</w:t>
            </w:r>
          </w:p>
          <w:p w14:paraId="3B02C15F" w14:textId="2B58CDDF" w:rsidR="00BD4B03" w:rsidRPr="00BD4B03" w:rsidRDefault="00BD4B03"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lastRenderedPageBreak/>
              <w:t>A nivel institucional, no siempre existe una cultura de cooperación para poder vincular otros tipos de análisis requeridos para una caracterización completa de las muestras.</w:t>
            </w:r>
          </w:p>
        </w:tc>
        <w:tc>
          <w:tcPr>
            <w:tcW w:w="573" w:type="dxa"/>
            <w:vAlign w:val="center"/>
          </w:tcPr>
          <w:p w14:paraId="73C130BA" w14:textId="77777777" w:rsidR="00BD4B03" w:rsidRPr="00BD4B03" w:rsidRDefault="00BD4B03" w:rsidP="00F030C2">
            <w:pPr>
              <w:spacing w:after="0" w:line="240" w:lineRule="auto"/>
              <w:jc w:val="center"/>
              <w:rPr>
                <w:rFonts w:ascii="Times New Roman" w:hAnsi="Times New Roman" w:cs="Times New Roman"/>
                <w:sz w:val="18"/>
                <w:szCs w:val="18"/>
              </w:rPr>
            </w:pPr>
          </w:p>
        </w:tc>
        <w:tc>
          <w:tcPr>
            <w:tcW w:w="845" w:type="dxa"/>
            <w:vAlign w:val="center"/>
          </w:tcPr>
          <w:p w14:paraId="557739E5" w14:textId="77777777" w:rsidR="00BD4B03" w:rsidRPr="00BD4B03" w:rsidRDefault="00BD4B03" w:rsidP="00F030C2">
            <w:pPr>
              <w:spacing w:after="0" w:line="240" w:lineRule="auto"/>
              <w:jc w:val="center"/>
              <w:rPr>
                <w:rFonts w:ascii="Times New Roman" w:hAnsi="Times New Roman" w:cs="Times New Roman"/>
                <w:sz w:val="18"/>
                <w:szCs w:val="18"/>
              </w:rPr>
            </w:pPr>
          </w:p>
        </w:tc>
      </w:tr>
      <w:tr w:rsidR="00852BE0" w:rsidRPr="00545ACF" w14:paraId="6546A3E5" w14:textId="77777777" w:rsidTr="00BD4B03">
        <w:trPr>
          <w:jc w:val="center"/>
        </w:trPr>
        <w:tc>
          <w:tcPr>
            <w:tcW w:w="425" w:type="dxa"/>
            <w:vMerge w:val="restart"/>
            <w:shd w:val="clear" w:color="auto" w:fill="FFFF00"/>
            <w:vAlign w:val="center"/>
          </w:tcPr>
          <w:p w14:paraId="20D37522" w14:textId="626FCCF9" w:rsidR="00852BE0" w:rsidRPr="00545ACF" w:rsidRDefault="00852BE0" w:rsidP="00F030C2">
            <w:pPr>
              <w:spacing w:after="0" w:line="240" w:lineRule="auto"/>
              <w:jc w:val="center"/>
              <w:rPr>
                <w:rFonts w:ascii="Times New Roman" w:hAnsi="Times New Roman" w:cs="Times New Roman"/>
                <w:b/>
                <w:bCs/>
                <w:iCs/>
                <w:sz w:val="20"/>
                <w:szCs w:val="20"/>
              </w:rPr>
            </w:pPr>
            <w:r w:rsidRPr="00545ACF">
              <w:rPr>
                <w:rFonts w:ascii="Times New Roman" w:hAnsi="Times New Roman" w:cs="Times New Roman"/>
                <w:b/>
                <w:bCs/>
                <w:iCs/>
                <w:sz w:val="20"/>
                <w:szCs w:val="20"/>
              </w:rPr>
              <w:t>5</w:t>
            </w:r>
          </w:p>
        </w:tc>
        <w:tc>
          <w:tcPr>
            <w:tcW w:w="1555" w:type="dxa"/>
            <w:vMerge w:val="restart"/>
            <w:shd w:val="clear" w:color="auto" w:fill="auto"/>
            <w:vAlign w:val="center"/>
          </w:tcPr>
          <w:p w14:paraId="76175833" w14:textId="789FA45F" w:rsidR="00BD4B03" w:rsidRDefault="00BD4B03" w:rsidP="00F030C2">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M5</w:t>
            </w:r>
          </w:p>
          <w:p w14:paraId="6B416926" w14:textId="2F5F39F8" w:rsidR="00852BE0" w:rsidRPr="00545ACF" w:rsidRDefault="00852BE0" w:rsidP="00F030C2">
            <w:pPr>
              <w:spacing w:after="0" w:line="240" w:lineRule="auto"/>
              <w:jc w:val="center"/>
              <w:rPr>
                <w:rFonts w:ascii="Times New Roman" w:hAnsi="Times New Roman" w:cs="Times New Roman"/>
                <w:b/>
                <w:bCs/>
                <w:iCs/>
                <w:sz w:val="20"/>
                <w:szCs w:val="20"/>
              </w:rPr>
            </w:pPr>
            <w:r w:rsidRPr="00545ACF">
              <w:rPr>
                <w:rFonts w:ascii="Times New Roman" w:hAnsi="Times New Roman" w:cs="Times New Roman"/>
                <w:b/>
                <w:bCs/>
                <w:iCs/>
                <w:sz w:val="20"/>
                <w:szCs w:val="20"/>
              </w:rPr>
              <w:t>Insuficiente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evaluación</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la</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contaminación</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del</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suelo</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y</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su</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impacto</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en</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la</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salud</w:t>
            </w:r>
            <w:r w:rsidR="00D136BB">
              <w:rPr>
                <w:rFonts w:ascii="Times New Roman" w:hAnsi="Times New Roman" w:cs="Times New Roman"/>
                <w:b/>
                <w:bCs/>
                <w:iCs/>
                <w:sz w:val="20"/>
                <w:szCs w:val="20"/>
              </w:rPr>
              <w:t xml:space="preserve"> </w:t>
            </w:r>
            <w:r w:rsidRPr="00545ACF">
              <w:rPr>
                <w:rFonts w:ascii="Times New Roman" w:hAnsi="Times New Roman" w:cs="Times New Roman"/>
                <w:b/>
                <w:bCs/>
                <w:iCs/>
                <w:sz w:val="20"/>
                <w:szCs w:val="20"/>
              </w:rPr>
              <w:t>humana.</w:t>
            </w:r>
          </w:p>
        </w:tc>
        <w:tc>
          <w:tcPr>
            <w:tcW w:w="1984" w:type="dxa"/>
            <w:vAlign w:val="center"/>
          </w:tcPr>
          <w:p w14:paraId="476BC1CD"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3,5</w:t>
            </w:r>
          </w:p>
        </w:tc>
        <w:tc>
          <w:tcPr>
            <w:tcW w:w="1984" w:type="dxa"/>
            <w:vAlign w:val="center"/>
          </w:tcPr>
          <w:p w14:paraId="0BF6BE00"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4,5</w:t>
            </w:r>
          </w:p>
        </w:tc>
        <w:tc>
          <w:tcPr>
            <w:tcW w:w="1985" w:type="dxa"/>
            <w:vAlign w:val="center"/>
          </w:tcPr>
          <w:p w14:paraId="13E3C864"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4,75</w:t>
            </w:r>
          </w:p>
        </w:tc>
        <w:tc>
          <w:tcPr>
            <w:tcW w:w="2126" w:type="dxa"/>
            <w:vAlign w:val="center"/>
          </w:tcPr>
          <w:p w14:paraId="248B5542"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3</w:t>
            </w:r>
          </w:p>
        </w:tc>
        <w:tc>
          <w:tcPr>
            <w:tcW w:w="851" w:type="dxa"/>
            <w:vAlign w:val="center"/>
          </w:tcPr>
          <w:p w14:paraId="10528FE8"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15,75</w:t>
            </w:r>
          </w:p>
        </w:tc>
        <w:tc>
          <w:tcPr>
            <w:tcW w:w="2268" w:type="dxa"/>
            <w:vAlign w:val="center"/>
          </w:tcPr>
          <w:p w14:paraId="4A678355"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4</w:t>
            </w:r>
          </w:p>
        </w:tc>
        <w:tc>
          <w:tcPr>
            <w:tcW w:w="573" w:type="dxa"/>
            <w:vAlign w:val="center"/>
          </w:tcPr>
          <w:p w14:paraId="00263BBC"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0,75</w:t>
            </w:r>
          </w:p>
        </w:tc>
        <w:tc>
          <w:tcPr>
            <w:tcW w:w="845" w:type="dxa"/>
            <w:vAlign w:val="center"/>
          </w:tcPr>
          <w:p w14:paraId="55CE4555" w14:textId="77777777" w:rsidR="00852BE0" w:rsidRPr="00545ACF" w:rsidRDefault="00852BE0" w:rsidP="00F030C2">
            <w:pPr>
              <w:spacing w:after="0" w:line="240" w:lineRule="auto"/>
              <w:jc w:val="center"/>
              <w:rPr>
                <w:rFonts w:ascii="Times New Roman" w:hAnsi="Times New Roman" w:cs="Times New Roman"/>
                <w:sz w:val="20"/>
                <w:szCs w:val="20"/>
              </w:rPr>
            </w:pPr>
            <w:r w:rsidRPr="00545ACF">
              <w:rPr>
                <w:rFonts w:ascii="Times New Roman" w:hAnsi="Times New Roman" w:cs="Times New Roman"/>
                <w:sz w:val="20"/>
                <w:szCs w:val="20"/>
              </w:rPr>
              <w:t>11,81</w:t>
            </w:r>
          </w:p>
        </w:tc>
      </w:tr>
      <w:tr w:rsidR="00852BE0" w:rsidRPr="00545ACF" w14:paraId="1E32003C" w14:textId="77777777" w:rsidTr="00BD4B03">
        <w:trPr>
          <w:jc w:val="center"/>
        </w:trPr>
        <w:tc>
          <w:tcPr>
            <w:tcW w:w="425" w:type="dxa"/>
            <w:vMerge/>
            <w:vAlign w:val="center"/>
          </w:tcPr>
          <w:p w14:paraId="620A847F" w14:textId="77777777" w:rsidR="00852BE0" w:rsidRPr="00545ACF" w:rsidRDefault="00852BE0" w:rsidP="00F030C2">
            <w:pPr>
              <w:spacing w:after="0" w:line="240" w:lineRule="auto"/>
              <w:jc w:val="center"/>
              <w:rPr>
                <w:rFonts w:ascii="Times New Roman" w:hAnsi="Times New Roman" w:cs="Times New Roman"/>
                <w:sz w:val="20"/>
                <w:szCs w:val="20"/>
              </w:rPr>
            </w:pPr>
          </w:p>
        </w:tc>
        <w:tc>
          <w:tcPr>
            <w:tcW w:w="1555" w:type="dxa"/>
            <w:vMerge/>
            <w:vAlign w:val="center"/>
          </w:tcPr>
          <w:p w14:paraId="4889E317" w14:textId="77777777" w:rsidR="00852BE0" w:rsidRPr="00545ACF" w:rsidRDefault="00852BE0" w:rsidP="00F030C2">
            <w:pPr>
              <w:spacing w:after="0" w:line="240" w:lineRule="auto"/>
              <w:jc w:val="center"/>
              <w:rPr>
                <w:rFonts w:ascii="Times New Roman" w:hAnsi="Times New Roman" w:cs="Times New Roman"/>
                <w:sz w:val="20"/>
                <w:szCs w:val="20"/>
              </w:rPr>
            </w:pPr>
          </w:p>
        </w:tc>
        <w:tc>
          <w:tcPr>
            <w:tcW w:w="1984" w:type="dxa"/>
            <w:vAlign w:val="center"/>
          </w:tcPr>
          <w:p w14:paraId="6CD9B2DC" w14:textId="43BA5822"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Una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importante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suelos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región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presenta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elementos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tóxicos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orgánicos.</w:t>
            </w:r>
          </w:p>
          <w:p w14:paraId="76AF8307" w14:textId="7B630F40"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Estos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afectan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productos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agropecuarios,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incidiendo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problemas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nutricionales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afecciones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salud.</w:t>
            </w:r>
          </w:p>
          <w:p w14:paraId="46428CF8" w14:textId="1C5D2C80"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Parte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suelos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migra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subterráneas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cadenas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tróficas,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afectando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flora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fauna.</w:t>
            </w:r>
          </w:p>
        </w:tc>
        <w:tc>
          <w:tcPr>
            <w:tcW w:w="1984" w:type="dxa"/>
            <w:vAlign w:val="center"/>
          </w:tcPr>
          <w:p w14:paraId="0226CF74" w14:textId="3EEC48D3"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uso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indiscriminado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fertilizantes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y</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pesticidas,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así</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incremento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actividades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minera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industrial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agudizan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suelos,</w:t>
            </w:r>
          </w:p>
        </w:tc>
        <w:tc>
          <w:tcPr>
            <w:tcW w:w="1985" w:type="dxa"/>
            <w:vAlign w:val="center"/>
          </w:tcPr>
          <w:p w14:paraId="25F141F3" w14:textId="7524A3F8"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suelos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extiende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prácticamente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todos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países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región.</w:t>
            </w:r>
          </w:p>
          <w:p w14:paraId="337BD295" w14:textId="4EF3E2A4"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transporte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corrientes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agua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hace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extienda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ocasiones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largas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distancias.</w:t>
            </w:r>
          </w:p>
        </w:tc>
        <w:tc>
          <w:tcPr>
            <w:tcW w:w="2126" w:type="dxa"/>
            <w:vAlign w:val="center"/>
          </w:tcPr>
          <w:p w14:paraId="304A7DAA" w14:textId="4B87A235"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técnicas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analíticas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nucleares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permiten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determinar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concentración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elementos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tóxicos.</w:t>
            </w:r>
          </w:p>
          <w:p w14:paraId="51CE4648" w14:textId="6872BB7D" w:rsidR="00852BE0" w:rsidRPr="00BD4B03" w:rsidRDefault="00852BE0" w:rsidP="00BD4B03">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usos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técnicas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cromatográficas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acopladas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espectrometría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masa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permite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analizar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gran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número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orgánicos.</w:t>
            </w:r>
          </w:p>
        </w:tc>
        <w:tc>
          <w:tcPr>
            <w:tcW w:w="851" w:type="dxa"/>
            <w:vAlign w:val="center"/>
          </w:tcPr>
          <w:p w14:paraId="716B22DA" w14:textId="77777777" w:rsidR="00852BE0" w:rsidRPr="00BD4B03" w:rsidRDefault="00852BE0" w:rsidP="00F030C2">
            <w:pPr>
              <w:spacing w:after="0" w:line="240" w:lineRule="auto"/>
              <w:jc w:val="center"/>
              <w:rPr>
                <w:rFonts w:ascii="Times New Roman" w:hAnsi="Times New Roman" w:cs="Times New Roman"/>
                <w:sz w:val="18"/>
                <w:szCs w:val="18"/>
              </w:rPr>
            </w:pPr>
          </w:p>
        </w:tc>
        <w:tc>
          <w:tcPr>
            <w:tcW w:w="2268" w:type="dxa"/>
            <w:vAlign w:val="center"/>
          </w:tcPr>
          <w:p w14:paraId="3624F836" w14:textId="79D3A725"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capacidad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analítica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está</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disponible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todos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países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región.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Aunque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varios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laboratorios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operan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sistemas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gestión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todos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datos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que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generan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son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calidad</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comparable,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cual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puede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afectar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identificación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fuentes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contaminación.</w:t>
            </w:r>
          </w:p>
          <w:p w14:paraId="43530290" w14:textId="037F3266" w:rsidR="00852BE0" w:rsidRPr="00BD4B03" w:rsidRDefault="00852BE0" w:rsidP="00F030C2">
            <w:pPr>
              <w:spacing w:after="0" w:line="240" w:lineRule="auto"/>
              <w:jc w:val="center"/>
              <w:rPr>
                <w:rFonts w:ascii="Times New Roman" w:hAnsi="Times New Roman" w:cs="Times New Roman"/>
                <w:sz w:val="18"/>
                <w:szCs w:val="18"/>
              </w:rPr>
            </w:pPr>
            <w:r w:rsidRPr="00BD4B03">
              <w:rPr>
                <w:rFonts w:ascii="Times New Roman" w:hAnsi="Times New Roman" w:cs="Times New Roman"/>
                <w:sz w:val="18"/>
                <w:szCs w:val="18"/>
              </w:rPr>
              <w: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nivel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institucional,</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no</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siempre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existe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cultura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cooperación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poder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vincular</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otros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tipos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análisis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requeridos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para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una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caracterización</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completa</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de</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las</w:t>
            </w:r>
            <w:r w:rsidR="00D136BB" w:rsidRPr="00BD4B03">
              <w:rPr>
                <w:rFonts w:ascii="Times New Roman" w:hAnsi="Times New Roman" w:cs="Times New Roman"/>
                <w:sz w:val="18"/>
                <w:szCs w:val="18"/>
              </w:rPr>
              <w:t xml:space="preserve"> </w:t>
            </w:r>
            <w:r w:rsidRPr="00BD4B03">
              <w:rPr>
                <w:rFonts w:ascii="Times New Roman" w:hAnsi="Times New Roman" w:cs="Times New Roman"/>
                <w:sz w:val="18"/>
                <w:szCs w:val="18"/>
              </w:rPr>
              <w:t>muestras.</w:t>
            </w:r>
          </w:p>
        </w:tc>
        <w:tc>
          <w:tcPr>
            <w:tcW w:w="573" w:type="dxa"/>
            <w:vAlign w:val="center"/>
          </w:tcPr>
          <w:p w14:paraId="62962B12" w14:textId="77777777" w:rsidR="00852BE0" w:rsidRPr="00BD4B03" w:rsidRDefault="00852BE0" w:rsidP="00F030C2">
            <w:pPr>
              <w:spacing w:after="0" w:line="240" w:lineRule="auto"/>
              <w:jc w:val="center"/>
              <w:rPr>
                <w:rFonts w:ascii="Times New Roman" w:hAnsi="Times New Roman" w:cs="Times New Roman"/>
                <w:sz w:val="18"/>
                <w:szCs w:val="18"/>
              </w:rPr>
            </w:pPr>
          </w:p>
        </w:tc>
        <w:tc>
          <w:tcPr>
            <w:tcW w:w="845" w:type="dxa"/>
            <w:vAlign w:val="center"/>
          </w:tcPr>
          <w:p w14:paraId="35FF4CCC" w14:textId="77777777" w:rsidR="00852BE0" w:rsidRPr="00BD4B03" w:rsidRDefault="00852BE0" w:rsidP="00F030C2">
            <w:pPr>
              <w:spacing w:after="0" w:line="240" w:lineRule="auto"/>
              <w:jc w:val="center"/>
              <w:rPr>
                <w:rFonts w:ascii="Times New Roman" w:hAnsi="Times New Roman" w:cs="Times New Roman"/>
                <w:sz w:val="18"/>
                <w:szCs w:val="18"/>
              </w:rPr>
            </w:pPr>
          </w:p>
        </w:tc>
      </w:tr>
    </w:tbl>
    <w:p w14:paraId="49F396EE" w14:textId="77777777" w:rsidR="00852BE0" w:rsidRDefault="00852BE0" w:rsidP="00852BE0"/>
    <w:p w14:paraId="0FFF629B" w14:textId="114A5E57" w:rsidR="00BD4B03" w:rsidRDefault="00BD4B03" w:rsidP="00BD4B03">
      <w:pPr>
        <w:jc w:val="center"/>
      </w:pPr>
      <w:r>
        <w:rPr>
          <w:noProof/>
          <w:lang w:val="pt-BR" w:eastAsia="pt-BR"/>
        </w:rPr>
        <w:lastRenderedPageBreak/>
        <w:drawing>
          <wp:inline distT="0" distB="0" distL="0" distR="0" wp14:anchorId="05879761" wp14:editId="2C9864A9">
            <wp:extent cx="4943475" cy="2262724"/>
            <wp:effectExtent l="0" t="0" r="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57398" cy="2269097"/>
                    </a:xfrm>
                    <a:prstGeom prst="rect">
                      <a:avLst/>
                    </a:prstGeom>
                    <a:noFill/>
                  </pic:spPr>
                </pic:pic>
              </a:graphicData>
            </a:graphic>
          </wp:inline>
        </w:drawing>
      </w:r>
    </w:p>
    <w:p w14:paraId="53768E9A" w14:textId="77777777" w:rsidR="00BD4B03" w:rsidRDefault="00BD4B03" w:rsidP="00852BE0"/>
    <w:p w14:paraId="20F1F69D" w14:textId="77777777" w:rsidR="00852BE0" w:rsidRDefault="00852BE0" w:rsidP="00852BE0">
      <w:pPr>
        <w:rPr>
          <w:lang w:val="es-ES"/>
        </w:rPr>
        <w:sectPr w:rsidR="00852BE0" w:rsidSect="004A0459">
          <w:headerReference w:type="default" r:id="rId19"/>
          <w:footerReference w:type="first" r:id="rId20"/>
          <w:pgSz w:w="15840" w:h="12240" w:orient="landscape"/>
          <w:pgMar w:top="1077" w:right="1440" w:bottom="1077" w:left="1440" w:header="709" w:footer="709" w:gutter="0"/>
          <w:cols w:space="720"/>
          <w:titlePg/>
          <w:docGrid w:linePitch="360"/>
        </w:sectPr>
      </w:pPr>
    </w:p>
    <w:p w14:paraId="187DD167" w14:textId="77777777" w:rsidR="002C21C1" w:rsidRDefault="002C21C1" w:rsidP="002C21C1">
      <w:pPr>
        <w:pStyle w:val="BodyText"/>
        <w:ind w:left="567"/>
        <w:rPr>
          <w:lang w:val="es-ES"/>
        </w:rPr>
      </w:pPr>
    </w:p>
    <w:p w14:paraId="2DD7107F" w14:textId="77777777" w:rsidR="0052123D" w:rsidRDefault="0052123D" w:rsidP="00715258">
      <w:pPr>
        <w:spacing w:after="0"/>
        <w:jc w:val="both"/>
        <w:rPr>
          <w:rFonts w:ascii="Candara" w:hAnsi="Candara" w:cs="Arial"/>
          <w:color w:val="595959" w:themeColor="text1" w:themeTint="A6"/>
        </w:rPr>
      </w:pPr>
    </w:p>
    <w:p w14:paraId="2EA094D4" w14:textId="77777777" w:rsidR="003719F8" w:rsidRDefault="003719F8" w:rsidP="00715258">
      <w:pPr>
        <w:spacing w:after="0"/>
        <w:jc w:val="both"/>
        <w:rPr>
          <w:rFonts w:ascii="Candara" w:hAnsi="Candara" w:cs="Arial"/>
          <w:color w:val="595959" w:themeColor="text1" w:themeTint="A6"/>
        </w:rPr>
      </w:pPr>
    </w:p>
    <w:p w14:paraId="617A67CC" w14:textId="77777777" w:rsidR="003719F8" w:rsidRDefault="003719F8" w:rsidP="00715258">
      <w:pPr>
        <w:spacing w:after="0"/>
        <w:jc w:val="both"/>
        <w:rPr>
          <w:rFonts w:ascii="Candara" w:hAnsi="Candara" w:cs="Arial"/>
          <w:color w:val="595959" w:themeColor="text1" w:themeTint="A6"/>
        </w:rPr>
      </w:pPr>
    </w:p>
    <w:p w14:paraId="2FECF4B2" w14:textId="77777777" w:rsidR="003719F8" w:rsidRDefault="003719F8" w:rsidP="00715258">
      <w:pPr>
        <w:spacing w:after="0"/>
        <w:jc w:val="both"/>
        <w:rPr>
          <w:rFonts w:ascii="Candara" w:hAnsi="Candara" w:cs="Arial"/>
          <w:color w:val="595959" w:themeColor="text1" w:themeTint="A6"/>
        </w:rPr>
      </w:pPr>
    </w:p>
    <w:p w14:paraId="3074269C" w14:textId="77777777" w:rsidR="003719F8" w:rsidRDefault="003719F8" w:rsidP="00715258">
      <w:pPr>
        <w:spacing w:after="0"/>
        <w:jc w:val="both"/>
        <w:rPr>
          <w:rFonts w:ascii="Candara" w:hAnsi="Candara" w:cs="Arial"/>
          <w:color w:val="595959" w:themeColor="text1" w:themeTint="A6"/>
        </w:rPr>
      </w:pPr>
    </w:p>
    <w:p w14:paraId="72F9EF42" w14:textId="77777777" w:rsidR="003719F8" w:rsidRDefault="003719F8" w:rsidP="00715258">
      <w:pPr>
        <w:spacing w:after="0"/>
        <w:jc w:val="both"/>
        <w:rPr>
          <w:rFonts w:ascii="Candara" w:hAnsi="Candara" w:cs="Arial"/>
          <w:color w:val="595959" w:themeColor="text1" w:themeTint="A6"/>
        </w:rPr>
      </w:pPr>
    </w:p>
    <w:p w14:paraId="72798DA6" w14:textId="43B4136D" w:rsidR="003719F8" w:rsidRDefault="00D136BB" w:rsidP="003719F8">
      <w:pPr>
        <w:pStyle w:val="Title"/>
        <w:jc w:val="center"/>
        <w:rPr>
          <w:lang w:val="es-ES"/>
        </w:rPr>
      </w:pPr>
      <w:r>
        <w:rPr>
          <w:lang w:val="es-ES"/>
        </w:rPr>
        <w:t xml:space="preserve">   </w:t>
      </w:r>
      <w:r w:rsidR="003719F8" w:rsidRPr="00C36E86">
        <w:rPr>
          <w:lang w:val="es-ES"/>
        </w:rPr>
        <w:t>ENERGÍA</w:t>
      </w:r>
    </w:p>
    <w:p w14:paraId="3C3C09C6" w14:textId="77777777" w:rsidR="003719F8" w:rsidRDefault="003719F8" w:rsidP="003719F8">
      <w:pPr>
        <w:pStyle w:val="BodyText"/>
        <w:rPr>
          <w:lang w:val="es-ES"/>
        </w:rPr>
      </w:pPr>
    </w:p>
    <w:p w14:paraId="664FBD21" w14:textId="77777777" w:rsidR="003719F8" w:rsidRDefault="003719F8" w:rsidP="003719F8">
      <w:pPr>
        <w:pStyle w:val="BodyText"/>
        <w:rPr>
          <w:lang w:val="es-ES"/>
        </w:rPr>
      </w:pPr>
    </w:p>
    <w:p w14:paraId="1C1790C7" w14:textId="77777777" w:rsidR="003719F8" w:rsidRDefault="003719F8" w:rsidP="003719F8">
      <w:pPr>
        <w:pStyle w:val="BodyText"/>
        <w:rPr>
          <w:lang w:val="es-ES"/>
        </w:rPr>
      </w:pPr>
    </w:p>
    <w:p w14:paraId="4F19EA73" w14:textId="77777777" w:rsidR="003719F8" w:rsidRDefault="003719F8">
      <w:pPr>
        <w:rPr>
          <w:rFonts w:ascii="Times New Roman" w:eastAsia="Times New Roman" w:hAnsi="Times New Roman" w:cs="Times New Roman"/>
          <w:sz w:val="24"/>
          <w:szCs w:val="20"/>
          <w:lang w:val="es-ES"/>
        </w:rPr>
      </w:pPr>
      <w:r>
        <w:rPr>
          <w:lang w:val="es-ES"/>
        </w:rPr>
        <w:br w:type="page"/>
      </w:r>
    </w:p>
    <w:p w14:paraId="3044148C" w14:textId="6AA2BC0D" w:rsidR="0093619A" w:rsidRPr="0093619A" w:rsidRDefault="0093619A" w:rsidP="0093619A">
      <w:pPr>
        <w:pStyle w:val="BodyText"/>
        <w:rPr>
          <w:b/>
          <w:bCs/>
          <w:lang w:val="es-ES"/>
        </w:rPr>
      </w:pPr>
      <w:r>
        <w:rPr>
          <w:b/>
          <w:bCs/>
          <w:lang w:val="es-ES"/>
        </w:rPr>
        <w:lastRenderedPageBreak/>
        <w:t>I.</w:t>
      </w:r>
      <w:r w:rsidR="00D136BB">
        <w:rPr>
          <w:b/>
          <w:bCs/>
          <w:lang w:val="es-ES"/>
        </w:rPr>
        <w:t xml:space="preserve"> </w:t>
      </w:r>
      <w:r w:rsidRPr="0093619A">
        <w:rPr>
          <w:b/>
          <w:bCs/>
          <w:lang w:val="es-ES"/>
        </w:rPr>
        <w:t>Análisis</w:t>
      </w:r>
      <w:r w:rsidR="00D136BB">
        <w:rPr>
          <w:b/>
          <w:bCs/>
          <w:lang w:val="es-ES"/>
        </w:rPr>
        <w:t xml:space="preserve"> </w:t>
      </w:r>
      <w:r w:rsidRPr="0093619A">
        <w:rPr>
          <w:b/>
          <w:bCs/>
          <w:lang w:val="es-ES"/>
        </w:rPr>
        <w:t>General</w:t>
      </w:r>
      <w:r w:rsidR="00D136BB">
        <w:rPr>
          <w:b/>
          <w:bCs/>
          <w:lang w:val="es-ES"/>
        </w:rPr>
        <w:t xml:space="preserve"> </w:t>
      </w:r>
      <w:r w:rsidRPr="0093619A">
        <w:rPr>
          <w:b/>
          <w:bCs/>
          <w:lang w:val="es-ES"/>
        </w:rPr>
        <w:t>de</w:t>
      </w:r>
      <w:r w:rsidR="00D136BB">
        <w:rPr>
          <w:b/>
          <w:bCs/>
          <w:lang w:val="es-ES"/>
        </w:rPr>
        <w:t xml:space="preserve"> </w:t>
      </w:r>
      <w:r w:rsidRPr="0093619A">
        <w:rPr>
          <w:b/>
          <w:bCs/>
          <w:lang w:val="es-ES"/>
        </w:rPr>
        <w:t>la</w:t>
      </w:r>
      <w:r w:rsidR="00D136BB">
        <w:rPr>
          <w:b/>
          <w:bCs/>
          <w:lang w:val="es-ES"/>
        </w:rPr>
        <w:t xml:space="preserve"> </w:t>
      </w:r>
      <w:r w:rsidRPr="0093619A">
        <w:rPr>
          <w:b/>
          <w:bCs/>
          <w:lang w:val="es-ES"/>
        </w:rPr>
        <w:t>Situación</w:t>
      </w:r>
      <w:r w:rsidR="00D136BB">
        <w:rPr>
          <w:b/>
          <w:bCs/>
          <w:lang w:val="es-ES"/>
        </w:rPr>
        <w:t xml:space="preserve"> </w:t>
      </w:r>
      <w:r w:rsidRPr="0093619A">
        <w:rPr>
          <w:b/>
          <w:bCs/>
          <w:lang w:val="es-ES"/>
        </w:rPr>
        <w:t>Regional</w:t>
      </w:r>
    </w:p>
    <w:p w14:paraId="3ED4FF5F" w14:textId="4EC17160" w:rsidR="00853862" w:rsidRPr="00C36E86" w:rsidRDefault="00853862" w:rsidP="00FD57B1">
      <w:pPr>
        <w:pStyle w:val="BodyText"/>
        <w:numPr>
          <w:ilvl w:val="0"/>
          <w:numId w:val="17"/>
        </w:numPr>
        <w:rPr>
          <w:b/>
          <w:lang w:val="es-ES"/>
        </w:rPr>
      </w:pPr>
      <w:r w:rsidRPr="00C36E86">
        <w:rPr>
          <w:b/>
          <w:lang w:val="es-ES"/>
        </w:rPr>
        <w:t>Síntesis</w:t>
      </w:r>
      <w:r w:rsidR="00D136BB">
        <w:rPr>
          <w:b/>
          <w:lang w:val="es-ES"/>
        </w:rPr>
        <w:t xml:space="preserve"> </w:t>
      </w:r>
      <w:r w:rsidRPr="00C36E86">
        <w:rPr>
          <w:b/>
          <w:lang w:val="es-ES"/>
        </w:rPr>
        <w:t>de</w:t>
      </w:r>
      <w:r w:rsidR="00D136BB">
        <w:rPr>
          <w:b/>
          <w:lang w:val="es-ES"/>
        </w:rPr>
        <w:t xml:space="preserve"> </w:t>
      </w:r>
      <w:r w:rsidRPr="00C36E86">
        <w:rPr>
          <w:b/>
          <w:lang w:val="es-ES"/>
        </w:rPr>
        <w:t>la</w:t>
      </w:r>
      <w:r w:rsidR="00D136BB">
        <w:rPr>
          <w:b/>
          <w:lang w:val="es-ES"/>
        </w:rPr>
        <w:t xml:space="preserve"> </w:t>
      </w:r>
      <w:r w:rsidRPr="00C36E86">
        <w:rPr>
          <w:b/>
          <w:lang w:val="es-ES"/>
        </w:rPr>
        <w:t>situación</w:t>
      </w:r>
      <w:r w:rsidR="00D136BB">
        <w:rPr>
          <w:b/>
          <w:lang w:val="es-ES"/>
        </w:rPr>
        <w:t xml:space="preserve"> </w:t>
      </w:r>
      <w:r w:rsidRPr="00C36E86">
        <w:rPr>
          <w:b/>
          <w:lang w:val="es-ES"/>
        </w:rPr>
        <w:t>actual</w:t>
      </w:r>
      <w:r w:rsidR="00D136BB">
        <w:rPr>
          <w:b/>
          <w:lang w:val="es-ES"/>
        </w:rPr>
        <w:t xml:space="preserve"> </w:t>
      </w:r>
      <w:r w:rsidRPr="00C36E86">
        <w:rPr>
          <w:b/>
          <w:lang w:val="es-ES"/>
        </w:rPr>
        <w:t>relacionada</w:t>
      </w:r>
      <w:r w:rsidR="00D136BB">
        <w:rPr>
          <w:b/>
          <w:lang w:val="es-ES"/>
        </w:rPr>
        <w:t xml:space="preserve"> </w:t>
      </w:r>
      <w:r w:rsidRPr="00C36E86">
        <w:rPr>
          <w:b/>
          <w:lang w:val="es-ES"/>
        </w:rPr>
        <w:t>con</w:t>
      </w:r>
      <w:r w:rsidR="00D136BB">
        <w:rPr>
          <w:b/>
          <w:lang w:val="es-ES"/>
        </w:rPr>
        <w:t xml:space="preserve"> </w:t>
      </w:r>
      <w:r w:rsidRPr="00C36E86">
        <w:rPr>
          <w:b/>
          <w:lang w:val="es-ES"/>
        </w:rPr>
        <w:t>la</w:t>
      </w:r>
      <w:r w:rsidR="00D136BB">
        <w:rPr>
          <w:b/>
          <w:lang w:val="es-ES"/>
        </w:rPr>
        <w:t xml:space="preserve"> </w:t>
      </w:r>
      <w:r w:rsidRPr="00C36E86">
        <w:rPr>
          <w:b/>
          <w:lang w:val="es-ES"/>
        </w:rPr>
        <w:t>energía</w:t>
      </w:r>
      <w:r w:rsidR="00D136BB">
        <w:rPr>
          <w:b/>
          <w:lang w:val="es-ES"/>
        </w:rPr>
        <w:t xml:space="preserve"> </w:t>
      </w:r>
      <w:r w:rsidRPr="00C36E86">
        <w:rPr>
          <w:b/>
          <w:lang w:val="es-ES"/>
        </w:rPr>
        <w:t>nuclear</w:t>
      </w:r>
      <w:r w:rsidR="00D136BB">
        <w:rPr>
          <w:b/>
          <w:lang w:val="es-ES"/>
        </w:rPr>
        <w:t xml:space="preserve"> </w:t>
      </w:r>
      <w:r w:rsidRPr="00C36E86">
        <w:rPr>
          <w:b/>
          <w:lang w:val="es-ES"/>
        </w:rPr>
        <w:t>en</w:t>
      </w:r>
      <w:r w:rsidR="00D136BB">
        <w:rPr>
          <w:b/>
          <w:lang w:val="es-ES"/>
        </w:rPr>
        <w:t xml:space="preserve"> </w:t>
      </w:r>
      <w:r w:rsidRPr="00C36E86">
        <w:rPr>
          <w:b/>
          <w:lang w:val="es-ES"/>
        </w:rPr>
        <w:t>la</w:t>
      </w:r>
      <w:r w:rsidR="00D136BB">
        <w:rPr>
          <w:b/>
          <w:lang w:val="es-ES"/>
        </w:rPr>
        <w:t xml:space="preserve"> </w:t>
      </w:r>
      <w:r w:rsidRPr="00C36E86">
        <w:rPr>
          <w:b/>
          <w:lang w:val="es-ES"/>
        </w:rPr>
        <w:t>región</w:t>
      </w:r>
    </w:p>
    <w:p w14:paraId="629DED01" w14:textId="50CDD99C" w:rsidR="00AA6E02" w:rsidRDefault="00AA6E02" w:rsidP="00AA6E02">
      <w:pPr>
        <w:pStyle w:val="BodyText"/>
        <w:rPr>
          <w:lang w:val="es-ES"/>
        </w:rPr>
      </w:pPr>
      <w:r>
        <w:rPr>
          <w:lang w:val="es-ES"/>
        </w:rPr>
        <w:t>La</w:t>
      </w:r>
      <w:r w:rsidR="00D136BB">
        <w:rPr>
          <w:lang w:val="es-ES"/>
        </w:rPr>
        <w:t xml:space="preserve"> </w:t>
      </w:r>
      <w:r>
        <w:rPr>
          <w:lang w:val="es-ES"/>
        </w:rPr>
        <w:t>región</w:t>
      </w:r>
      <w:r w:rsidR="00D136BB">
        <w:rPr>
          <w:lang w:val="es-ES"/>
        </w:rPr>
        <w:t xml:space="preserve"> </w:t>
      </w:r>
      <w:r>
        <w:rPr>
          <w:lang w:val="es-ES"/>
        </w:rPr>
        <w:t>de</w:t>
      </w:r>
      <w:r w:rsidR="00D136BB">
        <w:rPr>
          <w:lang w:val="es-ES"/>
        </w:rPr>
        <w:t xml:space="preserve"> </w:t>
      </w:r>
      <w:r>
        <w:rPr>
          <w:lang w:val="es-ES"/>
        </w:rPr>
        <w:t>América</w:t>
      </w:r>
      <w:r w:rsidR="00D136BB">
        <w:rPr>
          <w:lang w:val="es-ES"/>
        </w:rPr>
        <w:t xml:space="preserve"> </w:t>
      </w:r>
      <w:r>
        <w:rPr>
          <w:lang w:val="es-ES"/>
        </w:rPr>
        <w:t>Latina</w:t>
      </w:r>
      <w:r w:rsidR="00D136BB">
        <w:rPr>
          <w:lang w:val="es-ES"/>
        </w:rPr>
        <w:t xml:space="preserve"> </w:t>
      </w:r>
      <w:r>
        <w:rPr>
          <w:lang w:val="es-ES"/>
        </w:rPr>
        <w:t>y</w:t>
      </w:r>
      <w:r w:rsidR="00D136BB">
        <w:rPr>
          <w:lang w:val="es-ES"/>
        </w:rPr>
        <w:t xml:space="preserve"> </w:t>
      </w:r>
      <w:r>
        <w:rPr>
          <w:lang w:val="es-ES"/>
        </w:rPr>
        <w:t>el</w:t>
      </w:r>
      <w:r w:rsidR="00D136BB">
        <w:rPr>
          <w:lang w:val="es-ES"/>
        </w:rPr>
        <w:t xml:space="preserve"> </w:t>
      </w:r>
      <w:r>
        <w:rPr>
          <w:lang w:val="es-ES"/>
        </w:rPr>
        <w:t>Caribe</w:t>
      </w:r>
      <w:r w:rsidR="00D136BB">
        <w:rPr>
          <w:lang w:val="es-ES"/>
        </w:rPr>
        <w:t xml:space="preserve"> </w:t>
      </w:r>
      <w:r>
        <w:rPr>
          <w:lang w:val="es-ES"/>
        </w:rPr>
        <w:t>está</w:t>
      </w:r>
      <w:r w:rsidR="00D136BB">
        <w:rPr>
          <w:lang w:val="es-ES"/>
        </w:rPr>
        <w:t xml:space="preserve"> </w:t>
      </w:r>
      <w:r>
        <w:rPr>
          <w:lang w:val="es-ES"/>
        </w:rPr>
        <w:t>compuesta</w:t>
      </w:r>
      <w:r w:rsidR="00D136BB">
        <w:rPr>
          <w:lang w:val="es-ES"/>
        </w:rPr>
        <w:t xml:space="preserve"> </w:t>
      </w:r>
      <w:r>
        <w:rPr>
          <w:lang w:val="es-ES"/>
        </w:rPr>
        <w:t>por</w:t>
      </w:r>
      <w:r w:rsidR="00D136BB">
        <w:rPr>
          <w:lang w:val="es-ES"/>
        </w:rPr>
        <w:t xml:space="preserve"> </w:t>
      </w:r>
      <w:r>
        <w:rPr>
          <w:lang w:val="es-ES"/>
        </w:rPr>
        <w:t>45</w:t>
      </w:r>
      <w:r w:rsidR="00D136BB">
        <w:rPr>
          <w:lang w:val="es-ES"/>
        </w:rPr>
        <w:t xml:space="preserve"> </w:t>
      </w:r>
      <w:r>
        <w:rPr>
          <w:lang w:val="es-ES"/>
        </w:rPr>
        <w:t>países,</w:t>
      </w:r>
      <w:r w:rsidR="00D136BB">
        <w:rPr>
          <w:lang w:val="es-ES"/>
        </w:rPr>
        <w:t xml:space="preserve"> </w:t>
      </w:r>
      <w:r>
        <w:rPr>
          <w:lang w:val="es-ES"/>
        </w:rPr>
        <w:t>en</w:t>
      </w:r>
      <w:r w:rsidR="00D136BB">
        <w:rPr>
          <w:lang w:val="es-ES"/>
        </w:rPr>
        <w:t xml:space="preserve"> </w:t>
      </w:r>
      <w:r>
        <w:rPr>
          <w:lang w:val="es-ES"/>
        </w:rPr>
        <w:t>un</w:t>
      </w:r>
      <w:r w:rsidR="00D136BB">
        <w:rPr>
          <w:lang w:val="es-ES"/>
        </w:rPr>
        <w:t xml:space="preserve"> </w:t>
      </w:r>
      <w:r>
        <w:rPr>
          <w:lang w:val="es-ES"/>
        </w:rPr>
        <w:t>territorio</w:t>
      </w:r>
      <w:r w:rsidR="00D136BB">
        <w:rPr>
          <w:lang w:val="es-ES"/>
        </w:rPr>
        <w:t xml:space="preserve"> </w:t>
      </w:r>
      <w:r>
        <w:rPr>
          <w:lang w:val="es-ES"/>
        </w:rPr>
        <w:t>que</w:t>
      </w:r>
      <w:r w:rsidR="00D136BB">
        <w:rPr>
          <w:lang w:val="es-ES"/>
        </w:rPr>
        <w:t xml:space="preserve"> </w:t>
      </w:r>
      <w:r>
        <w:rPr>
          <w:lang w:val="es-ES"/>
        </w:rPr>
        <w:t>abarca</w:t>
      </w:r>
      <w:r w:rsidR="00D136BB">
        <w:rPr>
          <w:lang w:val="es-ES"/>
        </w:rPr>
        <w:t xml:space="preserve"> </w:t>
      </w:r>
      <w:r>
        <w:rPr>
          <w:lang w:val="es-ES"/>
        </w:rPr>
        <w:t>20,4</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kilómetros</w:t>
      </w:r>
      <w:r w:rsidR="00D136BB">
        <w:rPr>
          <w:lang w:val="es-ES"/>
        </w:rPr>
        <w:t xml:space="preserve"> </w:t>
      </w:r>
      <w:r>
        <w:rPr>
          <w:lang w:val="es-ES"/>
        </w:rPr>
        <w:t>cuadrados.</w:t>
      </w:r>
      <w:r w:rsidR="00D136BB">
        <w:rPr>
          <w:lang w:val="es-ES"/>
        </w:rPr>
        <w:t xml:space="preserve"> </w:t>
      </w:r>
      <w:r>
        <w:rPr>
          <w:lang w:val="es-ES"/>
        </w:rPr>
        <w:t>La</w:t>
      </w:r>
      <w:r w:rsidR="00D136BB">
        <w:rPr>
          <w:lang w:val="es-ES"/>
        </w:rPr>
        <w:t xml:space="preserve"> </w:t>
      </w:r>
      <w:r>
        <w:rPr>
          <w:lang w:val="es-ES"/>
        </w:rPr>
        <w:t>población</w:t>
      </w:r>
      <w:r w:rsidR="00D136BB">
        <w:rPr>
          <w:lang w:val="es-ES"/>
        </w:rPr>
        <w:t xml:space="preserve"> </w:t>
      </w:r>
      <w:r>
        <w:rPr>
          <w:lang w:val="es-ES"/>
        </w:rPr>
        <w:t>de</w:t>
      </w:r>
      <w:r w:rsidR="00D136BB">
        <w:rPr>
          <w:lang w:val="es-ES"/>
        </w:rPr>
        <w:t xml:space="preserve"> </w:t>
      </w:r>
      <w:r>
        <w:rPr>
          <w:lang w:val="es-ES"/>
        </w:rPr>
        <w:t>poco</w:t>
      </w:r>
      <w:r w:rsidR="00D136BB">
        <w:rPr>
          <w:lang w:val="es-ES"/>
        </w:rPr>
        <w:t xml:space="preserve"> </w:t>
      </w:r>
      <w:r>
        <w:rPr>
          <w:lang w:val="es-ES"/>
        </w:rPr>
        <w:t>más</w:t>
      </w:r>
      <w:r w:rsidR="00D136BB">
        <w:rPr>
          <w:lang w:val="es-ES"/>
        </w:rPr>
        <w:t xml:space="preserve"> </w:t>
      </w:r>
      <w:r>
        <w:rPr>
          <w:lang w:val="es-ES"/>
        </w:rPr>
        <w:t>de</w:t>
      </w:r>
      <w:r w:rsidR="00D136BB">
        <w:rPr>
          <w:lang w:val="es-ES"/>
        </w:rPr>
        <w:t xml:space="preserve"> </w:t>
      </w:r>
      <w:r>
        <w:rPr>
          <w:lang w:val="es-ES"/>
        </w:rPr>
        <w:t>640</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habitantes</w:t>
      </w:r>
      <w:r w:rsidR="00D136BB">
        <w:rPr>
          <w:lang w:val="es-ES"/>
        </w:rPr>
        <w:t xml:space="preserve"> </w:t>
      </w:r>
      <w:r>
        <w:rPr>
          <w:lang w:val="es-ES"/>
        </w:rPr>
        <w:t>al</w:t>
      </w:r>
      <w:r w:rsidR="00D136BB">
        <w:rPr>
          <w:lang w:val="es-ES"/>
        </w:rPr>
        <w:t xml:space="preserve"> </w:t>
      </w:r>
      <w:r>
        <w:rPr>
          <w:lang w:val="es-ES"/>
        </w:rPr>
        <w:t>año</w:t>
      </w:r>
      <w:r w:rsidR="00D136BB">
        <w:rPr>
          <w:lang w:val="es-ES"/>
        </w:rPr>
        <w:t xml:space="preserve"> </w:t>
      </w:r>
      <w:r>
        <w:rPr>
          <w:lang w:val="es-ES"/>
        </w:rPr>
        <w:t>2018,</w:t>
      </w:r>
      <w:r w:rsidR="00D136BB">
        <w:rPr>
          <w:lang w:val="es-ES"/>
        </w:rPr>
        <w:t xml:space="preserve"> </w:t>
      </w:r>
      <w:r>
        <w:rPr>
          <w:lang w:val="es-ES"/>
        </w:rPr>
        <w:t>crece</w:t>
      </w:r>
      <w:r w:rsidR="00D136BB">
        <w:rPr>
          <w:lang w:val="es-ES"/>
        </w:rPr>
        <w:t xml:space="preserve"> </w:t>
      </w:r>
      <w:r>
        <w:rPr>
          <w:lang w:val="es-ES"/>
        </w:rPr>
        <w:t>a</w:t>
      </w:r>
      <w:r w:rsidR="00D136BB">
        <w:rPr>
          <w:lang w:val="es-ES"/>
        </w:rPr>
        <w:t xml:space="preserve"> </w:t>
      </w:r>
      <w:r>
        <w:rPr>
          <w:lang w:val="es-ES"/>
        </w:rPr>
        <w:t>un</w:t>
      </w:r>
      <w:r w:rsidR="00D136BB">
        <w:rPr>
          <w:lang w:val="es-ES"/>
        </w:rPr>
        <w:t xml:space="preserve"> </w:t>
      </w:r>
      <w:r>
        <w:rPr>
          <w:lang w:val="es-ES"/>
        </w:rPr>
        <w:t>ritmo</w:t>
      </w:r>
      <w:r w:rsidR="00D136BB">
        <w:rPr>
          <w:lang w:val="es-ES"/>
        </w:rPr>
        <w:t xml:space="preserve"> </w:t>
      </w:r>
      <w:r>
        <w:rPr>
          <w:lang w:val="es-ES"/>
        </w:rPr>
        <w:t>anual</w:t>
      </w:r>
      <w:r w:rsidR="00D136BB">
        <w:rPr>
          <w:lang w:val="es-ES"/>
        </w:rPr>
        <w:t xml:space="preserve"> </w:t>
      </w:r>
      <w:r>
        <w:rPr>
          <w:lang w:val="es-ES"/>
        </w:rPr>
        <w:t>de</w:t>
      </w:r>
      <w:r w:rsidR="00D136BB">
        <w:rPr>
          <w:lang w:val="es-ES"/>
        </w:rPr>
        <w:t xml:space="preserve"> </w:t>
      </w:r>
      <w:r>
        <w:rPr>
          <w:lang w:val="es-ES"/>
        </w:rPr>
        <w:t>1%.</w:t>
      </w:r>
      <w:r w:rsidR="00D136BB">
        <w:rPr>
          <w:lang w:val="es-ES"/>
        </w:rPr>
        <w:t xml:space="preserve"> </w:t>
      </w:r>
      <w:r>
        <w:rPr>
          <w:lang w:val="es-ES"/>
        </w:rPr>
        <w:t>El</w:t>
      </w:r>
      <w:r w:rsidR="00D136BB">
        <w:rPr>
          <w:lang w:val="es-ES"/>
        </w:rPr>
        <w:t xml:space="preserve"> </w:t>
      </w:r>
      <w:r>
        <w:rPr>
          <w:lang w:val="es-ES"/>
        </w:rPr>
        <w:t>Producto</w:t>
      </w:r>
      <w:r w:rsidR="00D136BB">
        <w:rPr>
          <w:lang w:val="es-ES"/>
        </w:rPr>
        <w:t xml:space="preserve"> </w:t>
      </w:r>
      <w:r>
        <w:rPr>
          <w:lang w:val="es-ES"/>
        </w:rPr>
        <w:t>Interno</w:t>
      </w:r>
      <w:r w:rsidR="00D136BB">
        <w:rPr>
          <w:lang w:val="es-ES"/>
        </w:rPr>
        <w:t xml:space="preserve"> </w:t>
      </w:r>
      <w:r>
        <w:rPr>
          <w:lang w:val="es-ES"/>
        </w:rPr>
        <w:t>Bruto</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año</w:t>
      </w:r>
      <w:r w:rsidR="00D136BB">
        <w:rPr>
          <w:lang w:val="es-ES"/>
        </w:rPr>
        <w:t xml:space="preserve"> </w:t>
      </w:r>
      <w:r>
        <w:rPr>
          <w:lang w:val="es-ES"/>
        </w:rPr>
        <w:t>2018</w:t>
      </w:r>
      <w:r w:rsidR="00D136BB">
        <w:rPr>
          <w:lang w:val="es-ES"/>
        </w:rPr>
        <w:t xml:space="preserve"> </w:t>
      </w:r>
      <w:r>
        <w:rPr>
          <w:lang w:val="es-ES"/>
        </w:rPr>
        <w:t>fue</w:t>
      </w:r>
      <w:r w:rsidR="00D136BB">
        <w:rPr>
          <w:lang w:val="es-ES"/>
        </w:rPr>
        <w:t xml:space="preserve"> </w:t>
      </w:r>
      <w:r>
        <w:rPr>
          <w:lang w:val="es-ES"/>
        </w:rPr>
        <w:t>de</w:t>
      </w:r>
      <w:r w:rsidR="00D136BB">
        <w:rPr>
          <w:lang w:val="es-ES"/>
        </w:rPr>
        <w:t xml:space="preserve"> </w:t>
      </w:r>
      <w:r>
        <w:rPr>
          <w:lang w:val="es-ES"/>
        </w:rPr>
        <w:t>5787</w:t>
      </w:r>
      <w:r w:rsidR="00D136BB">
        <w:rPr>
          <w:lang w:val="es-ES"/>
        </w:rPr>
        <w:t xml:space="preserve"> </w:t>
      </w:r>
      <w:r>
        <w:rPr>
          <w:lang w:val="es-ES"/>
        </w:rPr>
        <w:t>miles</w:t>
      </w:r>
      <w:r w:rsidR="00D136BB">
        <w:rPr>
          <w:lang w:val="es-ES"/>
        </w:rPr>
        <w:t xml:space="preserve"> </w:t>
      </w:r>
      <w:r>
        <w:rPr>
          <w:lang w:val="es-ES"/>
        </w:rPr>
        <w:t>de</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USD</w:t>
      </w:r>
      <w:r w:rsidR="00D136BB">
        <w:rPr>
          <w:lang w:val="es-ES"/>
        </w:rPr>
        <w:t xml:space="preserve"> </w:t>
      </w:r>
      <w:r>
        <w:rPr>
          <w:lang w:val="es-ES"/>
        </w:rPr>
        <w:t>a</w:t>
      </w:r>
      <w:r w:rsidR="00D136BB">
        <w:rPr>
          <w:lang w:val="es-ES"/>
        </w:rPr>
        <w:t xml:space="preserve"> </w:t>
      </w:r>
      <w:r>
        <w:rPr>
          <w:lang w:val="es-ES"/>
        </w:rPr>
        <w:t>precios</w:t>
      </w:r>
      <w:r w:rsidR="00D136BB">
        <w:rPr>
          <w:lang w:val="es-ES"/>
        </w:rPr>
        <w:t xml:space="preserve"> </w:t>
      </w:r>
      <w:r>
        <w:rPr>
          <w:lang w:val="es-ES"/>
        </w:rPr>
        <w:t>constantes</w:t>
      </w:r>
      <w:r w:rsidR="00D136BB">
        <w:rPr>
          <w:lang w:val="es-ES"/>
        </w:rPr>
        <w:t xml:space="preserve"> </w:t>
      </w:r>
      <w:r>
        <w:rPr>
          <w:lang w:val="es-ES"/>
        </w:rPr>
        <w:t>del</w:t>
      </w:r>
      <w:r w:rsidR="00D136BB">
        <w:rPr>
          <w:lang w:val="es-ES"/>
        </w:rPr>
        <w:t xml:space="preserve"> </w:t>
      </w:r>
      <w:r>
        <w:rPr>
          <w:lang w:val="es-ES"/>
        </w:rPr>
        <w:t>2005.</w:t>
      </w:r>
      <w:r w:rsidR="00D136BB">
        <w:rPr>
          <w:lang w:val="es-ES"/>
        </w:rPr>
        <w:t xml:space="preserve"> </w:t>
      </w:r>
      <w:r>
        <w:rPr>
          <w:lang w:val="es-ES"/>
        </w:rPr>
        <w:t>El</w:t>
      </w:r>
      <w:r w:rsidR="00D136BB">
        <w:rPr>
          <w:lang w:val="es-ES"/>
        </w:rPr>
        <w:t xml:space="preserve"> </w:t>
      </w:r>
      <w:r>
        <w:rPr>
          <w:lang w:val="es-ES"/>
        </w:rPr>
        <w:t>ingreso</w:t>
      </w:r>
      <w:r w:rsidR="00D136BB">
        <w:rPr>
          <w:lang w:val="es-ES"/>
        </w:rPr>
        <w:t xml:space="preserve"> </w:t>
      </w:r>
      <w:r>
        <w:rPr>
          <w:lang w:val="es-ES"/>
        </w:rPr>
        <w:t>per</w:t>
      </w:r>
      <w:r w:rsidR="00D136BB">
        <w:rPr>
          <w:lang w:val="es-ES"/>
        </w:rPr>
        <w:t xml:space="preserve"> </w:t>
      </w:r>
      <w:r>
        <w:rPr>
          <w:lang w:val="es-ES"/>
        </w:rPr>
        <w:t>cápita</w:t>
      </w:r>
      <w:r w:rsidR="00D136BB">
        <w:rPr>
          <w:lang w:val="es-ES"/>
        </w:rPr>
        <w:t xml:space="preserve"> </w:t>
      </w:r>
      <w:r>
        <w:rPr>
          <w:lang w:val="es-ES"/>
        </w:rPr>
        <w:t>anual</w:t>
      </w:r>
      <w:r w:rsidR="00D136BB">
        <w:rPr>
          <w:lang w:val="es-ES"/>
        </w:rPr>
        <w:t xml:space="preserve"> </w:t>
      </w:r>
      <w:r>
        <w:rPr>
          <w:lang w:val="es-ES"/>
        </w:rPr>
        <w:t>(2018)</w:t>
      </w:r>
      <w:r w:rsidR="00D136BB">
        <w:rPr>
          <w:lang w:val="es-ES"/>
        </w:rPr>
        <w:t xml:space="preserve"> </w:t>
      </w:r>
      <w:r>
        <w:rPr>
          <w:lang w:val="es-ES"/>
        </w:rPr>
        <w:t>fue</w:t>
      </w:r>
      <w:r w:rsidR="00D136BB">
        <w:rPr>
          <w:lang w:val="es-ES"/>
        </w:rPr>
        <w:t xml:space="preserve"> </w:t>
      </w:r>
      <w:r>
        <w:rPr>
          <w:lang w:val="es-ES"/>
        </w:rPr>
        <w:t>de</w:t>
      </w:r>
      <w:r w:rsidR="00D136BB">
        <w:rPr>
          <w:lang w:val="es-ES"/>
        </w:rPr>
        <w:t xml:space="preserve"> </w:t>
      </w:r>
      <w:r>
        <w:rPr>
          <w:lang w:val="es-ES"/>
        </w:rPr>
        <w:t>9042</w:t>
      </w:r>
      <w:r w:rsidR="00D136BB">
        <w:rPr>
          <w:lang w:val="es-ES"/>
        </w:rPr>
        <w:t xml:space="preserve"> </w:t>
      </w:r>
      <w:r>
        <w:rPr>
          <w:lang w:val="es-ES"/>
        </w:rPr>
        <w:t>USD.</w:t>
      </w:r>
      <w:r w:rsidR="00D136BB">
        <w:rPr>
          <w:lang w:val="es-ES"/>
        </w:rPr>
        <w:t xml:space="preserve"> </w:t>
      </w:r>
      <w:r>
        <w:rPr>
          <w:lang w:val="es-ES"/>
        </w:rPr>
        <w:t>La</w:t>
      </w:r>
      <w:r w:rsidR="00D136BB">
        <w:rPr>
          <w:lang w:val="es-ES"/>
        </w:rPr>
        <w:t xml:space="preserve"> </w:t>
      </w:r>
      <w:r>
        <w:rPr>
          <w:lang w:val="es-ES"/>
        </w:rPr>
        <w:t>esperanza</w:t>
      </w:r>
      <w:r w:rsidR="00D136BB">
        <w:rPr>
          <w:lang w:val="es-ES"/>
        </w:rPr>
        <w:t xml:space="preserve"> </w:t>
      </w:r>
      <w:r>
        <w:rPr>
          <w:lang w:val="es-ES"/>
        </w:rPr>
        <w:t>de</w:t>
      </w:r>
      <w:r w:rsidR="00D136BB">
        <w:rPr>
          <w:lang w:val="es-ES"/>
        </w:rPr>
        <w:t xml:space="preserve"> </w:t>
      </w:r>
      <w:r>
        <w:rPr>
          <w:lang w:val="es-ES"/>
        </w:rPr>
        <w:t>vida</w:t>
      </w:r>
      <w:r w:rsidR="00D136BB">
        <w:rPr>
          <w:lang w:val="es-ES"/>
        </w:rPr>
        <w:t xml:space="preserve"> </w:t>
      </w:r>
      <w:r>
        <w:rPr>
          <w:lang w:val="es-ES"/>
        </w:rPr>
        <w:t>al</w:t>
      </w:r>
      <w:r w:rsidR="00D136BB">
        <w:rPr>
          <w:lang w:val="es-ES"/>
        </w:rPr>
        <w:t xml:space="preserve"> </w:t>
      </w:r>
      <w:r>
        <w:rPr>
          <w:lang w:val="es-ES"/>
        </w:rPr>
        <w:t>nacer</w:t>
      </w:r>
      <w:r w:rsidR="00D136BB">
        <w:rPr>
          <w:lang w:val="es-ES"/>
        </w:rPr>
        <w:t xml:space="preserve"> </w:t>
      </w:r>
      <w:r>
        <w:rPr>
          <w:lang w:val="es-ES"/>
        </w:rPr>
        <w:t>es</w:t>
      </w:r>
      <w:r w:rsidR="00D136BB">
        <w:rPr>
          <w:lang w:val="es-ES"/>
        </w:rPr>
        <w:t xml:space="preserve"> </w:t>
      </w:r>
      <w:r>
        <w:rPr>
          <w:lang w:val="es-ES"/>
        </w:rPr>
        <w:t>de</w:t>
      </w:r>
      <w:r w:rsidR="00D136BB">
        <w:rPr>
          <w:lang w:val="es-ES"/>
        </w:rPr>
        <w:t xml:space="preserve"> </w:t>
      </w:r>
      <w:r>
        <w:rPr>
          <w:lang w:val="es-ES"/>
        </w:rPr>
        <w:t>75,2</w:t>
      </w:r>
      <w:r w:rsidR="00D136BB">
        <w:rPr>
          <w:lang w:val="es-ES"/>
        </w:rPr>
        <w:t xml:space="preserve"> </w:t>
      </w:r>
      <w:r>
        <w:rPr>
          <w:lang w:val="es-ES"/>
        </w:rPr>
        <w:t>años.</w:t>
      </w:r>
      <w:r w:rsidR="00D136BB">
        <w:rPr>
          <w:lang w:val="es-ES"/>
        </w:rPr>
        <w:t xml:space="preserve"> </w:t>
      </w:r>
      <w:r>
        <w:rPr>
          <w:lang w:val="es-ES"/>
        </w:rPr>
        <w:t>La</w:t>
      </w:r>
      <w:r w:rsidR="00D136BB">
        <w:rPr>
          <w:lang w:val="es-ES"/>
        </w:rPr>
        <w:t xml:space="preserve"> </w:t>
      </w:r>
      <w:r>
        <w:rPr>
          <w:lang w:val="es-ES"/>
        </w:rPr>
        <w:t>tasa</w:t>
      </w:r>
      <w:r w:rsidR="00D136BB">
        <w:rPr>
          <w:lang w:val="es-ES"/>
        </w:rPr>
        <w:t xml:space="preserve"> </w:t>
      </w:r>
      <w:r>
        <w:rPr>
          <w:lang w:val="es-ES"/>
        </w:rPr>
        <w:t>de</w:t>
      </w:r>
      <w:r w:rsidR="00D136BB">
        <w:rPr>
          <w:lang w:val="es-ES"/>
        </w:rPr>
        <w:t xml:space="preserve"> </w:t>
      </w:r>
      <w:r>
        <w:rPr>
          <w:lang w:val="es-ES"/>
        </w:rPr>
        <w:t>alfabetización</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población</w:t>
      </w:r>
      <w:r w:rsidR="00D136BB">
        <w:rPr>
          <w:lang w:val="es-ES"/>
        </w:rPr>
        <w:t xml:space="preserve"> </w:t>
      </w:r>
      <w:r>
        <w:rPr>
          <w:lang w:val="es-ES"/>
        </w:rPr>
        <w:t>de</w:t>
      </w:r>
      <w:r w:rsidR="00D136BB">
        <w:rPr>
          <w:lang w:val="es-ES"/>
        </w:rPr>
        <w:t xml:space="preserve"> </w:t>
      </w:r>
      <w:r>
        <w:rPr>
          <w:lang w:val="es-ES"/>
        </w:rPr>
        <w:t>15</w:t>
      </w:r>
      <w:r w:rsidR="00D136BB">
        <w:rPr>
          <w:lang w:val="es-ES"/>
        </w:rPr>
        <w:t xml:space="preserve"> </w:t>
      </w:r>
      <w:r>
        <w:rPr>
          <w:lang w:val="es-ES"/>
        </w:rPr>
        <w:t>años</w:t>
      </w:r>
      <w:r w:rsidR="00D136BB">
        <w:rPr>
          <w:lang w:val="es-ES"/>
        </w:rPr>
        <w:t xml:space="preserve"> </w:t>
      </w:r>
      <w:r>
        <w:rPr>
          <w:lang w:val="es-ES"/>
        </w:rPr>
        <w:t>y</w:t>
      </w:r>
      <w:r w:rsidR="00D136BB">
        <w:rPr>
          <w:lang w:val="es-ES"/>
        </w:rPr>
        <w:t xml:space="preserve"> </w:t>
      </w:r>
      <w:r>
        <w:rPr>
          <w:lang w:val="es-ES"/>
        </w:rPr>
        <w:t>más</w:t>
      </w:r>
      <w:r w:rsidR="00D136BB">
        <w:rPr>
          <w:lang w:val="es-ES"/>
        </w:rPr>
        <w:t xml:space="preserve"> </w:t>
      </w:r>
      <w:r>
        <w:rPr>
          <w:lang w:val="es-ES"/>
        </w:rPr>
        <w:t>era</w:t>
      </w:r>
      <w:r w:rsidR="00D136BB">
        <w:rPr>
          <w:lang w:val="es-ES"/>
        </w:rPr>
        <w:t xml:space="preserve"> </w:t>
      </w:r>
      <w:r>
        <w:rPr>
          <w:lang w:val="es-ES"/>
        </w:rPr>
        <w:t>de</w:t>
      </w:r>
      <w:r w:rsidR="00D136BB">
        <w:rPr>
          <w:lang w:val="es-ES"/>
        </w:rPr>
        <w:t xml:space="preserve"> </w:t>
      </w:r>
      <w:r>
        <w:rPr>
          <w:lang w:val="es-ES"/>
        </w:rPr>
        <w:t>93,5%</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2016</w:t>
      </w:r>
      <w:r w:rsidR="00D136BB">
        <w:rPr>
          <w:lang w:val="es-ES"/>
        </w:rPr>
        <w:t xml:space="preserve"> </w:t>
      </w:r>
      <w:r>
        <w:rPr>
          <w:lang w:val="es-ES"/>
        </w:rPr>
        <w:t>[1].</w:t>
      </w:r>
      <w:r w:rsidR="00D136BB">
        <w:rPr>
          <w:lang w:val="es-ES"/>
        </w:rPr>
        <w:t xml:space="preserve"> </w:t>
      </w:r>
    </w:p>
    <w:p w14:paraId="5F9A2617" w14:textId="5706B664" w:rsidR="00AA6E02" w:rsidRDefault="00AA6E02" w:rsidP="00AA6E02">
      <w:pPr>
        <w:pStyle w:val="BodyText"/>
        <w:rPr>
          <w:lang w:val="es-ES"/>
        </w:rPr>
      </w:pPr>
      <w:r>
        <w:rPr>
          <w:lang w:val="es-ES"/>
        </w:rPr>
        <w:t>La</w:t>
      </w:r>
      <w:r w:rsidR="00D136BB">
        <w:rPr>
          <w:lang w:val="es-ES"/>
        </w:rPr>
        <w:t xml:space="preserve"> </w:t>
      </w:r>
      <w:r>
        <w:rPr>
          <w:lang w:val="es-ES"/>
        </w:rPr>
        <w:t>demanda</w:t>
      </w:r>
      <w:r w:rsidR="00D136BB">
        <w:rPr>
          <w:lang w:val="es-ES"/>
        </w:rPr>
        <w:t xml:space="preserve"> </w:t>
      </w:r>
      <w:r>
        <w:rPr>
          <w:lang w:val="es-ES"/>
        </w:rPr>
        <w:t>de</w:t>
      </w:r>
      <w:r w:rsidR="00D136BB">
        <w:rPr>
          <w:lang w:val="es-ES"/>
        </w:rPr>
        <w:t xml:space="preserve"> </w:t>
      </w:r>
      <w:r>
        <w:rPr>
          <w:lang w:val="es-ES"/>
        </w:rPr>
        <w:t>energía</w:t>
      </w:r>
      <w:r w:rsidR="00D136BB">
        <w:rPr>
          <w:lang w:val="es-ES"/>
        </w:rPr>
        <w:t xml:space="preserve"> </w:t>
      </w:r>
      <w:r>
        <w:rPr>
          <w:lang w:val="es-ES"/>
        </w:rPr>
        <w:t>primaria</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2018</w:t>
      </w:r>
      <w:r w:rsidR="00D136BB">
        <w:rPr>
          <w:lang w:val="es-ES"/>
        </w:rPr>
        <w:t xml:space="preserve"> </w:t>
      </w:r>
      <w:r>
        <w:rPr>
          <w:lang w:val="es-ES"/>
        </w:rPr>
        <w:t>era</w:t>
      </w:r>
      <w:r w:rsidR="00D136BB">
        <w:rPr>
          <w:lang w:val="es-ES"/>
        </w:rPr>
        <w:t xml:space="preserve"> </w:t>
      </w:r>
      <w:r>
        <w:rPr>
          <w:lang w:val="es-ES"/>
        </w:rPr>
        <w:t>de</w:t>
      </w:r>
      <w:r w:rsidR="00D136BB">
        <w:rPr>
          <w:lang w:val="es-ES"/>
        </w:rPr>
        <w:t xml:space="preserve"> </w:t>
      </w:r>
      <w:r>
        <w:rPr>
          <w:lang w:val="es-ES"/>
        </w:rPr>
        <w:t>702</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toneladas</w:t>
      </w:r>
      <w:r w:rsidR="00D136BB">
        <w:rPr>
          <w:lang w:val="es-ES"/>
        </w:rPr>
        <w:t xml:space="preserve"> </w:t>
      </w:r>
      <w:r>
        <w:rPr>
          <w:lang w:val="es-ES"/>
        </w:rPr>
        <w:t>equivalentes</w:t>
      </w:r>
      <w:r w:rsidR="00D136BB">
        <w:rPr>
          <w:lang w:val="es-ES"/>
        </w:rPr>
        <w:t xml:space="preserve"> </w:t>
      </w:r>
      <w:r>
        <w:rPr>
          <w:lang w:val="es-ES"/>
        </w:rPr>
        <w:t>de</w:t>
      </w:r>
      <w:r w:rsidR="00D136BB">
        <w:rPr>
          <w:lang w:val="es-ES"/>
        </w:rPr>
        <w:t xml:space="preserve"> </w:t>
      </w:r>
      <w:r>
        <w:rPr>
          <w:lang w:val="es-ES"/>
        </w:rPr>
        <w:t>petróleo</w:t>
      </w:r>
      <w:r w:rsidR="00D136BB">
        <w:rPr>
          <w:lang w:val="es-ES"/>
        </w:rPr>
        <w:t xml:space="preserve"> </w:t>
      </w:r>
      <w:r>
        <w:rPr>
          <w:lang w:val="es-ES"/>
        </w:rPr>
        <w:t>(tep)</w:t>
      </w:r>
      <w:r w:rsidR="00D136BB">
        <w:rPr>
          <w:lang w:val="es-ES"/>
        </w:rPr>
        <w:t xml:space="preserve"> </w:t>
      </w:r>
      <w:r>
        <w:rPr>
          <w:lang w:val="es-ES"/>
        </w:rPr>
        <w:t>y</w:t>
      </w:r>
      <w:r w:rsidR="00D136BB">
        <w:rPr>
          <w:lang w:val="es-ES"/>
        </w:rPr>
        <w:t xml:space="preserve"> </w:t>
      </w:r>
      <w:r>
        <w:rPr>
          <w:lang w:val="es-ES"/>
        </w:rPr>
        <w:t>se</w:t>
      </w:r>
      <w:r w:rsidR="00D136BB">
        <w:rPr>
          <w:lang w:val="es-ES"/>
        </w:rPr>
        <w:t xml:space="preserve"> </w:t>
      </w:r>
      <w:r>
        <w:rPr>
          <w:lang w:val="es-ES"/>
        </w:rPr>
        <w:t>estima</w:t>
      </w:r>
      <w:r w:rsidR="00D136BB">
        <w:rPr>
          <w:lang w:val="es-ES"/>
        </w:rPr>
        <w:t xml:space="preserve"> </w:t>
      </w:r>
      <w:r>
        <w:rPr>
          <w:lang w:val="es-ES"/>
        </w:rPr>
        <w:t>que</w:t>
      </w:r>
      <w:r w:rsidR="00D136BB">
        <w:rPr>
          <w:lang w:val="es-ES"/>
        </w:rPr>
        <w:t xml:space="preserve"> </w:t>
      </w:r>
      <w:r>
        <w:rPr>
          <w:lang w:val="es-ES"/>
        </w:rPr>
        <w:t>esa</w:t>
      </w:r>
      <w:r w:rsidR="00D136BB">
        <w:rPr>
          <w:lang w:val="es-ES"/>
        </w:rPr>
        <w:t xml:space="preserve"> </w:t>
      </w:r>
      <w:r>
        <w:rPr>
          <w:lang w:val="es-ES"/>
        </w:rPr>
        <w:t>cifra</w:t>
      </w:r>
      <w:r w:rsidR="00D136BB">
        <w:rPr>
          <w:lang w:val="es-ES"/>
        </w:rPr>
        <w:t xml:space="preserve"> </w:t>
      </w:r>
      <w:r>
        <w:rPr>
          <w:lang w:val="es-ES"/>
        </w:rPr>
        <w:t>crezca</w:t>
      </w:r>
      <w:r w:rsidR="00D136BB">
        <w:rPr>
          <w:lang w:val="es-ES"/>
        </w:rPr>
        <w:t xml:space="preserve"> </w:t>
      </w:r>
      <w:r>
        <w:rPr>
          <w:lang w:val="es-ES"/>
        </w:rPr>
        <w:t>como</w:t>
      </w:r>
      <w:r w:rsidR="00D136BB">
        <w:rPr>
          <w:lang w:val="es-ES"/>
        </w:rPr>
        <w:t xml:space="preserve"> </w:t>
      </w:r>
      <w:r>
        <w:rPr>
          <w:lang w:val="es-ES"/>
        </w:rPr>
        <w:t>mínimo</w:t>
      </w:r>
      <w:r w:rsidR="00D136BB">
        <w:rPr>
          <w:lang w:val="es-ES"/>
        </w:rPr>
        <w:t xml:space="preserve"> </w:t>
      </w:r>
      <w:r>
        <w:rPr>
          <w:lang w:val="es-ES"/>
        </w:rPr>
        <w:t>al</w:t>
      </w:r>
      <w:r w:rsidR="00D136BB">
        <w:rPr>
          <w:lang w:val="es-ES"/>
        </w:rPr>
        <w:t xml:space="preserve"> </w:t>
      </w:r>
      <w:r>
        <w:rPr>
          <w:lang w:val="es-ES"/>
        </w:rPr>
        <w:t>1,8%</w:t>
      </w:r>
      <w:r w:rsidR="00D136BB">
        <w:rPr>
          <w:lang w:val="es-ES"/>
        </w:rPr>
        <w:t xml:space="preserve"> </w:t>
      </w:r>
      <w:r>
        <w:rPr>
          <w:lang w:val="es-ES"/>
        </w:rPr>
        <w:t>anual</w:t>
      </w:r>
      <w:r w:rsidR="00D136BB">
        <w:rPr>
          <w:lang w:val="es-ES"/>
        </w:rPr>
        <w:t xml:space="preserve"> </w:t>
      </w:r>
      <w:r>
        <w:rPr>
          <w:lang w:val="es-ES"/>
        </w:rPr>
        <w:t>acumulativos</w:t>
      </w:r>
      <w:r w:rsidR="00D136BB">
        <w:rPr>
          <w:lang w:val="es-ES"/>
        </w:rPr>
        <w:t xml:space="preserve"> </w:t>
      </w:r>
      <w:r>
        <w:rPr>
          <w:lang w:val="es-ES"/>
        </w:rPr>
        <w:t>[2]</w:t>
      </w:r>
      <w:r w:rsidR="00D136BB">
        <w:rPr>
          <w:lang w:val="es-ES"/>
        </w:rPr>
        <w:t xml:space="preserve"> </w:t>
      </w:r>
    </w:p>
    <w:p w14:paraId="37B41B52" w14:textId="79E7806A" w:rsidR="00AA6E02" w:rsidRDefault="00AA6E02" w:rsidP="00AA6E02">
      <w:pPr>
        <w:pStyle w:val="BodyText"/>
        <w:rPr>
          <w:lang w:val="es-ES"/>
        </w:rPr>
      </w:pPr>
      <w:r>
        <w:rPr>
          <w:lang w:val="es-ES"/>
        </w:rPr>
        <w:t>Las</w:t>
      </w:r>
      <w:r w:rsidR="00D136BB">
        <w:rPr>
          <w:lang w:val="es-ES"/>
        </w:rPr>
        <w:t xml:space="preserve"> </w:t>
      </w:r>
      <w:r>
        <w:rPr>
          <w:lang w:val="es-ES"/>
        </w:rPr>
        <w:t>reservas</w:t>
      </w:r>
      <w:r w:rsidR="00D136BB">
        <w:rPr>
          <w:lang w:val="es-ES"/>
        </w:rPr>
        <w:t xml:space="preserve"> </w:t>
      </w:r>
      <w:r>
        <w:rPr>
          <w:lang w:val="es-ES"/>
        </w:rPr>
        <w:t>probadas</w:t>
      </w:r>
      <w:r w:rsidR="00D136BB">
        <w:rPr>
          <w:lang w:val="es-ES"/>
        </w:rPr>
        <w:t xml:space="preserve"> </w:t>
      </w:r>
      <w:r>
        <w:rPr>
          <w:lang w:val="es-ES"/>
        </w:rPr>
        <w:t>de</w:t>
      </w:r>
      <w:r w:rsidR="00D136BB">
        <w:rPr>
          <w:lang w:val="es-ES"/>
        </w:rPr>
        <w:t xml:space="preserve"> </w:t>
      </w:r>
      <w:r>
        <w:rPr>
          <w:lang w:val="es-ES"/>
        </w:rPr>
        <w:t>petróleo</w:t>
      </w:r>
      <w:r w:rsidR="00D136BB">
        <w:rPr>
          <w:lang w:val="es-ES"/>
        </w:rPr>
        <w:t xml:space="preserve"> </w:t>
      </w:r>
      <w:r>
        <w:rPr>
          <w:lang w:val="es-ES"/>
        </w:rPr>
        <w:t>(incluyendo</w:t>
      </w:r>
      <w:r w:rsidR="00D136BB">
        <w:rPr>
          <w:lang w:val="es-ES"/>
        </w:rPr>
        <w:t xml:space="preserve"> </w:t>
      </w:r>
      <w:r>
        <w:rPr>
          <w:lang w:val="es-ES"/>
        </w:rPr>
        <w:t>el</w:t>
      </w:r>
      <w:r w:rsidR="00D136BB">
        <w:rPr>
          <w:lang w:val="es-ES"/>
        </w:rPr>
        <w:t xml:space="preserve"> </w:t>
      </w:r>
      <w:r>
        <w:rPr>
          <w:lang w:val="es-ES"/>
        </w:rPr>
        <w:t>shale</w:t>
      </w:r>
      <w:r w:rsidR="00D136BB">
        <w:rPr>
          <w:lang w:val="es-ES"/>
        </w:rPr>
        <w:t xml:space="preserve"> </w:t>
      </w:r>
      <w:r>
        <w:rPr>
          <w:lang w:val="es-ES"/>
        </w:rPr>
        <w:t>oil)</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ascienden</w:t>
      </w:r>
      <w:r w:rsidR="00D136BB">
        <w:rPr>
          <w:lang w:val="es-ES"/>
        </w:rPr>
        <w:t xml:space="preserve"> </w:t>
      </w:r>
      <w:r>
        <w:rPr>
          <w:lang w:val="es-ES"/>
        </w:rPr>
        <w:t>a</w:t>
      </w:r>
      <w:r w:rsidR="00D136BB">
        <w:rPr>
          <w:lang w:val="es-ES"/>
        </w:rPr>
        <w:t xml:space="preserve"> </w:t>
      </w:r>
      <w:r>
        <w:rPr>
          <w:lang w:val="es-ES"/>
        </w:rPr>
        <w:t>alrededor</w:t>
      </w:r>
      <w:r w:rsidR="00D136BB">
        <w:rPr>
          <w:lang w:val="es-ES"/>
        </w:rPr>
        <w:t xml:space="preserve"> </w:t>
      </w:r>
      <w:r>
        <w:rPr>
          <w:lang w:val="es-ES"/>
        </w:rPr>
        <w:t>de</w:t>
      </w:r>
      <w:r w:rsidR="00D136BB">
        <w:rPr>
          <w:lang w:val="es-ES"/>
        </w:rPr>
        <w:t xml:space="preserve"> </w:t>
      </w:r>
      <w:r>
        <w:rPr>
          <w:lang w:val="es-ES"/>
        </w:rPr>
        <w:t>334,5</w:t>
      </w:r>
      <w:r w:rsidR="00D136BB">
        <w:rPr>
          <w:lang w:val="es-ES"/>
        </w:rPr>
        <w:t xml:space="preserve"> </w:t>
      </w:r>
      <w:r>
        <w:rPr>
          <w:lang w:val="es-ES"/>
        </w:rPr>
        <w:t>miles</w:t>
      </w:r>
      <w:r w:rsidR="00D136BB">
        <w:rPr>
          <w:lang w:val="es-ES"/>
        </w:rPr>
        <w:t xml:space="preserve"> </w:t>
      </w:r>
      <w:r>
        <w:rPr>
          <w:lang w:val="es-ES"/>
        </w:rPr>
        <w:t>de</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barriles</w:t>
      </w:r>
      <w:r w:rsidR="00D136BB">
        <w:rPr>
          <w:lang w:val="es-ES"/>
        </w:rPr>
        <w:t xml:space="preserve"> </w:t>
      </w:r>
      <w:r>
        <w:rPr>
          <w:lang w:val="es-ES"/>
        </w:rPr>
        <w:t>(bbl),</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representa</w:t>
      </w:r>
      <w:r w:rsidR="00D136BB">
        <w:rPr>
          <w:lang w:val="es-ES"/>
        </w:rPr>
        <w:t xml:space="preserve"> </w:t>
      </w:r>
      <w:r>
        <w:rPr>
          <w:lang w:val="es-ES"/>
        </w:rPr>
        <w:t>el</w:t>
      </w:r>
      <w:r w:rsidR="00D136BB">
        <w:rPr>
          <w:lang w:val="es-ES"/>
        </w:rPr>
        <w:t xml:space="preserve"> </w:t>
      </w:r>
      <w:r>
        <w:rPr>
          <w:lang w:val="es-ES"/>
        </w:rPr>
        <w:t>20%</w:t>
      </w:r>
      <w:r w:rsidR="00D136BB">
        <w:rPr>
          <w:lang w:val="es-ES"/>
        </w:rPr>
        <w:t xml:space="preserve"> </w:t>
      </w:r>
      <w:r>
        <w:rPr>
          <w:lang w:val="es-ES"/>
        </w:rPr>
        <w:t>de</w:t>
      </w:r>
      <w:r w:rsidR="00D136BB">
        <w:rPr>
          <w:lang w:val="es-ES"/>
        </w:rPr>
        <w:t xml:space="preserve"> </w:t>
      </w:r>
      <w:r>
        <w:rPr>
          <w:lang w:val="es-ES"/>
        </w:rPr>
        <w:t>las</w:t>
      </w:r>
      <w:r w:rsidR="00D136BB">
        <w:rPr>
          <w:lang w:val="es-ES"/>
        </w:rPr>
        <w:t xml:space="preserve"> </w:t>
      </w:r>
      <w:r>
        <w:rPr>
          <w:lang w:val="es-ES"/>
        </w:rPr>
        <w:t>reservas</w:t>
      </w:r>
      <w:r w:rsidR="00D136BB">
        <w:rPr>
          <w:lang w:val="es-ES"/>
        </w:rPr>
        <w:t xml:space="preserve"> </w:t>
      </w:r>
      <w:r>
        <w:rPr>
          <w:lang w:val="es-ES"/>
        </w:rPr>
        <w:t>mundiales.</w:t>
      </w:r>
      <w:r w:rsidR="00D136BB">
        <w:rPr>
          <w:lang w:val="es-ES"/>
        </w:rPr>
        <w:t xml:space="preserve"> </w:t>
      </w:r>
      <w:r>
        <w:rPr>
          <w:lang w:val="es-ES"/>
        </w:rPr>
        <w:t>[3].</w:t>
      </w:r>
      <w:r w:rsidR="00D136BB">
        <w:rPr>
          <w:lang w:val="es-ES"/>
        </w:rPr>
        <w:t xml:space="preserve"> </w:t>
      </w:r>
      <w:r>
        <w:rPr>
          <w:lang w:val="es-ES"/>
        </w:rPr>
        <w:t>Los</w:t>
      </w:r>
      <w:r w:rsidR="00D136BB">
        <w:rPr>
          <w:lang w:val="es-ES"/>
        </w:rPr>
        <w:t xml:space="preserve"> </w:t>
      </w:r>
      <w:r>
        <w:rPr>
          <w:lang w:val="es-ES"/>
        </w:rPr>
        <w:t>principales</w:t>
      </w:r>
      <w:r w:rsidR="00D136BB">
        <w:rPr>
          <w:lang w:val="es-ES"/>
        </w:rPr>
        <w:t xml:space="preserve"> </w:t>
      </w:r>
      <w:r>
        <w:rPr>
          <w:lang w:val="es-ES"/>
        </w:rPr>
        <w:t>productores</w:t>
      </w:r>
      <w:r w:rsidR="00D136BB">
        <w:rPr>
          <w:lang w:val="es-ES"/>
        </w:rPr>
        <w:t xml:space="preserve"> </w:t>
      </w:r>
      <w:r>
        <w:rPr>
          <w:lang w:val="es-ES"/>
        </w:rPr>
        <w:t>de</w:t>
      </w:r>
      <w:r w:rsidR="00D136BB">
        <w:rPr>
          <w:lang w:val="es-ES"/>
        </w:rPr>
        <w:t xml:space="preserve"> </w:t>
      </w:r>
      <w:r>
        <w:rPr>
          <w:lang w:val="es-ES"/>
        </w:rPr>
        <w:t>petróleo</w:t>
      </w:r>
      <w:r w:rsidR="00D136BB">
        <w:rPr>
          <w:lang w:val="es-ES"/>
        </w:rPr>
        <w:t xml:space="preserve"> </w:t>
      </w:r>
      <w:r>
        <w:rPr>
          <w:lang w:val="es-ES"/>
        </w:rPr>
        <w:t>son</w:t>
      </w:r>
      <w:r w:rsidR="00D136BB">
        <w:rPr>
          <w:lang w:val="es-ES"/>
        </w:rPr>
        <w:t xml:space="preserve"> </w:t>
      </w:r>
      <w:r>
        <w:rPr>
          <w:lang w:val="es-ES"/>
        </w:rPr>
        <w:t>Venezuela,</w:t>
      </w:r>
      <w:r w:rsidR="00D136BB">
        <w:rPr>
          <w:lang w:val="es-ES"/>
        </w:rPr>
        <w:t xml:space="preserve"> </w:t>
      </w:r>
      <w:r>
        <w:rPr>
          <w:lang w:val="es-ES"/>
        </w:rPr>
        <w:t>Brasil,</w:t>
      </w:r>
      <w:r w:rsidR="00D136BB">
        <w:rPr>
          <w:lang w:val="es-ES"/>
        </w:rPr>
        <w:t xml:space="preserve"> </w:t>
      </w:r>
      <w:r>
        <w:rPr>
          <w:lang w:val="es-ES"/>
        </w:rPr>
        <w:t>Ecuador</w:t>
      </w:r>
      <w:r w:rsidR="00D136BB">
        <w:rPr>
          <w:lang w:val="es-ES"/>
        </w:rPr>
        <w:t xml:space="preserve"> </w:t>
      </w:r>
      <w:r>
        <w:rPr>
          <w:lang w:val="es-ES"/>
        </w:rPr>
        <w:t>y</w:t>
      </w:r>
      <w:r w:rsidR="00D136BB">
        <w:rPr>
          <w:lang w:val="es-ES"/>
        </w:rPr>
        <w:t xml:space="preserve"> </w:t>
      </w:r>
      <w:r>
        <w:rPr>
          <w:lang w:val="es-ES"/>
        </w:rPr>
        <w:t>México.</w:t>
      </w:r>
      <w:r w:rsidR="00D136BB">
        <w:rPr>
          <w:lang w:val="es-ES"/>
        </w:rPr>
        <w:t xml:space="preserve"> </w:t>
      </w:r>
      <w:r>
        <w:rPr>
          <w:lang w:val="es-ES"/>
        </w:rPr>
        <w:t>La</w:t>
      </w:r>
      <w:r w:rsidR="00D136BB">
        <w:rPr>
          <w:lang w:val="es-ES"/>
        </w:rPr>
        <w:t xml:space="preserve"> </w:t>
      </w:r>
      <w:r>
        <w:rPr>
          <w:lang w:val="es-ES"/>
        </w:rPr>
        <w:t>producción</w:t>
      </w:r>
      <w:r w:rsidR="00D136BB">
        <w:rPr>
          <w:lang w:val="es-ES"/>
        </w:rPr>
        <w:t xml:space="preserve"> </w:t>
      </w:r>
      <w:r>
        <w:rPr>
          <w:lang w:val="es-ES"/>
        </w:rPr>
        <w:t>de</w:t>
      </w:r>
      <w:r w:rsidR="00D136BB">
        <w:rPr>
          <w:lang w:val="es-ES"/>
        </w:rPr>
        <w:t xml:space="preserve"> </w:t>
      </w:r>
      <w:r>
        <w:rPr>
          <w:lang w:val="es-ES"/>
        </w:rPr>
        <w:t>petróleo</w:t>
      </w:r>
      <w:r w:rsidR="00D136BB">
        <w:rPr>
          <w:lang w:val="es-ES"/>
        </w:rPr>
        <w:t xml:space="preserve"> </w:t>
      </w:r>
      <w:r>
        <w:rPr>
          <w:lang w:val="es-ES"/>
        </w:rPr>
        <w:t>ha</w:t>
      </w:r>
      <w:r w:rsidR="00D136BB">
        <w:rPr>
          <w:lang w:val="es-ES"/>
        </w:rPr>
        <w:t xml:space="preserve"> </w:t>
      </w:r>
      <w:r>
        <w:rPr>
          <w:lang w:val="es-ES"/>
        </w:rPr>
        <w:t>declinado</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desde</w:t>
      </w:r>
      <w:r w:rsidR="00D136BB">
        <w:rPr>
          <w:lang w:val="es-ES"/>
        </w:rPr>
        <w:t xml:space="preserve"> </w:t>
      </w:r>
      <w:r>
        <w:rPr>
          <w:lang w:val="es-ES"/>
        </w:rPr>
        <w:t>los</w:t>
      </w:r>
      <w:r w:rsidR="00D136BB">
        <w:rPr>
          <w:lang w:val="es-ES"/>
        </w:rPr>
        <w:t xml:space="preserve"> </w:t>
      </w:r>
      <w:r>
        <w:rPr>
          <w:lang w:val="es-ES"/>
        </w:rPr>
        <w:t>valores</w:t>
      </w:r>
      <w:r w:rsidR="00D136BB">
        <w:rPr>
          <w:lang w:val="es-ES"/>
        </w:rPr>
        <w:t xml:space="preserve"> </w:t>
      </w:r>
      <w:r>
        <w:rPr>
          <w:lang w:val="es-ES"/>
        </w:rPr>
        <w:t>de</w:t>
      </w:r>
      <w:r w:rsidR="00D136BB">
        <w:rPr>
          <w:lang w:val="es-ES"/>
        </w:rPr>
        <w:t xml:space="preserve"> </w:t>
      </w:r>
      <w:r>
        <w:rPr>
          <w:lang w:val="es-ES"/>
        </w:rPr>
        <w:t>3500</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bbl</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año</w:t>
      </w:r>
      <w:r w:rsidR="00D136BB">
        <w:rPr>
          <w:lang w:val="es-ES"/>
        </w:rPr>
        <w:t xml:space="preserve"> </w:t>
      </w:r>
      <w:r>
        <w:rPr>
          <w:lang w:val="es-ES"/>
        </w:rPr>
        <w:t>2009,</w:t>
      </w:r>
      <w:r w:rsidR="00D136BB">
        <w:rPr>
          <w:lang w:val="es-ES"/>
        </w:rPr>
        <w:t xml:space="preserve"> </w:t>
      </w:r>
      <w:r>
        <w:rPr>
          <w:lang w:val="es-ES"/>
        </w:rPr>
        <w:t>a</w:t>
      </w:r>
      <w:r w:rsidR="00D136BB">
        <w:rPr>
          <w:lang w:val="es-ES"/>
        </w:rPr>
        <w:t xml:space="preserve"> </w:t>
      </w:r>
      <w:r>
        <w:rPr>
          <w:lang w:val="es-ES"/>
        </w:rPr>
        <w:t>3142,6</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bbl</w:t>
      </w:r>
      <w:r w:rsidR="00D136BB">
        <w:rPr>
          <w:lang w:val="es-ES"/>
        </w:rPr>
        <w:t xml:space="preserve"> </w:t>
      </w:r>
      <w:r>
        <w:rPr>
          <w:lang w:val="es-ES"/>
        </w:rPr>
        <w:t>al</w:t>
      </w:r>
      <w:r w:rsidR="00D136BB">
        <w:rPr>
          <w:lang w:val="es-ES"/>
        </w:rPr>
        <w:t xml:space="preserve"> </w:t>
      </w:r>
      <w:r>
        <w:rPr>
          <w:lang w:val="es-ES"/>
        </w:rPr>
        <w:t>año</w:t>
      </w:r>
      <w:r w:rsidR="00D136BB">
        <w:rPr>
          <w:lang w:val="es-ES"/>
        </w:rPr>
        <w:t xml:space="preserve"> </w:t>
      </w:r>
      <w:r>
        <w:rPr>
          <w:lang w:val="es-ES"/>
        </w:rPr>
        <w:t>2018.</w:t>
      </w:r>
      <w:r w:rsidR="00D136BB">
        <w:rPr>
          <w:lang w:val="es-ES"/>
        </w:rPr>
        <w:t xml:space="preserve"> </w:t>
      </w:r>
      <w:r>
        <w:rPr>
          <w:lang w:val="es-ES"/>
        </w:rPr>
        <w:t>Latinoamérica</w:t>
      </w:r>
      <w:r w:rsidR="00D136BB">
        <w:rPr>
          <w:lang w:val="es-ES"/>
        </w:rPr>
        <w:t xml:space="preserve"> </w:t>
      </w:r>
      <w:r>
        <w:rPr>
          <w:lang w:val="es-ES"/>
        </w:rPr>
        <w:t>y</w:t>
      </w:r>
      <w:r w:rsidR="00D136BB">
        <w:rPr>
          <w:lang w:val="es-ES"/>
        </w:rPr>
        <w:t xml:space="preserve"> </w:t>
      </w:r>
      <w:r>
        <w:rPr>
          <w:lang w:val="es-ES"/>
        </w:rPr>
        <w:t>el</w:t>
      </w:r>
      <w:r w:rsidR="00D136BB">
        <w:rPr>
          <w:lang w:val="es-ES"/>
        </w:rPr>
        <w:t xml:space="preserve"> </w:t>
      </w:r>
      <w:r>
        <w:rPr>
          <w:lang w:val="es-ES"/>
        </w:rPr>
        <w:t>Caribe</w:t>
      </w:r>
      <w:r w:rsidR="00D136BB">
        <w:rPr>
          <w:lang w:val="es-ES"/>
        </w:rPr>
        <w:t xml:space="preserve"> </w:t>
      </w:r>
      <w:r>
        <w:rPr>
          <w:lang w:val="es-ES"/>
        </w:rPr>
        <w:t>cuentan</w:t>
      </w:r>
      <w:r w:rsidR="00D136BB">
        <w:rPr>
          <w:lang w:val="es-ES"/>
        </w:rPr>
        <w:t xml:space="preserve"> </w:t>
      </w:r>
      <w:r>
        <w:rPr>
          <w:lang w:val="es-ES"/>
        </w:rPr>
        <w:t>con</w:t>
      </w:r>
      <w:r w:rsidR="00D136BB">
        <w:rPr>
          <w:lang w:val="es-ES"/>
        </w:rPr>
        <w:t xml:space="preserve"> </w:t>
      </w:r>
      <w:r>
        <w:rPr>
          <w:lang w:val="es-ES"/>
        </w:rPr>
        <w:t>el</w:t>
      </w:r>
      <w:r w:rsidR="00D136BB">
        <w:rPr>
          <w:lang w:val="es-ES"/>
        </w:rPr>
        <w:t xml:space="preserve"> </w:t>
      </w:r>
      <w:r>
        <w:rPr>
          <w:lang w:val="es-ES"/>
        </w:rPr>
        <w:t>8%</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capacidad</w:t>
      </w:r>
      <w:r w:rsidR="00D136BB">
        <w:rPr>
          <w:lang w:val="es-ES"/>
        </w:rPr>
        <w:t xml:space="preserve"> </w:t>
      </w:r>
      <w:r>
        <w:rPr>
          <w:lang w:val="es-ES"/>
        </w:rPr>
        <w:t>de</w:t>
      </w:r>
      <w:r w:rsidR="00D136BB">
        <w:rPr>
          <w:lang w:val="es-ES"/>
        </w:rPr>
        <w:t xml:space="preserve"> </w:t>
      </w:r>
      <w:r>
        <w:rPr>
          <w:lang w:val="es-ES"/>
        </w:rPr>
        <w:t>refinación</w:t>
      </w:r>
      <w:r w:rsidR="00D136BB">
        <w:rPr>
          <w:lang w:val="es-ES"/>
        </w:rPr>
        <w:t xml:space="preserve"> </w:t>
      </w:r>
      <w:r>
        <w:rPr>
          <w:lang w:val="es-ES"/>
        </w:rPr>
        <w:t>instalada</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mundo.</w:t>
      </w:r>
    </w:p>
    <w:p w14:paraId="1388DFE6" w14:textId="4758BB6E" w:rsidR="00AA6E02" w:rsidRDefault="00AA6E02" w:rsidP="00AA6E02">
      <w:pPr>
        <w:pStyle w:val="BodyText"/>
        <w:rPr>
          <w:lang w:val="es-ES"/>
        </w:rPr>
      </w:pPr>
      <w:r>
        <w:rPr>
          <w:lang w:val="es-ES"/>
        </w:rPr>
        <w:t>En</w:t>
      </w:r>
      <w:r w:rsidR="00D136BB">
        <w:rPr>
          <w:lang w:val="es-ES"/>
        </w:rPr>
        <w:t xml:space="preserve"> </w:t>
      </w:r>
      <w:r>
        <w:rPr>
          <w:lang w:val="es-ES"/>
        </w:rPr>
        <w:t>cuanto</w:t>
      </w:r>
      <w:r w:rsidR="00D136BB">
        <w:rPr>
          <w:lang w:val="es-ES"/>
        </w:rPr>
        <w:t xml:space="preserve"> </w:t>
      </w:r>
      <w:r>
        <w:rPr>
          <w:lang w:val="es-ES"/>
        </w:rPr>
        <w:t>al</w:t>
      </w:r>
      <w:r w:rsidR="00D136BB">
        <w:rPr>
          <w:lang w:val="es-ES"/>
        </w:rPr>
        <w:t xml:space="preserve"> </w:t>
      </w:r>
      <w:r>
        <w:rPr>
          <w:lang w:val="es-ES"/>
        </w:rPr>
        <w:t>gas</w:t>
      </w:r>
      <w:r w:rsidR="00D136BB">
        <w:rPr>
          <w:lang w:val="es-ES"/>
        </w:rPr>
        <w:t xml:space="preserve"> </w:t>
      </w:r>
      <w:r>
        <w:rPr>
          <w:lang w:val="es-ES"/>
        </w:rPr>
        <w:t>natural,</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cuenta</w:t>
      </w:r>
      <w:r w:rsidR="00D136BB">
        <w:rPr>
          <w:lang w:val="es-ES"/>
        </w:rPr>
        <w:t xml:space="preserve"> </w:t>
      </w:r>
      <w:r>
        <w:rPr>
          <w:lang w:val="es-ES"/>
        </w:rPr>
        <w:t>con</w:t>
      </w:r>
      <w:r w:rsidR="00D136BB">
        <w:rPr>
          <w:lang w:val="es-ES"/>
        </w:rPr>
        <w:t xml:space="preserve"> </w:t>
      </w:r>
      <w:r>
        <w:rPr>
          <w:lang w:val="es-ES"/>
        </w:rPr>
        <w:t>8200</w:t>
      </w:r>
      <w:r w:rsidR="00D136BB">
        <w:rPr>
          <w:lang w:val="es-ES"/>
        </w:rPr>
        <w:t xml:space="preserve"> </w:t>
      </w:r>
      <w:r>
        <w:rPr>
          <w:lang w:val="es-ES"/>
        </w:rPr>
        <w:t>mil</w:t>
      </w:r>
      <w:r w:rsidR="00D136BB">
        <w:rPr>
          <w:lang w:val="es-ES"/>
        </w:rPr>
        <w:t xml:space="preserve"> </w:t>
      </w:r>
      <w:r>
        <w:rPr>
          <w:lang w:val="es-ES"/>
        </w:rPr>
        <w:t>millones</w:t>
      </w:r>
      <w:r w:rsidR="00D136BB">
        <w:rPr>
          <w:lang w:val="es-ES"/>
        </w:rPr>
        <w:t xml:space="preserve"> </w:t>
      </w:r>
      <w:r>
        <w:rPr>
          <w:lang w:val="es-ES"/>
        </w:rPr>
        <w:t>m</w:t>
      </w:r>
      <w:r>
        <w:rPr>
          <w:vertAlign w:val="superscript"/>
          <w:lang w:val="es-ES"/>
        </w:rPr>
        <w:t>3</w:t>
      </w:r>
      <w:r w:rsidR="00D136BB">
        <w:rPr>
          <w:lang w:val="es-ES"/>
        </w:rPr>
        <w:t xml:space="preserve"> </w:t>
      </w:r>
      <w:r>
        <w:rPr>
          <w:lang w:val="es-ES"/>
        </w:rPr>
        <w:t>en</w:t>
      </w:r>
      <w:r w:rsidR="00D136BB">
        <w:rPr>
          <w:lang w:val="es-ES"/>
        </w:rPr>
        <w:t xml:space="preserve"> </w:t>
      </w:r>
      <w:r>
        <w:rPr>
          <w:lang w:val="es-ES"/>
        </w:rPr>
        <w:t>reservas</w:t>
      </w:r>
      <w:r w:rsidR="00D136BB">
        <w:rPr>
          <w:lang w:val="es-ES"/>
        </w:rPr>
        <w:t xml:space="preserve"> </w:t>
      </w:r>
      <w:r>
        <w:rPr>
          <w:lang w:val="es-ES"/>
        </w:rPr>
        <w:t>probadas,</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representa</w:t>
      </w:r>
      <w:r w:rsidR="00D136BB">
        <w:rPr>
          <w:lang w:val="es-ES"/>
        </w:rPr>
        <w:t xml:space="preserve"> </w:t>
      </w:r>
      <w:r>
        <w:rPr>
          <w:lang w:val="es-ES"/>
        </w:rPr>
        <w:t>el</w:t>
      </w:r>
      <w:r w:rsidR="00D136BB">
        <w:rPr>
          <w:lang w:val="es-ES"/>
        </w:rPr>
        <w:t xml:space="preserve"> </w:t>
      </w:r>
      <w:r>
        <w:rPr>
          <w:lang w:val="es-ES"/>
        </w:rPr>
        <w:t>4,2%</w:t>
      </w:r>
      <w:r w:rsidR="00D136BB">
        <w:rPr>
          <w:lang w:val="es-ES"/>
        </w:rPr>
        <w:t xml:space="preserve"> </w:t>
      </w:r>
      <w:r>
        <w:rPr>
          <w:lang w:val="es-ES"/>
        </w:rPr>
        <w:t>de</w:t>
      </w:r>
      <w:r w:rsidR="00D136BB">
        <w:rPr>
          <w:lang w:val="es-ES"/>
        </w:rPr>
        <w:t xml:space="preserve"> </w:t>
      </w:r>
      <w:r>
        <w:rPr>
          <w:lang w:val="es-ES"/>
        </w:rPr>
        <w:t>las</w:t>
      </w:r>
      <w:r w:rsidR="00D136BB">
        <w:rPr>
          <w:lang w:val="es-ES"/>
        </w:rPr>
        <w:t xml:space="preserve"> </w:t>
      </w:r>
      <w:r>
        <w:rPr>
          <w:lang w:val="es-ES"/>
        </w:rPr>
        <w:t>del</w:t>
      </w:r>
      <w:r w:rsidR="00D136BB">
        <w:rPr>
          <w:lang w:val="es-ES"/>
        </w:rPr>
        <w:t xml:space="preserve"> </w:t>
      </w:r>
      <w:r>
        <w:rPr>
          <w:lang w:val="es-ES"/>
        </w:rPr>
        <w:t>mundo,</w:t>
      </w:r>
      <w:r w:rsidR="00D136BB">
        <w:rPr>
          <w:lang w:val="es-ES"/>
        </w:rPr>
        <w:t xml:space="preserve"> </w:t>
      </w:r>
      <w:r>
        <w:rPr>
          <w:lang w:val="es-ES"/>
        </w:rPr>
        <w:t>al</w:t>
      </w:r>
      <w:r w:rsidR="00D136BB">
        <w:rPr>
          <w:lang w:val="es-ES"/>
        </w:rPr>
        <w:t xml:space="preserve"> </w:t>
      </w:r>
      <w:r>
        <w:rPr>
          <w:lang w:val="es-ES"/>
        </w:rPr>
        <w:t>año</w:t>
      </w:r>
      <w:r w:rsidR="00D136BB">
        <w:rPr>
          <w:lang w:val="es-ES"/>
        </w:rPr>
        <w:t xml:space="preserve"> </w:t>
      </w:r>
      <w:r>
        <w:rPr>
          <w:lang w:val="es-ES"/>
        </w:rPr>
        <w:t>2018</w:t>
      </w:r>
      <w:r w:rsidR="00D136BB">
        <w:rPr>
          <w:lang w:val="es-ES"/>
        </w:rPr>
        <w:t xml:space="preserve"> </w:t>
      </w:r>
      <w:r>
        <w:rPr>
          <w:lang w:val="es-ES"/>
        </w:rPr>
        <w:t>[2].</w:t>
      </w:r>
      <w:r w:rsidR="00D136BB">
        <w:rPr>
          <w:lang w:val="es-ES"/>
        </w:rPr>
        <w:t xml:space="preserve">  </w:t>
      </w:r>
      <w:r>
        <w:rPr>
          <w:lang w:val="es-ES"/>
        </w:rPr>
        <w:t>México,</w:t>
      </w:r>
      <w:r w:rsidR="00D136BB">
        <w:rPr>
          <w:lang w:val="es-ES"/>
        </w:rPr>
        <w:t xml:space="preserve"> </w:t>
      </w:r>
      <w:r>
        <w:rPr>
          <w:lang w:val="es-ES"/>
        </w:rPr>
        <w:t>Venezuela,</w:t>
      </w:r>
      <w:r w:rsidR="00D136BB">
        <w:rPr>
          <w:lang w:val="es-ES"/>
        </w:rPr>
        <w:t xml:space="preserve"> </w:t>
      </w:r>
      <w:r>
        <w:rPr>
          <w:lang w:val="es-ES"/>
        </w:rPr>
        <w:t>Brasil,</w:t>
      </w:r>
      <w:r w:rsidR="00D136BB">
        <w:rPr>
          <w:lang w:val="es-ES"/>
        </w:rPr>
        <w:t xml:space="preserve"> </w:t>
      </w:r>
      <w:r>
        <w:rPr>
          <w:lang w:val="es-ES"/>
        </w:rPr>
        <w:t>Perú,</w:t>
      </w:r>
      <w:r w:rsidR="00D136BB">
        <w:rPr>
          <w:lang w:val="es-ES"/>
        </w:rPr>
        <w:t xml:space="preserve"> </w:t>
      </w:r>
      <w:r>
        <w:rPr>
          <w:lang w:val="es-ES"/>
        </w:rPr>
        <w:t>Trinidad</w:t>
      </w:r>
      <w:r w:rsidR="00D136BB">
        <w:rPr>
          <w:lang w:val="es-ES"/>
        </w:rPr>
        <w:t xml:space="preserve"> </w:t>
      </w:r>
      <w:r>
        <w:rPr>
          <w:lang w:val="es-ES"/>
        </w:rPr>
        <w:t>y</w:t>
      </w:r>
      <w:r w:rsidR="00D136BB">
        <w:rPr>
          <w:lang w:val="es-ES"/>
        </w:rPr>
        <w:t xml:space="preserve"> </w:t>
      </w:r>
      <w:r>
        <w:rPr>
          <w:lang w:val="es-ES"/>
        </w:rPr>
        <w:t>Tobago,</w:t>
      </w:r>
      <w:r w:rsidR="00D136BB">
        <w:rPr>
          <w:lang w:val="es-ES"/>
        </w:rPr>
        <w:t xml:space="preserve"> </w:t>
      </w:r>
      <w:r>
        <w:rPr>
          <w:lang w:val="es-ES"/>
        </w:rPr>
        <w:t>Argentina</w:t>
      </w:r>
      <w:r w:rsidR="00D136BB">
        <w:rPr>
          <w:lang w:val="es-ES"/>
        </w:rPr>
        <w:t xml:space="preserve"> </w:t>
      </w:r>
      <w:r>
        <w:rPr>
          <w:lang w:val="es-ES"/>
        </w:rPr>
        <w:t>y</w:t>
      </w:r>
      <w:r w:rsidR="00D136BB">
        <w:rPr>
          <w:lang w:val="es-ES"/>
        </w:rPr>
        <w:t xml:space="preserve"> </w:t>
      </w:r>
      <w:r>
        <w:rPr>
          <w:lang w:val="es-ES"/>
        </w:rPr>
        <w:t>Bolivia,</w:t>
      </w:r>
      <w:r w:rsidR="00D136BB">
        <w:rPr>
          <w:lang w:val="es-ES"/>
        </w:rPr>
        <w:t xml:space="preserve"> </w:t>
      </w:r>
      <w:r>
        <w:rPr>
          <w:lang w:val="es-ES"/>
        </w:rPr>
        <w:t>han</w:t>
      </w:r>
      <w:r w:rsidR="00D136BB">
        <w:rPr>
          <w:lang w:val="es-ES"/>
        </w:rPr>
        <w:t xml:space="preserve"> </w:t>
      </w:r>
      <w:r>
        <w:rPr>
          <w:lang w:val="es-ES"/>
        </w:rPr>
        <w:t>sido</w:t>
      </w:r>
      <w:r w:rsidR="00D136BB">
        <w:rPr>
          <w:lang w:val="es-ES"/>
        </w:rPr>
        <w:t xml:space="preserve"> </w:t>
      </w:r>
      <w:r>
        <w:rPr>
          <w:lang w:val="es-ES"/>
        </w:rPr>
        <w:t>tradicionalmente</w:t>
      </w:r>
      <w:r w:rsidR="00D136BB">
        <w:rPr>
          <w:lang w:val="es-ES"/>
        </w:rPr>
        <w:t xml:space="preserve"> </w:t>
      </w:r>
      <w:r>
        <w:rPr>
          <w:lang w:val="es-ES"/>
        </w:rPr>
        <w:t>los</w:t>
      </w:r>
      <w:r w:rsidR="00D136BB">
        <w:rPr>
          <w:lang w:val="es-ES"/>
        </w:rPr>
        <w:t xml:space="preserve"> </w:t>
      </w:r>
      <w:r>
        <w:rPr>
          <w:lang w:val="es-ES"/>
        </w:rPr>
        <w:t>principales</w:t>
      </w:r>
      <w:r w:rsidR="00D136BB">
        <w:rPr>
          <w:lang w:val="es-ES"/>
        </w:rPr>
        <w:t xml:space="preserve"> </w:t>
      </w:r>
      <w:r>
        <w:rPr>
          <w:lang w:val="es-ES"/>
        </w:rPr>
        <w:t>productores</w:t>
      </w:r>
      <w:r w:rsidR="00D136BB">
        <w:rPr>
          <w:lang w:val="es-ES"/>
        </w:rPr>
        <w:t xml:space="preserve"> </w:t>
      </w:r>
      <w:r>
        <w:rPr>
          <w:lang w:val="es-ES"/>
        </w:rPr>
        <w:t>de</w:t>
      </w:r>
      <w:r w:rsidR="00D136BB">
        <w:rPr>
          <w:lang w:val="es-ES"/>
        </w:rPr>
        <w:t xml:space="preserve"> </w:t>
      </w:r>
      <w:r>
        <w:rPr>
          <w:lang w:val="es-ES"/>
        </w:rPr>
        <w:t>gas</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La</w:t>
      </w:r>
      <w:r w:rsidR="00D136BB">
        <w:rPr>
          <w:lang w:val="es-ES"/>
        </w:rPr>
        <w:t xml:space="preserve"> </w:t>
      </w:r>
      <w:r>
        <w:rPr>
          <w:lang w:val="es-ES"/>
        </w:rPr>
        <w:t>producción</w:t>
      </w:r>
      <w:r w:rsidR="00D136BB">
        <w:rPr>
          <w:lang w:val="es-ES"/>
        </w:rPr>
        <w:t xml:space="preserve"> </w:t>
      </w:r>
      <w:r>
        <w:rPr>
          <w:lang w:val="es-ES"/>
        </w:rPr>
        <w:t>de</w:t>
      </w:r>
      <w:r w:rsidR="00D136BB">
        <w:rPr>
          <w:lang w:val="es-ES"/>
        </w:rPr>
        <w:t xml:space="preserve"> </w:t>
      </w:r>
      <w:r>
        <w:rPr>
          <w:lang w:val="es-ES"/>
        </w:rPr>
        <w:t>este</w:t>
      </w:r>
      <w:r w:rsidR="00D136BB">
        <w:rPr>
          <w:lang w:val="es-ES"/>
        </w:rPr>
        <w:t xml:space="preserve"> </w:t>
      </w:r>
      <w:r>
        <w:rPr>
          <w:lang w:val="es-ES"/>
        </w:rPr>
        <w:t>combustible</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2018</w:t>
      </w:r>
      <w:r w:rsidR="00D136BB">
        <w:rPr>
          <w:lang w:val="es-ES"/>
        </w:rPr>
        <w:t xml:space="preserve"> </w:t>
      </w:r>
      <w:r>
        <w:rPr>
          <w:lang w:val="es-ES"/>
        </w:rPr>
        <w:t>fue</w:t>
      </w:r>
      <w:r w:rsidR="00D136BB">
        <w:rPr>
          <w:lang w:val="es-ES"/>
        </w:rPr>
        <w:t xml:space="preserve"> </w:t>
      </w:r>
      <w:r>
        <w:rPr>
          <w:lang w:val="es-ES"/>
        </w:rPr>
        <w:t>de</w:t>
      </w:r>
      <w:r w:rsidR="00D136BB">
        <w:rPr>
          <w:lang w:val="es-ES"/>
        </w:rPr>
        <w:t xml:space="preserve"> </w:t>
      </w:r>
      <w:r>
        <w:rPr>
          <w:lang w:val="es-ES"/>
        </w:rPr>
        <w:t>176,7</w:t>
      </w:r>
      <w:r w:rsidR="00D136BB">
        <w:rPr>
          <w:lang w:val="es-ES"/>
        </w:rPr>
        <w:t xml:space="preserve"> </w:t>
      </w:r>
      <w:r>
        <w:rPr>
          <w:lang w:val="es-ES"/>
        </w:rPr>
        <w:t>miles</w:t>
      </w:r>
      <w:r w:rsidR="00D136BB">
        <w:rPr>
          <w:lang w:val="es-ES"/>
        </w:rPr>
        <w:t xml:space="preserve"> </w:t>
      </w:r>
      <w:r>
        <w:rPr>
          <w:lang w:val="es-ES"/>
        </w:rPr>
        <w:t>de</w:t>
      </w:r>
      <w:r w:rsidR="00D136BB">
        <w:rPr>
          <w:lang w:val="es-ES"/>
        </w:rPr>
        <w:t xml:space="preserve"> </w:t>
      </w:r>
      <w:r>
        <w:rPr>
          <w:lang w:val="es-ES"/>
        </w:rPr>
        <w:t>millones</w:t>
      </w:r>
      <w:r w:rsidR="00D136BB">
        <w:rPr>
          <w:lang w:val="es-ES"/>
        </w:rPr>
        <w:t xml:space="preserve"> </w:t>
      </w:r>
      <w:r>
        <w:rPr>
          <w:lang w:val="es-ES"/>
        </w:rPr>
        <w:t>m</w:t>
      </w:r>
      <w:r>
        <w:rPr>
          <w:vertAlign w:val="superscript"/>
          <w:lang w:val="es-ES"/>
        </w:rPr>
        <w:t>3</w:t>
      </w:r>
      <w:r>
        <w:rPr>
          <w:lang w:val="es-ES"/>
        </w:rPr>
        <w:t>,</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representó</w:t>
      </w:r>
      <w:r w:rsidR="00D136BB">
        <w:rPr>
          <w:lang w:val="es-ES"/>
        </w:rPr>
        <w:t xml:space="preserve"> </w:t>
      </w:r>
      <w:r>
        <w:rPr>
          <w:lang w:val="es-ES"/>
        </w:rPr>
        <w:t>el</w:t>
      </w:r>
      <w:r w:rsidR="00D136BB">
        <w:rPr>
          <w:lang w:val="es-ES"/>
        </w:rPr>
        <w:t xml:space="preserve"> </w:t>
      </w:r>
      <w:r>
        <w:rPr>
          <w:lang w:val="es-ES"/>
        </w:rPr>
        <w:t>4,6%</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producción</w:t>
      </w:r>
      <w:r w:rsidR="00D136BB">
        <w:rPr>
          <w:lang w:val="es-ES"/>
        </w:rPr>
        <w:t xml:space="preserve"> </w:t>
      </w:r>
      <w:r>
        <w:rPr>
          <w:lang w:val="es-ES"/>
        </w:rPr>
        <w:t>mundial.</w:t>
      </w:r>
      <w:r w:rsidR="00D136BB">
        <w:rPr>
          <w:lang w:val="es-ES"/>
        </w:rPr>
        <w:t xml:space="preserve"> </w:t>
      </w:r>
    </w:p>
    <w:p w14:paraId="05023C7F" w14:textId="29CC1921" w:rsidR="00AA6E02" w:rsidRDefault="00AA6E02" w:rsidP="00AA6E02">
      <w:pPr>
        <w:pStyle w:val="BodyText"/>
        <w:rPr>
          <w:lang w:val="es-ES"/>
        </w:rPr>
      </w:pPr>
      <w:r>
        <w:rPr>
          <w:lang w:val="es-ES"/>
        </w:rPr>
        <w:t>La</w:t>
      </w:r>
      <w:r w:rsidR="00D136BB">
        <w:rPr>
          <w:lang w:val="es-ES"/>
        </w:rPr>
        <w:t xml:space="preserve"> </w:t>
      </w:r>
      <w:r>
        <w:rPr>
          <w:lang w:val="es-ES"/>
        </w:rPr>
        <w:t>región</w:t>
      </w:r>
      <w:r w:rsidR="00D136BB">
        <w:rPr>
          <w:lang w:val="es-ES"/>
        </w:rPr>
        <w:t xml:space="preserve"> </w:t>
      </w:r>
      <w:r>
        <w:rPr>
          <w:lang w:val="es-ES"/>
        </w:rPr>
        <w:t>cuenta</w:t>
      </w:r>
      <w:r w:rsidR="00D136BB">
        <w:rPr>
          <w:lang w:val="es-ES"/>
        </w:rPr>
        <w:t xml:space="preserve"> </w:t>
      </w:r>
      <w:r>
        <w:rPr>
          <w:lang w:val="es-ES"/>
        </w:rPr>
        <w:t>con</w:t>
      </w:r>
      <w:r w:rsidR="00D136BB">
        <w:rPr>
          <w:lang w:val="es-ES"/>
        </w:rPr>
        <w:t xml:space="preserve"> </w:t>
      </w:r>
      <w:r>
        <w:rPr>
          <w:lang w:val="es-ES"/>
        </w:rPr>
        <w:t>14016</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toneladas</w:t>
      </w:r>
      <w:r w:rsidR="00D136BB">
        <w:rPr>
          <w:lang w:val="es-ES"/>
        </w:rPr>
        <w:t xml:space="preserve"> </w:t>
      </w:r>
      <w:r>
        <w:rPr>
          <w:lang w:val="es-ES"/>
        </w:rPr>
        <w:t>de</w:t>
      </w:r>
      <w:r w:rsidR="00D136BB">
        <w:rPr>
          <w:lang w:val="es-ES"/>
        </w:rPr>
        <w:t xml:space="preserve"> </w:t>
      </w:r>
      <w:r>
        <w:rPr>
          <w:lang w:val="es-ES"/>
        </w:rPr>
        <w:t>reservas</w:t>
      </w:r>
      <w:r w:rsidR="00D136BB">
        <w:rPr>
          <w:lang w:val="es-ES"/>
        </w:rPr>
        <w:t xml:space="preserve"> </w:t>
      </w:r>
      <w:r>
        <w:rPr>
          <w:lang w:val="es-ES"/>
        </w:rPr>
        <w:t>probadas</w:t>
      </w:r>
      <w:r w:rsidR="00D136BB">
        <w:rPr>
          <w:lang w:val="es-ES"/>
        </w:rPr>
        <w:t xml:space="preserve"> </w:t>
      </w:r>
      <w:r>
        <w:rPr>
          <w:lang w:val="es-ES"/>
        </w:rPr>
        <w:t>de</w:t>
      </w:r>
      <w:r w:rsidR="00D136BB">
        <w:rPr>
          <w:lang w:val="es-ES"/>
        </w:rPr>
        <w:t xml:space="preserve"> </w:t>
      </w:r>
      <w:r>
        <w:rPr>
          <w:lang w:val="es-ES"/>
        </w:rPr>
        <w:t>carbón,</w:t>
      </w:r>
      <w:r w:rsidR="00D136BB">
        <w:rPr>
          <w:lang w:val="es-ES"/>
        </w:rPr>
        <w:t xml:space="preserve"> </w:t>
      </w:r>
      <w:r>
        <w:rPr>
          <w:lang w:val="es-ES"/>
        </w:rPr>
        <w:t>siendo</w:t>
      </w:r>
      <w:r w:rsidR="00D136BB">
        <w:rPr>
          <w:lang w:val="es-ES"/>
        </w:rPr>
        <w:t xml:space="preserve"> </w:t>
      </w:r>
      <w:r>
        <w:rPr>
          <w:lang w:val="es-ES"/>
        </w:rPr>
        <w:t>el</w:t>
      </w:r>
      <w:r w:rsidR="00D136BB">
        <w:rPr>
          <w:lang w:val="es-ES"/>
        </w:rPr>
        <w:t xml:space="preserve"> </w:t>
      </w:r>
      <w:r>
        <w:rPr>
          <w:lang w:val="es-ES"/>
        </w:rPr>
        <w:t>1,3%</w:t>
      </w:r>
      <w:r w:rsidR="00D136BB">
        <w:rPr>
          <w:lang w:val="es-ES"/>
        </w:rPr>
        <w:t xml:space="preserve"> </w:t>
      </w:r>
      <w:r>
        <w:rPr>
          <w:lang w:val="es-ES"/>
        </w:rPr>
        <w:t>de</w:t>
      </w:r>
      <w:r w:rsidR="00D136BB">
        <w:rPr>
          <w:lang w:val="es-ES"/>
        </w:rPr>
        <w:t xml:space="preserve"> </w:t>
      </w:r>
      <w:r>
        <w:rPr>
          <w:lang w:val="es-ES"/>
        </w:rPr>
        <w:t>las</w:t>
      </w:r>
      <w:r w:rsidR="00D136BB">
        <w:rPr>
          <w:lang w:val="es-ES"/>
        </w:rPr>
        <w:t xml:space="preserve"> </w:t>
      </w:r>
      <w:r>
        <w:rPr>
          <w:lang w:val="es-ES"/>
        </w:rPr>
        <w:t>reservas</w:t>
      </w:r>
      <w:r w:rsidR="00D136BB">
        <w:rPr>
          <w:lang w:val="es-ES"/>
        </w:rPr>
        <w:t xml:space="preserve"> </w:t>
      </w:r>
      <w:r>
        <w:rPr>
          <w:lang w:val="es-ES"/>
        </w:rPr>
        <w:t>mundiales</w:t>
      </w:r>
      <w:r w:rsidR="00D136BB">
        <w:rPr>
          <w:lang w:val="es-ES"/>
        </w:rPr>
        <w:t xml:space="preserve"> </w:t>
      </w:r>
      <w:r>
        <w:rPr>
          <w:lang w:val="es-ES"/>
        </w:rPr>
        <w:t>[2].</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2018</w:t>
      </w:r>
      <w:r w:rsidR="00D136BB">
        <w:rPr>
          <w:lang w:val="es-ES"/>
        </w:rPr>
        <w:t xml:space="preserve"> </w:t>
      </w:r>
      <w:r>
        <w:rPr>
          <w:lang w:val="es-ES"/>
        </w:rPr>
        <w:t>la</w:t>
      </w:r>
      <w:r w:rsidR="00D136BB">
        <w:rPr>
          <w:lang w:val="es-ES"/>
        </w:rPr>
        <w:t xml:space="preserve"> </w:t>
      </w:r>
      <w:r>
        <w:rPr>
          <w:lang w:val="es-ES"/>
        </w:rPr>
        <w:t>producción</w:t>
      </w:r>
      <w:r w:rsidR="00D136BB">
        <w:rPr>
          <w:lang w:val="es-ES"/>
        </w:rPr>
        <w:t xml:space="preserve"> </w:t>
      </w:r>
      <w:r>
        <w:rPr>
          <w:lang w:val="es-ES"/>
        </w:rPr>
        <w:t>fue</w:t>
      </w:r>
      <w:r w:rsidR="00D136BB">
        <w:rPr>
          <w:lang w:val="es-ES"/>
        </w:rPr>
        <w:t xml:space="preserve"> </w:t>
      </w:r>
      <w:r>
        <w:rPr>
          <w:lang w:val="es-ES"/>
        </w:rPr>
        <w:t>de</w:t>
      </w:r>
      <w:r w:rsidR="00D136BB">
        <w:rPr>
          <w:lang w:val="es-ES"/>
        </w:rPr>
        <w:t xml:space="preserve"> </w:t>
      </w:r>
      <w:r>
        <w:rPr>
          <w:lang w:val="es-ES"/>
        </w:rPr>
        <w:t>60,4</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toneladas</w:t>
      </w:r>
      <w:r w:rsidR="00D136BB">
        <w:rPr>
          <w:lang w:val="es-ES"/>
        </w:rPr>
        <w:t xml:space="preserve"> </w:t>
      </w:r>
      <w:r>
        <w:rPr>
          <w:lang w:val="es-ES"/>
        </w:rPr>
        <w:t>y</w:t>
      </w:r>
      <w:r w:rsidR="00D136BB">
        <w:rPr>
          <w:lang w:val="es-ES"/>
        </w:rPr>
        <w:t xml:space="preserve"> </w:t>
      </w:r>
      <w:r>
        <w:rPr>
          <w:lang w:val="es-ES"/>
        </w:rPr>
        <w:t>comenzó</w:t>
      </w:r>
      <w:r w:rsidR="00D136BB">
        <w:rPr>
          <w:lang w:val="es-ES"/>
        </w:rPr>
        <w:t xml:space="preserve"> </w:t>
      </w:r>
      <w:r>
        <w:rPr>
          <w:lang w:val="es-ES"/>
        </w:rPr>
        <w:t>a</w:t>
      </w:r>
      <w:r w:rsidR="00D136BB">
        <w:rPr>
          <w:lang w:val="es-ES"/>
        </w:rPr>
        <w:t xml:space="preserve"> </w:t>
      </w:r>
      <w:r>
        <w:rPr>
          <w:lang w:val="es-ES"/>
        </w:rPr>
        <w:t>disminuir</w:t>
      </w:r>
      <w:r w:rsidR="00D136BB">
        <w:rPr>
          <w:lang w:val="es-ES"/>
        </w:rPr>
        <w:t xml:space="preserve"> </w:t>
      </w:r>
      <w:r>
        <w:rPr>
          <w:lang w:val="es-ES"/>
        </w:rPr>
        <w:t>en</w:t>
      </w:r>
      <w:r w:rsidR="00D136BB">
        <w:rPr>
          <w:lang w:val="es-ES"/>
        </w:rPr>
        <w:t xml:space="preserve"> </w:t>
      </w:r>
      <w:r>
        <w:rPr>
          <w:lang w:val="es-ES"/>
        </w:rPr>
        <w:t>2015,</w:t>
      </w:r>
      <w:r w:rsidR="00D136BB">
        <w:rPr>
          <w:lang w:val="es-ES"/>
        </w:rPr>
        <w:t xml:space="preserve"> </w:t>
      </w:r>
      <w:r>
        <w:rPr>
          <w:lang w:val="es-ES"/>
        </w:rPr>
        <w:t>siendo</w:t>
      </w:r>
      <w:r w:rsidR="00D136BB">
        <w:rPr>
          <w:lang w:val="es-ES"/>
        </w:rPr>
        <w:t xml:space="preserve"> </w:t>
      </w:r>
      <w:r>
        <w:rPr>
          <w:lang w:val="es-ES"/>
        </w:rPr>
        <w:t>Colombia</w:t>
      </w:r>
      <w:r w:rsidR="00D136BB">
        <w:rPr>
          <w:lang w:val="es-ES"/>
        </w:rPr>
        <w:t xml:space="preserve"> </w:t>
      </w:r>
      <w:r>
        <w:rPr>
          <w:lang w:val="es-ES"/>
        </w:rPr>
        <w:t>el</w:t>
      </w:r>
      <w:r w:rsidR="00D136BB">
        <w:rPr>
          <w:lang w:val="es-ES"/>
        </w:rPr>
        <w:t xml:space="preserve"> </w:t>
      </w:r>
      <w:r>
        <w:rPr>
          <w:lang w:val="es-ES"/>
        </w:rPr>
        <w:t>mayor</w:t>
      </w:r>
      <w:r w:rsidR="00D136BB">
        <w:rPr>
          <w:lang w:val="es-ES"/>
        </w:rPr>
        <w:t xml:space="preserve"> </w:t>
      </w:r>
      <w:r>
        <w:rPr>
          <w:lang w:val="es-ES"/>
        </w:rPr>
        <w:t>productor</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p>
    <w:p w14:paraId="41D7819E" w14:textId="44F487B3" w:rsidR="00AA6E02" w:rsidRDefault="00AA6E02" w:rsidP="00AA6E02">
      <w:pPr>
        <w:pStyle w:val="BodyText"/>
        <w:rPr>
          <w:lang w:val="es-ES"/>
        </w:rPr>
      </w:pPr>
      <w:r>
        <w:rPr>
          <w:lang w:val="es-ES"/>
        </w:rPr>
        <w:t>La</w:t>
      </w:r>
      <w:r w:rsidR="00D136BB">
        <w:rPr>
          <w:lang w:val="es-ES"/>
        </w:rPr>
        <w:t xml:space="preserve"> </w:t>
      </w:r>
      <w:r>
        <w:rPr>
          <w:lang w:val="es-ES"/>
        </w:rPr>
        <w:t>capacidad</w:t>
      </w:r>
      <w:r w:rsidR="00D136BB">
        <w:rPr>
          <w:lang w:val="es-ES"/>
        </w:rPr>
        <w:t xml:space="preserve"> </w:t>
      </w:r>
      <w:r>
        <w:rPr>
          <w:lang w:val="es-ES"/>
        </w:rPr>
        <w:t>de</w:t>
      </w:r>
      <w:r w:rsidR="00D136BB">
        <w:rPr>
          <w:lang w:val="es-ES"/>
        </w:rPr>
        <w:t xml:space="preserve"> </w:t>
      </w:r>
      <w:r>
        <w:rPr>
          <w:lang w:val="es-ES"/>
        </w:rPr>
        <w:t>generación</w:t>
      </w:r>
      <w:r w:rsidR="00D136BB">
        <w:rPr>
          <w:lang w:val="es-ES"/>
        </w:rPr>
        <w:t xml:space="preserve"> </w:t>
      </w:r>
      <w:r>
        <w:rPr>
          <w:lang w:val="es-ES"/>
        </w:rPr>
        <w:t>eléctrica</w:t>
      </w:r>
      <w:r w:rsidR="00D136BB">
        <w:rPr>
          <w:lang w:val="es-ES"/>
        </w:rPr>
        <w:t xml:space="preserve"> </w:t>
      </w:r>
      <w:r>
        <w:rPr>
          <w:lang w:val="es-ES"/>
        </w:rPr>
        <w:t>instalada</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2018</w:t>
      </w:r>
      <w:r w:rsidR="00D136BB">
        <w:rPr>
          <w:lang w:val="es-ES"/>
        </w:rPr>
        <w:t xml:space="preserve"> </w:t>
      </w:r>
      <w:r>
        <w:rPr>
          <w:lang w:val="es-ES"/>
        </w:rPr>
        <w:t>ascendió</w:t>
      </w:r>
      <w:r w:rsidR="00D136BB">
        <w:rPr>
          <w:lang w:val="es-ES"/>
        </w:rPr>
        <w:t xml:space="preserve"> </w:t>
      </w:r>
      <w:r>
        <w:rPr>
          <w:lang w:val="es-ES"/>
        </w:rPr>
        <w:t>a</w:t>
      </w:r>
      <w:r w:rsidR="00D136BB">
        <w:rPr>
          <w:lang w:val="es-ES"/>
        </w:rPr>
        <w:t xml:space="preserve"> </w:t>
      </w:r>
      <w:r>
        <w:rPr>
          <w:lang w:val="es-ES"/>
        </w:rPr>
        <w:t>341</w:t>
      </w:r>
      <w:r w:rsidR="00D136BB">
        <w:rPr>
          <w:lang w:val="es-ES"/>
        </w:rPr>
        <w:t xml:space="preserve"> </w:t>
      </w:r>
      <w:r>
        <w:rPr>
          <w:lang w:val="es-ES"/>
        </w:rPr>
        <w:t>GW.</w:t>
      </w:r>
      <w:r w:rsidR="00D136BB">
        <w:rPr>
          <w:lang w:val="es-ES"/>
        </w:rPr>
        <w:t xml:space="preserve">  </w:t>
      </w:r>
      <w:r>
        <w:rPr>
          <w:lang w:val="es-ES"/>
        </w:rPr>
        <w:t>[4]</w:t>
      </w:r>
      <w:r w:rsidR="00D136BB">
        <w:rPr>
          <w:lang w:val="es-ES"/>
        </w:rPr>
        <w:t xml:space="preserve"> </w:t>
      </w:r>
      <w:r>
        <w:rPr>
          <w:lang w:val="es-ES"/>
        </w:rPr>
        <w:t>El</w:t>
      </w:r>
      <w:r w:rsidR="00D136BB">
        <w:rPr>
          <w:lang w:val="es-ES"/>
        </w:rPr>
        <w:t xml:space="preserve"> </w:t>
      </w:r>
      <w:r>
        <w:rPr>
          <w:lang w:val="es-ES"/>
        </w:rPr>
        <w:t>consumo</w:t>
      </w:r>
      <w:r w:rsidR="00D136BB">
        <w:rPr>
          <w:lang w:val="es-ES"/>
        </w:rPr>
        <w:t xml:space="preserve"> </w:t>
      </w:r>
      <w:r>
        <w:rPr>
          <w:lang w:val="es-ES"/>
        </w:rPr>
        <w:t>de</w:t>
      </w:r>
      <w:r w:rsidR="00D136BB">
        <w:rPr>
          <w:lang w:val="es-ES"/>
        </w:rPr>
        <w:t xml:space="preserve"> </w:t>
      </w:r>
      <w:r>
        <w:rPr>
          <w:lang w:val="es-ES"/>
        </w:rPr>
        <w:t>energía</w:t>
      </w:r>
      <w:r w:rsidR="00D136BB">
        <w:rPr>
          <w:lang w:val="es-ES"/>
        </w:rPr>
        <w:t xml:space="preserve"> </w:t>
      </w:r>
      <w:r>
        <w:rPr>
          <w:lang w:val="es-ES"/>
        </w:rPr>
        <w:t>eléctrica</w:t>
      </w:r>
      <w:r w:rsidR="00D136BB">
        <w:rPr>
          <w:lang w:val="es-ES"/>
        </w:rPr>
        <w:t xml:space="preserve"> </w:t>
      </w:r>
      <w:r>
        <w:rPr>
          <w:lang w:val="es-ES"/>
        </w:rPr>
        <w:t>en</w:t>
      </w:r>
      <w:r w:rsidR="00D136BB">
        <w:rPr>
          <w:lang w:val="es-ES"/>
        </w:rPr>
        <w:t xml:space="preserve"> </w:t>
      </w:r>
      <w:r>
        <w:rPr>
          <w:lang w:val="es-ES"/>
        </w:rPr>
        <w:t>América</w:t>
      </w:r>
      <w:r w:rsidR="00D136BB">
        <w:rPr>
          <w:lang w:val="es-ES"/>
        </w:rPr>
        <w:t xml:space="preserve"> </w:t>
      </w:r>
      <w:r>
        <w:rPr>
          <w:lang w:val="es-ES"/>
        </w:rPr>
        <w:t>Latina</w:t>
      </w:r>
      <w:r w:rsidR="00D136BB">
        <w:rPr>
          <w:lang w:val="es-ES"/>
        </w:rPr>
        <w:t xml:space="preserve"> </w:t>
      </w:r>
      <w:r>
        <w:rPr>
          <w:lang w:val="es-ES"/>
        </w:rPr>
        <w:t>y</w:t>
      </w:r>
      <w:r w:rsidR="00D136BB">
        <w:rPr>
          <w:lang w:val="es-ES"/>
        </w:rPr>
        <w:t xml:space="preserve"> </w:t>
      </w:r>
      <w:r>
        <w:rPr>
          <w:lang w:val="es-ES"/>
        </w:rPr>
        <w:t>el</w:t>
      </w:r>
      <w:r w:rsidR="00D136BB">
        <w:rPr>
          <w:lang w:val="es-ES"/>
        </w:rPr>
        <w:t xml:space="preserve"> </w:t>
      </w:r>
      <w:r>
        <w:rPr>
          <w:lang w:val="es-ES"/>
        </w:rPr>
        <w:t>Caribe</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2018</w:t>
      </w:r>
      <w:r w:rsidR="00D136BB">
        <w:rPr>
          <w:lang w:val="es-ES"/>
        </w:rPr>
        <w:t xml:space="preserve"> </w:t>
      </w:r>
      <w:r>
        <w:rPr>
          <w:lang w:val="es-ES"/>
        </w:rPr>
        <w:t>fue</w:t>
      </w:r>
      <w:r w:rsidR="00D136BB">
        <w:rPr>
          <w:lang w:val="es-ES"/>
        </w:rPr>
        <w:t xml:space="preserve"> </w:t>
      </w:r>
      <w:r>
        <w:rPr>
          <w:lang w:val="es-ES"/>
        </w:rPr>
        <w:t>de</w:t>
      </w:r>
      <w:r w:rsidR="00D136BB">
        <w:rPr>
          <w:lang w:val="es-ES"/>
        </w:rPr>
        <w:t xml:space="preserve"> </w:t>
      </w:r>
      <w:r>
        <w:rPr>
          <w:lang w:val="es-ES"/>
        </w:rPr>
        <w:t>1305</w:t>
      </w:r>
      <w:r w:rsidR="00D136BB">
        <w:rPr>
          <w:lang w:val="es-ES"/>
        </w:rPr>
        <w:t xml:space="preserve"> </w:t>
      </w:r>
      <w:r>
        <w:rPr>
          <w:lang w:val="es-ES"/>
        </w:rPr>
        <w:t>TWh.</w:t>
      </w:r>
      <w:r w:rsidR="00D136BB">
        <w:rPr>
          <w:lang w:val="es-ES"/>
        </w:rPr>
        <w:t xml:space="preserve"> </w:t>
      </w:r>
      <w:r>
        <w:rPr>
          <w:lang w:val="es-ES"/>
        </w:rPr>
        <w:t>[2],</w:t>
      </w:r>
      <w:r w:rsidR="00D136BB">
        <w:rPr>
          <w:lang w:val="es-ES"/>
        </w:rPr>
        <w:t xml:space="preserve"> </w:t>
      </w:r>
      <w:r>
        <w:rPr>
          <w:lang w:val="es-ES"/>
        </w:rPr>
        <w:t>La</w:t>
      </w:r>
      <w:r w:rsidR="00D136BB">
        <w:rPr>
          <w:lang w:val="es-ES"/>
        </w:rPr>
        <w:t xml:space="preserve"> </w:t>
      </w:r>
      <w:r>
        <w:rPr>
          <w:lang w:val="es-ES"/>
        </w:rPr>
        <w:t>torta</w:t>
      </w:r>
      <w:r w:rsidR="00D136BB">
        <w:rPr>
          <w:lang w:val="es-ES"/>
        </w:rPr>
        <w:t xml:space="preserve"> </w:t>
      </w:r>
      <w:r>
        <w:rPr>
          <w:lang w:val="es-ES"/>
        </w:rPr>
        <w:t>de</w:t>
      </w:r>
      <w:r w:rsidR="00D136BB">
        <w:rPr>
          <w:lang w:val="es-ES"/>
        </w:rPr>
        <w:t xml:space="preserve"> </w:t>
      </w:r>
      <w:r>
        <w:rPr>
          <w:lang w:val="es-ES"/>
        </w:rPr>
        <w:t>generación</w:t>
      </w:r>
      <w:r w:rsidR="00D136BB">
        <w:rPr>
          <w:lang w:val="es-ES"/>
        </w:rPr>
        <w:t xml:space="preserve"> </w:t>
      </w:r>
      <w:r>
        <w:rPr>
          <w:lang w:val="es-ES"/>
        </w:rPr>
        <w:t>está</w:t>
      </w:r>
      <w:r w:rsidR="00D136BB">
        <w:rPr>
          <w:lang w:val="es-ES"/>
        </w:rPr>
        <w:t xml:space="preserve"> </w:t>
      </w:r>
      <w:r>
        <w:rPr>
          <w:lang w:val="es-ES"/>
        </w:rPr>
        <w:t>representada</w:t>
      </w:r>
      <w:r w:rsidR="00D136BB">
        <w:rPr>
          <w:lang w:val="es-ES"/>
        </w:rPr>
        <w:t xml:space="preserve"> </w:t>
      </w:r>
      <w:r>
        <w:rPr>
          <w:lang w:val="es-ES"/>
        </w:rPr>
        <w:t>por</w:t>
      </w:r>
      <w:r w:rsidR="00D136BB">
        <w:rPr>
          <w:lang w:val="es-ES"/>
        </w:rPr>
        <w:t xml:space="preserve"> </w:t>
      </w:r>
      <w:r>
        <w:rPr>
          <w:lang w:val="es-ES"/>
        </w:rPr>
        <w:t>el</w:t>
      </w:r>
      <w:r w:rsidR="00D136BB">
        <w:rPr>
          <w:lang w:val="es-ES"/>
        </w:rPr>
        <w:t xml:space="preserve"> </w:t>
      </w:r>
      <w:r>
        <w:rPr>
          <w:lang w:val="es-ES"/>
        </w:rPr>
        <w:t>56%</w:t>
      </w:r>
      <w:r w:rsidR="00D136BB">
        <w:rPr>
          <w:lang w:val="es-ES"/>
        </w:rPr>
        <w:t xml:space="preserve"> </w:t>
      </w:r>
      <w:r>
        <w:rPr>
          <w:lang w:val="es-ES"/>
        </w:rPr>
        <w:t>de</w:t>
      </w:r>
      <w:r w:rsidR="00D136BB">
        <w:rPr>
          <w:lang w:val="es-ES"/>
        </w:rPr>
        <w:t xml:space="preserve"> </w:t>
      </w:r>
      <w:r>
        <w:rPr>
          <w:lang w:val="es-ES"/>
        </w:rPr>
        <w:t>plantas</w:t>
      </w:r>
      <w:r w:rsidR="00D136BB">
        <w:rPr>
          <w:lang w:val="es-ES"/>
        </w:rPr>
        <w:t xml:space="preserve"> </w:t>
      </w:r>
      <w:r>
        <w:rPr>
          <w:lang w:val="es-ES"/>
        </w:rPr>
        <w:t>hidroeléctricas,</w:t>
      </w:r>
      <w:r w:rsidR="00D136BB">
        <w:rPr>
          <w:lang w:val="es-ES"/>
        </w:rPr>
        <w:t xml:space="preserve"> </w:t>
      </w:r>
      <w:r>
        <w:rPr>
          <w:lang w:val="es-ES"/>
        </w:rPr>
        <w:t>el</w:t>
      </w:r>
      <w:r w:rsidR="00D136BB">
        <w:rPr>
          <w:lang w:val="es-ES"/>
        </w:rPr>
        <w:t xml:space="preserve"> </w:t>
      </w:r>
      <w:r>
        <w:rPr>
          <w:lang w:val="es-ES"/>
        </w:rPr>
        <w:t>30,3%</w:t>
      </w:r>
      <w:r w:rsidR="00D136BB">
        <w:rPr>
          <w:lang w:val="es-ES"/>
        </w:rPr>
        <w:t xml:space="preserve"> </w:t>
      </w:r>
      <w:r>
        <w:rPr>
          <w:lang w:val="es-ES"/>
        </w:rPr>
        <w:t>de</w:t>
      </w:r>
      <w:r w:rsidR="00D136BB">
        <w:rPr>
          <w:lang w:val="es-ES"/>
        </w:rPr>
        <w:t xml:space="preserve"> </w:t>
      </w:r>
      <w:r>
        <w:rPr>
          <w:lang w:val="es-ES"/>
        </w:rPr>
        <w:t>centrales</w:t>
      </w:r>
      <w:r w:rsidR="00D136BB">
        <w:rPr>
          <w:lang w:val="es-ES"/>
        </w:rPr>
        <w:t xml:space="preserve"> </w:t>
      </w:r>
      <w:r>
        <w:rPr>
          <w:lang w:val="es-ES"/>
        </w:rPr>
        <w:t>térmicas,</w:t>
      </w:r>
      <w:r w:rsidR="00D136BB">
        <w:rPr>
          <w:lang w:val="es-ES"/>
        </w:rPr>
        <w:t xml:space="preserve"> </w:t>
      </w:r>
      <w:r>
        <w:rPr>
          <w:lang w:val="es-ES"/>
        </w:rPr>
        <w:t>el</w:t>
      </w:r>
      <w:r w:rsidR="00D136BB">
        <w:rPr>
          <w:lang w:val="es-ES"/>
        </w:rPr>
        <w:t xml:space="preserve"> </w:t>
      </w:r>
      <w:r>
        <w:rPr>
          <w:lang w:val="es-ES"/>
        </w:rPr>
        <w:t>1,7%</w:t>
      </w:r>
      <w:r w:rsidR="00D136BB">
        <w:rPr>
          <w:lang w:val="es-ES"/>
        </w:rPr>
        <w:t xml:space="preserve"> </w:t>
      </w:r>
      <w:r>
        <w:rPr>
          <w:lang w:val="es-ES"/>
        </w:rPr>
        <w:t>nuclear</w:t>
      </w:r>
      <w:r w:rsidR="00D136BB">
        <w:rPr>
          <w:lang w:val="es-ES"/>
        </w:rPr>
        <w:t xml:space="preserve"> </w:t>
      </w:r>
      <w:r>
        <w:rPr>
          <w:lang w:val="es-ES"/>
        </w:rPr>
        <w:t>y</w:t>
      </w:r>
      <w:r w:rsidR="00D136BB">
        <w:rPr>
          <w:lang w:val="es-ES"/>
        </w:rPr>
        <w:t xml:space="preserve"> </w:t>
      </w:r>
      <w:r>
        <w:rPr>
          <w:lang w:val="es-ES"/>
        </w:rPr>
        <w:t>el</w:t>
      </w:r>
      <w:r w:rsidR="00D136BB">
        <w:rPr>
          <w:lang w:val="es-ES"/>
        </w:rPr>
        <w:t xml:space="preserve"> </w:t>
      </w:r>
      <w:r>
        <w:rPr>
          <w:lang w:val="es-ES"/>
        </w:rPr>
        <w:t>12%</w:t>
      </w:r>
      <w:r w:rsidR="00D136BB">
        <w:rPr>
          <w:lang w:val="es-ES"/>
        </w:rPr>
        <w:t xml:space="preserve"> </w:t>
      </w:r>
      <w:r>
        <w:rPr>
          <w:lang w:val="es-ES"/>
        </w:rPr>
        <w:t>de</w:t>
      </w:r>
      <w:r w:rsidR="00D136BB">
        <w:rPr>
          <w:lang w:val="es-ES"/>
        </w:rPr>
        <w:t xml:space="preserve"> </w:t>
      </w:r>
      <w:r>
        <w:rPr>
          <w:lang w:val="es-ES"/>
        </w:rPr>
        <w:t>renovables,</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representó</w:t>
      </w:r>
      <w:r w:rsidR="00D136BB">
        <w:rPr>
          <w:lang w:val="es-ES"/>
        </w:rPr>
        <w:t xml:space="preserve"> </w:t>
      </w:r>
      <w:r>
        <w:rPr>
          <w:lang w:val="es-ES"/>
        </w:rPr>
        <w:t>el</w:t>
      </w:r>
      <w:r w:rsidR="00D136BB">
        <w:rPr>
          <w:lang w:val="es-ES"/>
        </w:rPr>
        <w:t xml:space="preserve"> </w:t>
      </w:r>
      <w:r>
        <w:rPr>
          <w:lang w:val="es-ES"/>
        </w:rPr>
        <w:t>4,9%</w:t>
      </w:r>
      <w:r w:rsidR="00D136BB">
        <w:rPr>
          <w:lang w:val="es-ES"/>
        </w:rPr>
        <w:t xml:space="preserve"> </w:t>
      </w:r>
      <w:r>
        <w:rPr>
          <w:lang w:val="es-ES"/>
        </w:rPr>
        <w:t>del</w:t>
      </w:r>
      <w:r w:rsidR="00D136BB">
        <w:rPr>
          <w:lang w:val="es-ES"/>
        </w:rPr>
        <w:t xml:space="preserve"> </w:t>
      </w:r>
      <w:r>
        <w:rPr>
          <w:lang w:val="es-ES"/>
        </w:rPr>
        <w:t>consumo</w:t>
      </w:r>
      <w:r w:rsidR="00D136BB">
        <w:rPr>
          <w:lang w:val="es-ES"/>
        </w:rPr>
        <w:t xml:space="preserve"> </w:t>
      </w:r>
      <w:r>
        <w:rPr>
          <w:lang w:val="es-ES"/>
        </w:rPr>
        <w:t>mundial.</w:t>
      </w:r>
      <w:r w:rsidR="00D136BB">
        <w:rPr>
          <w:lang w:val="es-ES"/>
        </w:rPr>
        <w:t xml:space="preserve"> </w:t>
      </w:r>
      <w:r>
        <w:rPr>
          <w:lang w:val="es-ES"/>
        </w:rPr>
        <w:t>En</w:t>
      </w:r>
      <w:r w:rsidR="00D136BB">
        <w:rPr>
          <w:lang w:val="es-ES"/>
        </w:rPr>
        <w:t xml:space="preserve"> </w:t>
      </w:r>
      <w:r>
        <w:rPr>
          <w:lang w:val="es-ES"/>
        </w:rPr>
        <w:t>cuanto</w:t>
      </w:r>
      <w:r w:rsidR="00D136BB">
        <w:rPr>
          <w:lang w:val="es-ES"/>
        </w:rPr>
        <w:t xml:space="preserve"> </w:t>
      </w:r>
      <w:r>
        <w:rPr>
          <w:lang w:val="es-ES"/>
        </w:rPr>
        <w:t>a</w:t>
      </w:r>
      <w:r w:rsidR="00D136BB">
        <w:rPr>
          <w:lang w:val="es-ES"/>
        </w:rPr>
        <w:t xml:space="preserve"> </w:t>
      </w:r>
      <w:r>
        <w:rPr>
          <w:lang w:val="es-ES"/>
        </w:rPr>
        <w:t>emisiones</w:t>
      </w:r>
      <w:r w:rsidR="00D136BB">
        <w:rPr>
          <w:lang w:val="es-ES"/>
        </w:rPr>
        <w:t xml:space="preserve"> </w:t>
      </w:r>
      <w:r>
        <w:rPr>
          <w:lang w:val="es-ES"/>
        </w:rPr>
        <w:t>de</w:t>
      </w:r>
      <w:r w:rsidR="00D136BB">
        <w:rPr>
          <w:lang w:val="es-ES"/>
        </w:rPr>
        <w:t xml:space="preserve"> </w:t>
      </w:r>
      <w:r>
        <w:rPr>
          <w:lang w:val="es-ES"/>
        </w:rPr>
        <w:t>CO</w:t>
      </w:r>
      <w:r>
        <w:rPr>
          <w:vertAlign w:val="subscript"/>
          <w:lang w:val="es-ES"/>
        </w:rPr>
        <w:t>2</w:t>
      </w:r>
      <w:r w:rsidR="00D136BB">
        <w:rPr>
          <w:lang w:val="es-ES"/>
        </w:rPr>
        <w:t xml:space="preserve"> </w:t>
      </w:r>
      <w:r>
        <w:rPr>
          <w:lang w:val="es-ES"/>
        </w:rPr>
        <w:t>la</w:t>
      </w:r>
      <w:r w:rsidR="00D136BB">
        <w:rPr>
          <w:lang w:val="es-ES"/>
        </w:rPr>
        <w:t xml:space="preserve"> </w:t>
      </w:r>
      <w:r>
        <w:rPr>
          <w:lang w:val="es-ES"/>
        </w:rPr>
        <w:t>cifra</w:t>
      </w:r>
      <w:r w:rsidR="00D136BB">
        <w:rPr>
          <w:lang w:val="es-ES"/>
        </w:rPr>
        <w:t xml:space="preserve"> </w:t>
      </w:r>
      <w:r>
        <w:rPr>
          <w:lang w:val="es-ES"/>
        </w:rPr>
        <w:t>total</w:t>
      </w:r>
      <w:r w:rsidR="00D136BB">
        <w:rPr>
          <w:lang w:val="es-ES"/>
        </w:rPr>
        <w:t xml:space="preserve"> </w:t>
      </w:r>
      <w:r>
        <w:rPr>
          <w:lang w:val="es-ES"/>
        </w:rPr>
        <w:t>mundial</w:t>
      </w:r>
      <w:r w:rsidR="00D136BB">
        <w:rPr>
          <w:lang w:val="es-ES"/>
        </w:rPr>
        <w:t xml:space="preserve"> </w:t>
      </w:r>
      <w:r>
        <w:rPr>
          <w:lang w:val="es-ES"/>
        </w:rPr>
        <w:t>al</w:t>
      </w:r>
      <w:r w:rsidR="00D136BB">
        <w:rPr>
          <w:lang w:val="es-ES"/>
        </w:rPr>
        <w:t xml:space="preserve"> </w:t>
      </w:r>
      <w:r>
        <w:rPr>
          <w:lang w:val="es-ES"/>
        </w:rPr>
        <w:t>cierre</w:t>
      </w:r>
      <w:r w:rsidR="00D136BB">
        <w:rPr>
          <w:lang w:val="es-ES"/>
        </w:rPr>
        <w:t xml:space="preserve"> </w:t>
      </w:r>
      <w:r>
        <w:rPr>
          <w:lang w:val="es-ES"/>
        </w:rPr>
        <w:t>del</w:t>
      </w:r>
      <w:r w:rsidR="00D136BB">
        <w:rPr>
          <w:lang w:val="es-ES"/>
        </w:rPr>
        <w:t xml:space="preserve"> </w:t>
      </w:r>
      <w:r>
        <w:rPr>
          <w:lang w:val="es-ES"/>
        </w:rPr>
        <w:t>2014</w:t>
      </w:r>
      <w:r w:rsidR="00D136BB">
        <w:rPr>
          <w:lang w:val="es-ES"/>
        </w:rPr>
        <w:t xml:space="preserve"> </w:t>
      </w:r>
      <w:r>
        <w:rPr>
          <w:lang w:val="es-ES"/>
        </w:rPr>
        <w:t>fue</w:t>
      </w:r>
      <w:r w:rsidR="00D136BB">
        <w:rPr>
          <w:lang w:val="es-ES"/>
        </w:rPr>
        <w:t xml:space="preserve"> </w:t>
      </w:r>
      <w:r>
        <w:rPr>
          <w:lang w:val="es-ES"/>
        </w:rPr>
        <w:t>de</w:t>
      </w:r>
      <w:r w:rsidR="00D136BB">
        <w:rPr>
          <w:lang w:val="es-ES"/>
        </w:rPr>
        <w:t xml:space="preserve"> </w:t>
      </w:r>
      <w:r>
        <w:rPr>
          <w:lang w:val="es-ES"/>
        </w:rPr>
        <w:t>1912</w:t>
      </w:r>
      <w:r w:rsidR="00D136BB">
        <w:rPr>
          <w:lang w:val="es-ES"/>
        </w:rPr>
        <w:t xml:space="preserve"> </w:t>
      </w:r>
      <w:r>
        <w:rPr>
          <w:lang w:val="es-ES"/>
        </w:rPr>
        <w:t>Mt</w:t>
      </w:r>
      <w:r w:rsidR="00D136BB">
        <w:rPr>
          <w:lang w:val="es-ES"/>
        </w:rPr>
        <w:t xml:space="preserve"> </w:t>
      </w:r>
      <w:r>
        <w:rPr>
          <w:lang w:val="es-ES"/>
        </w:rPr>
        <w:t>CO</w:t>
      </w:r>
      <w:r>
        <w:rPr>
          <w:vertAlign w:val="subscript"/>
          <w:lang w:val="es-ES"/>
        </w:rPr>
        <w:t>2</w:t>
      </w:r>
      <w:r>
        <w:rPr>
          <w:lang w:val="es-ES"/>
        </w:rPr>
        <w:t>.</w:t>
      </w:r>
      <w:r w:rsidR="00D136BB">
        <w:rPr>
          <w:lang w:val="es-ES"/>
        </w:rPr>
        <w:t xml:space="preserve"> </w:t>
      </w:r>
      <w:r>
        <w:rPr>
          <w:lang w:val="es-ES"/>
        </w:rPr>
        <w:t>A</w:t>
      </w:r>
      <w:r w:rsidR="00D136BB">
        <w:rPr>
          <w:lang w:val="es-ES"/>
        </w:rPr>
        <w:t xml:space="preserve"> </w:t>
      </w:r>
      <w:r>
        <w:rPr>
          <w:lang w:val="es-ES"/>
        </w:rPr>
        <w:t>la</w:t>
      </w:r>
      <w:r w:rsidR="00D136BB">
        <w:rPr>
          <w:lang w:val="es-ES"/>
        </w:rPr>
        <w:t xml:space="preserve"> </w:t>
      </w:r>
      <w:r>
        <w:rPr>
          <w:lang w:val="es-ES"/>
        </w:rPr>
        <w:t>América</w:t>
      </w:r>
      <w:r w:rsidR="00D136BB">
        <w:rPr>
          <w:lang w:val="es-ES"/>
        </w:rPr>
        <w:t xml:space="preserve"> </w:t>
      </w:r>
      <w:r>
        <w:rPr>
          <w:lang w:val="es-ES"/>
        </w:rPr>
        <w:t>Latina</w:t>
      </w:r>
      <w:r w:rsidR="00D136BB">
        <w:rPr>
          <w:lang w:val="es-ES"/>
        </w:rPr>
        <w:t xml:space="preserve"> </w:t>
      </w:r>
      <w:r>
        <w:rPr>
          <w:lang w:val="es-ES"/>
        </w:rPr>
        <w:t>y</w:t>
      </w:r>
      <w:r w:rsidR="00D136BB">
        <w:rPr>
          <w:lang w:val="es-ES"/>
        </w:rPr>
        <w:t xml:space="preserve"> </w:t>
      </w:r>
      <w:r>
        <w:rPr>
          <w:lang w:val="es-ES"/>
        </w:rPr>
        <w:t>el</w:t>
      </w:r>
      <w:r w:rsidR="00D136BB">
        <w:rPr>
          <w:lang w:val="es-ES"/>
        </w:rPr>
        <w:t xml:space="preserve"> </w:t>
      </w:r>
      <w:r>
        <w:rPr>
          <w:lang w:val="es-ES"/>
        </w:rPr>
        <w:t>Caribe</w:t>
      </w:r>
      <w:r w:rsidR="00D136BB">
        <w:rPr>
          <w:lang w:val="es-ES"/>
        </w:rPr>
        <w:t xml:space="preserve"> </w:t>
      </w:r>
      <w:r>
        <w:rPr>
          <w:lang w:val="es-ES"/>
        </w:rPr>
        <w:t>correspondió</w:t>
      </w:r>
      <w:r w:rsidR="00D136BB">
        <w:rPr>
          <w:lang w:val="es-ES"/>
        </w:rPr>
        <w:t xml:space="preserve"> </w:t>
      </w:r>
      <w:r>
        <w:rPr>
          <w:lang w:val="es-ES"/>
        </w:rPr>
        <w:t>un</w:t>
      </w:r>
      <w:r w:rsidR="00D136BB">
        <w:rPr>
          <w:lang w:val="es-ES"/>
        </w:rPr>
        <w:t xml:space="preserve"> </w:t>
      </w:r>
      <w:r>
        <w:rPr>
          <w:lang w:val="es-ES"/>
        </w:rPr>
        <w:t>per</w:t>
      </w:r>
      <w:r w:rsidR="00D136BB">
        <w:rPr>
          <w:lang w:val="es-ES"/>
        </w:rPr>
        <w:t xml:space="preserve"> </w:t>
      </w:r>
      <w:r>
        <w:rPr>
          <w:lang w:val="es-ES"/>
        </w:rPr>
        <w:t>cápita</w:t>
      </w:r>
      <w:r w:rsidR="00D136BB">
        <w:rPr>
          <w:lang w:val="es-ES"/>
        </w:rPr>
        <w:t xml:space="preserve"> </w:t>
      </w:r>
      <w:r>
        <w:rPr>
          <w:lang w:val="es-ES"/>
        </w:rPr>
        <w:t>de</w:t>
      </w:r>
      <w:r w:rsidR="00D136BB">
        <w:rPr>
          <w:lang w:val="es-ES"/>
        </w:rPr>
        <w:t xml:space="preserve"> </w:t>
      </w:r>
      <w:r>
        <w:rPr>
          <w:lang w:val="es-ES"/>
        </w:rPr>
        <w:t>3,1</w:t>
      </w:r>
      <w:r w:rsidR="00D136BB">
        <w:rPr>
          <w:lang w:val="es-ES"/>
        </w:rPr>
        <w:t xml:space="preserve"> </w:t>
      </w:r>
      <w:r>
        <w:rPr>
          <w:lang w:val="es-ES"/>
        </w:rPr>
        <w:t>ton</w:t>
      </w:r>
      <w:r w:rsidR="00D136BB">
        <w:rPr>
          <w:lang w:val="es-ES"/>
        </w:rPr>
        <w:t xml:space="preserve"> </w:t>
      </w:r>
      <w:r>
        <w:rPr>
          <w:lang w:val="es-ES"/>
        </w:rPr>
        <w:t>CO</w:t>
      </w:r>
      <w:r>
        <w:rPr>
          <w:vertAlign w:val="subscript"/>
          <w:lang w:val="es-ES"/>
        </w:rPr>
        <w:t>2</w:t>
      </w:r>
      <w:r>
        <w:rPr>
          <w:lang w:val="es-ES"/>
        </w:rPr>
        <w:t>/hab.</w:t>
      </w:r>
      <w:r w:rsidR="00D136BB">
        <w:rPr>
          <w:lang w:val="es-ES"/>
        </w:rPr>
        <w:t xml:space="preserve"> </w:t>
      </w:r>
      <w:r>
        <w:rPr>
          <w:lang w:val="es-ES"/>
        </w:rPr>
        <w:t>Aun</w:t>
      </w:r>
      <w:r w:rsidR="00D136BB">
        <w:rPr>
          <w:lang w:val="es-ES"/>
        </w:rPr>
        <w:t xml:space="preserve"> </w:t>
      </w:r>
      <w:r>
        <w:rPr>
          <w:lang w:val="es-ES"/>
        </w:rPr>
        <w:t>cuando</w:t>
      </w:r>
      <w:r w:rsidR="00D136BB">
        <w:rPr>
          <w:lang w:val="es-ES"/>
        </w:rPr>
        <w:t xml:space="preserve"> </w:t>
      </w:r>
      <w:r>
        <w:rPr>
          <w:lang w:val="es-ES"/>
        </w:rPr>
        <w:t>los</w:t>
      </w:r>
      <w:r w:rsidR="00D136BB">
        <w:rPr>
          <w:lang w:val="es-ES"/>
        </w:rPr>
        <w:t xml:space="preserve"> </w:t>
      </w:r>
      <w:r>
        <w:rPr>
          <w:lang w:val="es-ES"/>
        </w:rPr>
        <w:t>valores</w:t>
      </w:r>
      <w:r w:rsidR="00D136BB">
        <w:rPr>
          <w:lang w:val="es-ES"/>
        </w:rPr>
        <w:t xml:space="preserve"> </w:t>
      </w:r>
      <w:r>
        <w:rPr>
          <w:lang w:val="es-ES"/>
        </w:rPr>
        <w:t>de</w:t>
      </w:r>
      <w:r w:rsidR="00D136BB">
        <w:rPr>
          <w:lang w:val="es-ES"/>
        </w:rPr>
        <w:t xml:space="preserve"> </w:t>
      </w:r>
      <w:r>
        <w:rPr>
          <w:lang w:val="es-ES"/>
        </w:rPr>
        <w:t>emisiones</w:t>
      </w:r>
      <w:r w:rsidR="00D136BB">
        <w:rPr>
          <w:lang w:val="es-ES"/>
        </w:rPr>
        <w:t xml:space="preserve"> </w:t>
      </w:r>
      <w:r>
        <w:rPr>
          <w:lang w:val="es-ES"/>
        </w:rPr>
        <w:t>de</w:t>
      </w:r>
      <w:r w:rsidR="00D136BB">
        <w:rPr>
          <w:lang w:val="es-ES"/>
        </w:rPr>
        <w:t xml:space="preserve"> </w:t>
      </w:r>
      <w:r>
        <w:rPr>
          <w:lang w:val="es-ES"/>
        </w:rPr>
        <w:t>CO</w:t>
      </w:r>
      <w:r>
        <w:rPr>
          <w:vertAlign w:val="subscript"/>
          <w:lang w:val="es-ES"/>
        </w:rPr>
        <w:t>2</w:t>
      </w:r>
      <w:r w:rsidR="00D136BB">
        <w:rPr>
          <w:lang w:val="es-ES"/>
        </w:rPr>
        <w:t xml:space="preserve"> </w:t>
      </w:r>
      <w:r>
        <w:rPr>
          <w:lang w:val="es-ES"/>
        </w:rPr>
        <w:t>por</w:t>
      </w:r>
      <w:r w:rsidR="00D136BB">
        <w:rPr>
          <w:lang w:val="es-ES"/>
        </w:rPr>
        <w:t xml:space="preserve"> </w:t>
      </w:r>
      <w:r>
        <w:rPr>
          <w:lang w:val="es-ES"/>
        </w:rPr>
        <w:t>habitante</w:t>
      </w:r>
      <w:r w:rsidR="00D136BB">
        <w:rPr>
          <w:lang w:val="es-ES"/>
        </w:rPr>
        <w:t xml:space="preserve"> </w:t>
      </w:r>
      <w:r>
        <w:rPr>
          <w:lang w:val="es-ES"/>
        </w:rPr>
        <w:t>son</w:t>
      </w:r>
      <w:r w:rsidR="00D136BB">
        <w:rPr>
          <w:lang w:val="es-ES"/>
        </w:rPr>
        <w:t xml:space="preserve"> </w:t>
      </w:r>
      <w:r>
        <w:rPr>
          <w:lang w:val="es-ES"/>
        </w:rPr>
        <w:t>menores</w:t>
      </w:r>
      <w:r w:rsidR="00D136BB">
        <w:rPr>
          <w:lang w:val="es-ES"/>
        </w:rPr>
        <w:t xml:space="preserve"> </w:t>
      </w:r>
      <w:r>
        <w:rPr>
          <w:lang w:val="es-ES"/>
        </w:rPr>
        <w:t>en</w:t>
      </w:r>
      <w:r w:rsidR="00D136BB">
        <w:rPr>
          <w:lang w:val="es-ES"/>
        </w:rPr>
        <w:t xml:space="preserve"> </w:t>
      </w:r>
      <w:r>
        <w:rPr>
          <w:lang w:val="es-ES"/>
        </w:rPr>
        <w:t>América</w:t>
      </w:r>
      <w:r w:rsidR="00D136BB">
        <w:rPr>
          <w:lang w:val="es-ES"/>
        </w:rPr>
        <w:t xml:space="preserve"> </w:t>
      </w:r>
      <w:r>
        <w:rPr>
          <w:lang w:val="es-ES"/>
        </w:rPr>
        <w:t>Latina</w:t>
      </w:r>
      <w:r w:rsidR="00D136BB">
        <w:rPr>
          <w:lang w:val="es-ES"/>
        </w:rPr>
        <w:t xml:space="preserve"> </w:t>
      </w:r>
      <w:r>
        <w:rPr>
          <w:lang w:val="es-ES"/>
        </w:rPr>
        <w:t>y</w:t>
      </w:r>
      <w:r w:rsidR="00D136BB">
        <w:rPr>
          <w:lang w:val="es-ES"/>
        </w:rPr>
        <w:t xml:space="preserve"> </w:t>
      </w:r>
      <w:r>
        <w:rPr>
          <w:lang w:val="es-ES"/>
        </w:rPr>
        <w:t>el</w:t>
      </w:r>
      <w:r w:rsidR="00D136BB">
        <w:rPr>
          <w:lang w:val="es-ES"/>
        </w:rPr>
        <w:t xml:space="preserve"> </w:t>
      </w:r>
      <w:r>
        <w:rPr>
          <w:lang w:val="es-ES"/>
        </w:rPr>
        <w:t>Caribe</w:t>
      </w:r>
      <w:r w:rsidR="00D136BB">
        <w:rPr>
          <w:lang w:val="es-ES"/>
        </w:rPr>
        <w:t xml:space="preserve"> </w:t>
      </w:r>
      <w:r>
        <w:rPr>
          <w:lang w:val="es-ES"/>
        </w:rPr>
        <w:t>respecto</w:t>
      </w:r>
      <w:r w:rsidR="00D136BB">
        <w:rPr>
          <w:lang w:val="es-ES"/>
        </w:rPr>
        <w:t xml:space="preserve"> </w:t>
      </w:r>
      <w:r>
        <w:rPr>
          <w:lang w:val="es-ES"/>
        </w:rPr>
        <w:t>a</w:t>
      </w:r>
      <w:r w:rsidR="00D136BB">
        <w:rPr>
          <w:lang w:val="es-ES"/>
        </w:rPr>
        <w:t xml:space="preserve"> </w:t>
      </w:r>
      <w:r>
        <w:rPr>
          <w:lang w:val="es-ES"/>
        </w:rPr>
        <w:t>países</w:t>
      </w:r>
      <w:r w:rsidR="00D136BB">
        <w:rPr>
          <w:lang w:val="es-ES"/>
        </w:rPr>
        <w:t xml:space="preserve"> </w:t>
      </w:r>
      <w:r>
        <w:rPr>
          <w:lang w:val="es-ES"/>
        </w:rPr>
        <w:t>industrializados,</w:t>
      </w:r>
      <w:r w:rsidR="00D136BB">
        <w:rPr>
          <w:lang w:val="es-ES"/>
        </w:rPr>
        <w:t xml:space="preserve"> </w:t>
      </w:r>
      <w:r>
        <w:rPr>
          <w:lang w:val="es-ES"/>
        </w:rPr>
        <w:t>con</w:t>
      </w:r>
      <w:r w:rsidR="00D136BB">
        <w:rPr>
          <w:lang w:val="es-ES"/>
        </w:rPr>
        <w:t xml:space="preserve"> </w:t>
      </w:r>
      <w:r>
        <w:rPr>
          <w:lang w:val="es-ES"/>
        </w:rPr>
        <w:t>un</w:t>
      </w:r>
      <w:r w:rsidR="00D136BB">
        <w:rPr>
          <w:lang w:val="es-ES"/>
        </w:rPr>
        <w:t xml:space="preserve"> </w:t>
      </w:r>
      <w:r>
        <w:rPr>
          <w:lang w:val="es-ES"/>
        </w:rPr>
        <w:t>1,4</w:t>
      </w:r>
      <w:r w:rsidR="00D136BB">
        <w:rPr>
          <w:lang w:val="es-ES"/>
        </w:rPr>
        <w:t xml:space="preserve"> </w:t>
      </w:r>
      <w:r>
        <w:rPr>
          <w:lang w:val="es-ES"/>
        </w:rPr>
        <w:t>%</w:t>
      </w:r>
      <w:r w:rsidR="00D136BB">
        <w:rPr>
          <w:lang w:val="es-ES"/>
        </w:rPr>
        <w:t xml:space="preserve"> </w:t>
      </w:r>
      <w:r>
        <w:rPr>
          <w:lang w:val="es-ES"/>
        </w:rPr>
        <w:t>de</w:t>
      </w:r>
      <w:r w:rsidR="00D136BB">
        <w:rPr>
          <w:lang w:val="es-ES"/>
        </w:rPr>
        <w:t xml:space="preserve"> </w:t>
      </w:r>
      <w:r>
        <w:rPr>
          <w:lang w:val="es-ES"/>
        </w:rPr>
        <w:t>crecimiento</w:t>
      </w:r>
      <w:r w:rsidR="00D136BB">
        <w:rPr>
          <w:lang w:val="es-ES"/>
        </w:rPr>
        <w:t xml:space="preserve"> </w:t>
      </w:r>
      <w:r>
        <w:rPr>
          <w:lang w:val="es-ES"/>
        </w:rPr>
        <w:t>entre</w:t>
      </w:r>
      <w:r w:rsidR="00D136BB">
        <w:rPr>
          <w:lang w:val="es-ES"/>
        </w:rPr>
        <w:t xml:space="preserve"> </w:t>
      </w:r>
      <w:r>
        <w:rPr>
          <w:lang w:val="es-ES"/>
        </w:rPr>
        <w:t>2010</w:t>
      </w:r>
      <w:r w:rsidR="00D136BB">
        <w:rPr>
          <w:lang w:val="es-ES"/>
        </w:rPr>
        <w:t xml:space="preserve"> </w:t>
      </w:r>
      <w:r>
        <w:rPr>
          <w:lang w:val="es-ES"/>
        </w:rPr>
        <w:t>y</w:t>
      </w:r>
      <w:r w:rsidR="00D136BB">
        <w:rPr>
          <w:lang w:val="es-ES"/>
        </w:rPr>
        <w:t xml:space="preserve"> </w:t>
      </w:r>
      <w:r>
        <w:rPr>
          <w:lang w:val="es-ES"/>
        </w:rPr>
        <w:t>2014.</w:t>
      </w:r>
      <w:r w:rsidR="00D136BB">
        <w:rPr>
          <w:lang w:val="es-ES"/>
        </w:rPr>
        <w:t xml:space="preserve"> </w:t>
      </w:r>
    </w:p>
    <w:p w14:paraId="03946E0F" w14:textId="55459D91" w:rsidR="00AA6E02" w:rsidRDefault="00AA6E02" w:rsidP="00AA6E02">
      <w:pPr>
        <w:pStyle w:val="BodyText"/>
        <w:rPr>
          <w:lang w:val="es-ES"/>
        </w:rPr>
      </w:pPr>
      <w:r>
        <w:rPr>
          <w:lang w:val="es-ES"/>
        </w:rPr>
        <w:t>Se</w:t>
      </w:r>
      <w:r w:rsidR="00D136BB">
        <w:rPr>
          <w:lang w:val="es-ES"/>
        </w:rPr>
        <w:t xml:space="preserve"> </w:t>
      </w:r>
      <w:r>
        <w:rPr>
          <w:lang w:val="es-ES"/>
        </w:rPr>
        <w:t>ha</w:t>
      </w:r>
      <w:r w:rsidR="00D136BB">
        <w:rPr>
          <w:lang w:val="es-ES"/>
        </w:rPr>
        <w:t xml:space="preserve"> </w:t>
      </w:r>
      <w:r>
        <w:rPr>
          <w:lang w:val="es-ES"/>
        </w:rPr>
        <w:t>estimado</w:t>
      </w:r>
      <w:r w:rsidR="00D136BB">
        <w:rPr>
          <w:lang w:val="es-ES"/>
        </w:rPr>
        <w:t xml:space="preserve"> </w:t>
      </w:r>
      <w:r>
        <w:rPr>
          <w:lang w:val="es-ES"/>
        </w:rPr>
        <w:t>[5]</w:t>
      </w:r>
      <w:r w:rsidR="00D136BB">
        <w:rPr>
          <w:lang w:val="es-ES"/>
        </w:rPr>
        <w:t xml:space="preserve"> </w:t>
      </w:r>
      <w:r>
        <w:rPr>
          <w:lang w:val="es-ES"/>
        </w:rPr>
        <w:t>que</w:t>
      </w:r>
      <w:r w:rsidR="00D136BB">
        <w:rPr>
          <w:lang w:val="es-ES"/>
        </w:rPr>
        <w:t xml:space="preserve"> </w:t>
      </w:r>
      <w:r>
        <w:rPr>
          <w:lang w:val="es-ES"/>
        </w:rPr>
        <w:t>las</w:t>
      </w:r>
      <w:r w:rsidR="00D136BB">
        <w:rPr>
          <w:lang w:val="es-ES"/>
        </w:rPr>
        <w:t xml:space="preserve"> </w:t>
      </w:r>
      <w:r>
        <w:rPr>
          <w:lang w:val="es-ES"/>
        </w:rPr>
        <w:t>adiciones</w:t>
      </w:r>
      <w:r w:rsidR="00D136BB">
        <w:rPr>
          <w:lang w:val="es-ES"/>
        </w:rPr>
        <w:t xml:space="preserve"> </w:t>
      </w:r>
      <w:r>
        <w:rPr>
          <w:lang w:val="es-ES"/>
        </w:rPr>
        <w:t>brutas</w:t>
      </w:r>
      <w:r w:rsidR="00D136BB">
        <w:rPr>
          <w:lang w:val="es-ES"/>
        </w:rPr>
        <w:t xml:space="preserve"> </w:t>
      </w:r>
      <w:r>
        <w:rPr>
          <w:lang w:val="es-ES"/>
        </w:rPr>
        <w:t>de</w:t>
      </w:r>
      <w:r w:rsidR="00D136BB">
        <w:rPr>
          <w:lang w:val="es-ES"/>
        </w:rPr>
        <w:t xml:space="preserve"> </w:t>
      </w:r>
      <w:r>
        <w:rPr>
          <w:lang w:val="es-ES"/>
        </w:rPr>
        <w:t>capacidad</w:t>
      </w:r>
      <w:r w:rsidR="00D136BB">
        <w:rPr>
          <w:lang w:val="es-ES"/>
        </w:rPr>
        <w:t xml:space="preserve"> </w:t>
      </w:r>
      <w:r>
        <w:rPr>
          <w:lang w:val="es-ES"/>
        </w:rPr>
        <w:t>de</w:t>
      </w:r>
      <w:r w:rsidR="00D136BB">
        <w:rPr>
          <w:lang w:val="es-ES"/>
        </w:rPr>
        <w:t xml:space="preserve"> </w:t>
      </w:r>
      <w:r>
        <w:rPr>
          <w:lang w:val="es-ES"/>
        </w:rPr>
        <w:t>generación</w:t>
      </w:r>
      <w:r w:rsidR="00D136BB">
        <w:rPr>
          <w:lang w:val="es-ES"/>
        </w:rPr>
        <w:t xml:space="preserve"> </w:t>
      </w:r>
      <w:r>
        <w:rPr>
          <w:lang w:val="es-ES"/>
        </w:rPr>
        <w:t>eléctrica</w:t>
      </w:r>
      <w:r w:rsidR="00D136BB">
        <w:rPr>
          <w:lang w:val="es-ES"/>
        </w:rPr>
        <w:t xml:space="preserve"> </w:t>
      </w:r>
      <w:r>
        <w:rPr>
          <w:lang w:val="es-ES"/>
        </w:rPr>
        <w:t>entre</w:t>
      </w:r>
      <w:r w:rsidR="00D136BB">
        <w:rPr>
          <w:lang w:val="es-ES"/>
        </w:rPr>
        <w:t xml:space="preserve"> </w:t>
      </w:r>
      <w:r>
        <w:rPr>
          <w:lang w:val="es-ES"/>
        </w:rPr>
        <w:t>2012</w:t>
      </w:r>
      <w:r w:rsidR="00D136BB">
        <w:rPr>
          <w:lang w:val="es-ES"/>
        </w:rPr>
        <w:t xml:space="preserve"> </w:t>
      </w:r>
      <w:r>
        <w:rPr>
          <w:lang w:val="es-ES"/>
        </w:rPr>
        <w:t>y</w:t>
      </w:r>
      <w:r w:rsidR="00D136BB">
        <w:rPr>
          <w:lang w:val="es-ES"/>
        </w:rPr>
        <w:t xml:space="preserve"> </w:t>
      </w:r>
      <w:r>
        <w:rPr>
          <w:lang w:val="es-ES"/>
        </w:rPr>
        <w:t>2035</w:t>
      </w:r>
      <w:r w:rsidR="00D136BB">
        <w:rPr>
          <w:lang w:val="es-ES"/>
        </w:rPr>
        <w:t xml:space="preserve"> </w:t>
      </w:r>
      <w:r>
        <w:rPr>
          <w:lang w:val="es-ES"/>
        </w:rPr>
        <w:t>en</w:t>
      </w:r>
      <w:r w:rsidR="00D136BB">
        <w:rPr>
          <w:lang w:val="es-ES"/>
        </w:rPr>
        <w:t xml:space="preserve"> </w:t>
      </w:r>
      <w:r>
        <w:rPr>
          <w:lang w:val="es-ES"/>
        </w:rPr>
        <w:t>América</w:t>
      </w:r>
      <w:r w:rsidR="00D136BB">
        <w:rPr>
          <w:lang w:val="es-ES"/>
        </w:rPr>
        <w:t xml:space="preserve"> </w:t>
      </w:r>
      <w:r>
        <w:rPr>
          <w:lang w:val="es-ES"/>
        </w:rPr>
        <w:t>Latina</w:t>
      </w:r>
      <w:r w:rsidR="00D136BB">
        <w:rPr>
          <w:lang w:val="es-ES"/>
        </w:rPr>
        <w:t xml:space="preserve"> </w:t>
      </w:r>
      <w:r>
        <w:rPr>
          <w:lang w:val="es-ES"/>
        </w:rPr>
        <w:t>y</w:t>
      </w:r>
      <w:r w:rsidR="00D136BB">
        <w:rPr>
          <w:lang w:val="es-ES"/>
        </w:rPr>
        <w:t xml:space="preserve"> </w:t>
      </w:r>
      <w:r>
        <w:rPr>
          <w:lang w:val="es-ES"/>
        </w:rPr>
        <w:t>el</w:t>
      </w:r>
      <w:r w:rsidR="00D136BB">
        <w:rPr>
          <w:lang w:val="es-ES"/>
        </w:rPr>
        <w:t xml:space="preserve"> </w:t>
      </w:r>
      <w:r>
        <w:rPr>
          <w:lang w:val="es-ES"/>
        </w:rPr>
        <w:t>Caribe</w:t>
      </w:r>
      <w:r w:rsidR="00D136BB">
        <w:rPr>
          <w:lang w:val="es-ES"/>
        </w:rPr>
        <w:t xml:space="preserve"> </w:t>
      </w:r>
      <w:r>
        <w:rPr>
          <w:lang w:val="es-ES"/>
        </w:rPr>
        <w:t>alcancen</w:t>
      </w:r>
      <w:r w:rsidR="00D136BB">
        <w:rPr>
          <w:lang w:val="es-ES"/>
        </w:rPr>
        <w:t xml:space="preserve"> </w:t>
      </w:r>
      <w:r>
        <w:rPr>
          <w:lang w:val="es-ES"/>
        </w:rPr>
        <w:t>la</w:t>
      </w:r>
      <w:r w:rsidR="00D136BB">
        <w:rPr>
          <w:lang w:val="es-ES"/>
        </w:rPr>
        <w:t xml:space="preserve"> </w:t>
      </w:r>
      <w:r>
        <w:rPr>
          <w:lang w:val="es-ES"/>
        </w:rPr>
        <w:t>cifra</w:t>
      </w:r>
      <w:r w:rsidR="00D136BB">
        <w:rPr>
          <w:lang w:val="es-ES"/>
        </w:rPr>
        <w:t xml:space="preserve"> </w:t>
      </w:r>
      <w:r>
        <w:rPr>
          <w:lang w:val="es-ES"/>
        </w:rPr>
        <w:t>de</w:t>
      </w:r>
      <w:r w:rsidR="00D136BB">
        <w:rPr>
          <w:lang w:val="es-ES"/>
        </w:rPr>
        <w:t xml:space="preserve"> </w:t>
      </w:r>
      <w:r>
        <w:rPr>
          <w:lang w:val="es-ES"/>
        </w:rPr>
        <w:t>269</w:t>
      </w:r>
      <w:r w:rsidR="00D136BB">
        <w:rPr>
          <w:lang w:val="es-ES"/>
        </w:rPr>
        <w:t xml:space="preserve"> </w:t>
      </w:r>
      <w:r>
        <w:rPr>
          <w:lang w:val="es-ES"/>
        </w:rPr>
        <w:t>GW,</w:t>
      </w:r>
      <w:r w:rsidR="00D136BB">
        <w:rPr>
          <w:lang w:val="es-ES"/>
        </w:rPr>
        <w:t xml:space="preserve"> </w:t>
      </w:r>
      <w:r>
        <w:rPr>
          <w:lang w:val="es-ES"/>
        </w:rPr>
        <w:t>cifra</w:t>
      </w:r>
      <w:r w:rsidR="00D136BB">
        <w:rPr>
          <w:lang w:val="es-ES"/>
        </w:rPr>
        <w:t xml:space="preserve"> </w:t>
      </w:r>
      <w:r>
        <w:rPr>
          <w:lang w:val="es-ES"/>
        </w:rPr>
        <w:t>similar</w:t>
      </w:r>
      <w:r w:rsidR="00D136BB">
        <w:rPr>
          <w:lang w:val="es-ES"/>
        </w:rPr>
        <w:t xml:space="preserve"> </w:t>
      </w:r>
      <w:r>
        <w:rPr>
          <w:lang w:val="es-ES"/>
        </w:rPr>
        <w:t>a</w:t>
      </w:r>
      <w:r w:rsidR="00D136BB">
        <w:rPr>
          <w:lang w:val="es-ES"/>
        </w:rPr>
        <w:t xml:space="preserve"> </w:t>
      </w:r>
      <w:r>
        <w:rPr>
          <w:lang w:val="es-ES"/>
        </w:rPr>
        <w:t>la</w:t>
      </w:r>
      <w:r w:rsidR="00D136BB">
        <w:rPr>
          <w:lang w:val="es-ES"/>
        </w:rPr>
        <w:t xml:space="preserve"> </w:t>
      </w:r>
      <w:r>
        <w:rPr>
          <w:lang w:val="es-ES"/>
        </w:rPr>
        <w:t>capacidad</w:t>
      </w:r>
      <w:r w:rsidR="00D136BB">
        <w:rPr>
          <w:lang w:val="es-ES"/>
        </w:rPr>
        <w:t xml:space="preserve"> </w:t>
      </w:r>
      <w:r>
        <w:rPr>
          <w:lang w:val="es-ES"/>
        </w:rPr>
        <w:t>instalada</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2009.</w:t>
      </w:r>
      <w:r w:rsidR="00D136BB">
        <w:rPr>
          <w:lang w:val="es-ES"/>
        </w:rPr>
        <w:t xml:space="preserve"> </w:t>
      </w:r>
      <w:r>
        <w:rPr>
          <w:lang w:val="es-ES"/>
        </w:rPr>
        <w:t>De</w:t>
      </w:r>
      <w:r w:rsidR="00D136BB">
        <w:rPr>
          <w:lang w:val="es-ES"/>
        </w:rPr>
        <w:t xml:space="preserve"> </w:t>
      </w:r>
      <w:r>
        <w:rPr>
          <w:lang w:val="es-ES"/>
        </w:rPr>
        <w:t>esas</w:t>
      </w:r>
      <w:r w:rsidR="00D136BB">
        <w:rPr>
          <w:lang w:val="es-ES"/>
        </w:rPr>
        <w:t xml:space="preserve"> </w:t>
      </w:r>
      <w:r>
        <w:rPr>
          <w:lang w:val="es-ES"/>
        </w:rPr>
        <w:t>adiciones</w:t>
      </w:r>
      <w:r w:rsidR="00D136BB">
        <w:rPr>
          <w:lang w:val="es-ES"/>
        </w:rPr>
        <w:t xml:space="preserve"> </w:t>
      </w:r>
      <w:r>
        <w:rPr>
          <w:lang w:val="es-ES"/>
        </w:rPr>
        <w:t>se</w:t>
      </w:r>
      <w:r w:rsidR="00D136BB">
        <w:rPr>
          <w:lang w:val="es-ES"/>
        </w:rPr>
        <w:t xml:space="preserve"> </w:t>
      </w:r>
      <w:r>
        <w:rPr>
          <w:lang w:val="es-ES"/>
        </w:rPr>
        <w:t>estima</w:t>
      </w:r>
      <w:r w:rsidR="00D136BB">
        <w:rPr>
          <w:lang w:val="es-ES"/>
        </w:rPr>
        <w:t xml:space="preserve"> </w:t>
      </w:r>
      <w:r>
        <w:rPr>
          <w:lang w:val="es-ES"/>
        </w:rPr>
        <w:t>que</w:t>
      </w:r>
      <w:r w:rsidR="00D136BB">
        <w:rPr>
          <w:lang w:val="es-ES"/>
        </w:rPr>
        <w:t xml:space="preserve"> </w:t>
      </w:r>
      <w:r>
        <w:rPr>
          <w:lang w:val="es-ES"/>
        </w:rPr>
        <w:t>97</w:t>
      </w:r>
      <w:r w:rsidR="00D136BB">
        <w:rPr>
          <w:lang w:val="es-ES"/>
        </w:rPr>
        <w:t xml:space="preserve"> </w:t>
      </w:r>
      <w:r>
        <w:rPr>
          <w:lang w:val="es-ES"/>
        </w:rPr>
        <w:t>GW</w:t>
      </w:r>
      <w:r w:rsidR="00D136BB">
        <w:rPr>
          <w:lang w:val="es-ES"/>
        </w:rPr>
        <w:t xml:space="preserve"> </w:t>
      </w:r>
      <w:r>
        <w:rPr>
          <w:lang w:val="es-ES"/>
        </w:rPr>
        <w:t>sean</w:t>
      </w:r>
      <w:r w:rsidR="00D136BB">
        <w:rPr>
          <w:lang w:val="es-ES"/>
        </w:rPr>
        <w:t xml:space="preserve"> </w:t>
      </w:r>
      <w:r>
        <w:rPr>
          <w:lang w:val="es-ES"/>
        </w:rPr>
        <w:t>centrales</w:t>
      </w:r>
      <w:r w:rsidR="00D136BB">
        <w:rPr>
          <w:lang w:val="es-ES"/>
        </w:rPr>
        <w:t xml:space="preserve"> </w:t>
      </w:r>
      <w:r>
        <w:rPr>
          <w:lang w:val="es-ES"/>
        </w:rPr>
        <w:t>hidroeléctricas,</w:t>
      </w:r>
      <w:r w:rsidR="00D136BB">
        <w:rPr>
          <w:lang w:val="es-ES"/>
        </w:rPr>
        <w:t xml:space="preserve"> </w:t>
      </w:r>
      <w:r>
        <w:rPr>
          <w:lang w:val="es-ES"/>
        </w:rPr>
        <w:t>78</w:t>
      </w:r>
      <w:r w:rsidR="00D136BB">
        <w:rPr>
          <w:lang w:val="es-ES"/>
        </w:rPr>
        <w:t xml:space="preserve"> </w:t>
      </w:r>
      <w:r>
        <w:rPr>
          <w:lang w:val="es-ES"/>
        </w:rPr>
        <w:t>GW</w:t>
      </w:r>
      <w:r w:rsidR="00D136BB">
        <w:rPr>
          <w:lang w:val="es-ES"/>
        </w:rPr>
        <w:t xml:space="preserve"> </w:t>
      </w:r>
      <w:r>
        <w:rPr>
          <w:lang w:val="es-ES"/>
        </w:rPr>
        <w:t>de</w:t>
      </w:r>
      <w:r w:rsidR="00D136BB">
        <w:rPr>
          <w:lang w:val="es-ES"/>
        </w:rPr>
        <w:t xml:space="preserve"> </w:t>
      </w:r>
      <w:r>
        <w:rPr>
          <w:lang w:val="es-ES"/>
        </w:rPr>
        <w:t>gas,</w:t>
      </w:r>
      <w:r w:rsidR="00D136BB">
        <w:rPr>
          <w:lang w:val="es-ES"/>
        </w:rPr>
        <w:t xml:space="preserve"> </w:t>
      </w:r>
      <w:r>
        <w:rPr>
          <w:lang w:val="es-ES"/>
        </w:rPr>
        <w:t>25</w:t>
      </w:r>
      <w:r w:rsidR="00D136BB">
        <w:rPr>
          <w:lang w:val="es-ES"/>
        </w:rPr>
        <w:t xml:space="preserve"> </w:t>
      </w:r>
      <w:r>
        <w:rPr>
          <w:lang w:val="es-ES"/>
        </w:rPr>
        <w:t>GW</w:t>
      </w:r>
      <w:r w:rsidR="00D136BB">
        <w:rPr>
          <w:lang w:val="es-ES"/>
        </w:rPr>
        <w:t xml:space="preserve"> </w:t>
      </w:r>
      <w:r>
        <w:rPr>
          <w:lang w:val="es-ES"/>
        </w:rPr>
        <w:t>eólicos,</w:t>
      </w:r>
      <w:r w:rsidR="00D136BB">
        <w:rPr>
          <w:lang w:val="es-ES"/>
        </w:rPr>
        <w:t xml:space="preserve"> </w:t>
      </w:r>
      <w:r>
        <w:rPr>
          <w:lang w:val="es-ES"/>
        </w:rPr>
        <w:t>21</w:t>
      </w:r>
      <w:r w:rsidR="00D136BB">
        <w:rPr>
          <w:lang w:val="es-ES"/>
        </w:rPr>
        <w:t xml:space="preserve"> </w:t>
      </w:r>
      <w:r>
        <w:rPr>
          <w:lang w:val="es-ES"/>
        </w:rPr>
        <w:t>GW</w:t>
      </w:r>
      <w:r w:rsidR="00D136BB">
        <w:rPr>
          <w:lang w:val="es-ES"/>
        </w:rPr>
        <w:t xml:space="preserve"> </w:t>
      </w:r>
      <w:r>
        <w:rPr>
          <w:lang w:val="es-ES"/>
        </w:rPr>
        <w:t>solar</w:t>
      </w:r>
      <w:r w:rsidR="00D136BB">
        <w:rPr>
          <w:lang w:val="es-ES"/>
        </w:rPr>
        <w:t xml:space="preserve"> </w:t>
      </w:r>
      <w:r>
        <w:rPr>
          <w:lang w:val="es-ES"/>
        </w:rPr>
        <w:t>PV,</w:t>
      </w:r>
      <w:r w:rsidR="00D136BB">
        <w:rPr>
          <w:lang w:val="es-ES"/>
        </w:rPr>
        <w:t xml:space="preserve"> </w:t>
      </w:r>
      <w:r>
        <w:rPr>
          <w:lang w:val="es-ES"/>
        </w:rPr>
        <w:t>16</w:t>
      </w:r>
      <w:r w:rsidR="00D136BB">
        <w:rPr>
          <w:lang w:val="es-ES"/>
        </w:rPr>
        <w:t xml:space="preserve"> </w:t>
      </w:r>
      <w:r>
        <w:rPr>
          <w:lang w:val="es-ES"/>
        </w:rPr>
        <w:t>GW</w:t>
      </w:r>
      <w:r w:rsidR="00D136BB">
        <w:rPr>
          <w:lang w:val="es-ES"/>
        </w:rPr>
        <w:t xml:space="preserve"> </w:t>
      </w:r>
      <w:r>
        <w:rPr>
          <w:lang w:val="es-ES"/>
        </w:rPr>
        <w:t>bioenergía,</w:t>
      </w:r>
      <w:r w:rsidR="00D136BB">
        <w:rPr>
          <w:lang w:val="es-ES"/>
        </w:rPr>
        <w:t xml:space="preserve"> </w:t>
      </w:r>
      <w:r>
        <w:rPr>
          <w:lang w:val="es-ES"/>
        </w:rPr>
        <w:t>7</w:t>
      </w:r>
      <w:r w:rsidR="00D136BB">
        <w:rPr>
          <w:lang w:val="es-ES"/>
        </w:rPr>
        <w:t xml:space="preserve"> </w:t>
      </w:r>
      <w:r>
        <w:rPr>
          <w:lang w:val="es-ES"/>
        </w:rPr>
        <w:t>GW</w:t>
      </w:r>
      <w:r w:rsidR="00D136BB">
        <w:rPr>
          <w:lang w:val="es-ES"/>
        </w:rPr>
        <w:t xml:space="preserve"> </w:t>
      </w:r>
      <w:r>
        <w:rPr>
          <w:lang w:val="es-ES"/>
        </w:rPr>
        <w:t>nuclear,</w:t>
      </w:r>
      <w:r w:rsidR="00D136BB">
        <w:rPr>
          <w:lang w:val="es-ES"/>
        </w:rPr>
        <w:t xml:space="preserve"> </w:t>
      </w:r>
      <w:r>
        <w:rPr>
          <w:lang w:val="es-ES"/>
        </w:rPr>
        <w:t>3</w:t>
      </w:r>
      <w:r w:rsidR="00D136BB">
        <w:rPr>
          <w:lang w:val="es-ES"/>
        </w:rPr>
        <w:t xml:space="preserve"> </w:t>
      </w:r>
      <w:r>
        <w:rPr>
          <w:lang w:val="es-ES"/>
        </w:rPr>
        <w:t>GW</w:t>
      </w:r>
      <w:r w:rsidR="00D136BB">
        <w:rPr>
          <w:lang w:val="es-ES"/>
        </w:rPr>
        <w:t xml:space="preserve"> </w:t>
      </w:r>
      <w:r>
        <w:rPr>
          <w:lang w:val="es-ES"/>
        </w:rPr>
        <w:t>solar</w:t>
      </w:r>
      <w:r w:rsidR="00D136BB">
        <w:rPr>
          <w:lang w:val="es-ES"/>
        </w:rPr>
        <w:t xml:space="preserve"> </w:t>
      </w:r>
      <w:r>
        <w:rPr>
          <w:lang w:val="es-ES"/>
        </w:rPr>
        <w:t>por</w:t>
      </w:r>
      <w:r w:rsidR="00D136BB">
        <w:rPr>
          <w:lang w:val="es-ES"/>
        </w:rPr>
        <w:t xml:space="preserve"> </w:t>
      </w:r>
      <w:r>
        <w:rPr>
          <w:lang w:val="es-ES"/>
        </w:rPr>
        <w:t>concentración</w:t>
      </w:r>
      <w:r w:rsidR="00D136BB">
        <w:rPr>
          <w:lang w:val="es-ES"/>
        </w:rPr>
        <w:t xml:space="preserve"> </w:t>
      </w:r>
      <w:r>
        <w:rPr>
          <w:lang w:val="es-ES"/>
        </w:rPr>
        <w:t>y</w:t>
      </w:r>
      <w:r w:rsidR="00D136BB">
        <w:rPr>
          <w:lang w:val="es-ES"/>
        </w:rPr>
        <w:t xml:space="preserve"> </w:t>
      </w:r>
      <w:r>
        <w:rPr>
          <w:lang w:val="es-ES"/>
        </w:rPr>
        <w:t>2</w:t>
      </w:r>
      <w:r w:rsidR="00D136BB">
        <w:rPr>
          <w:lang w:val="es-ES"/>
        </w:rPr>
        <w:t xml:space="preserve"> </w:t>
      </w:r>
      <w:r>
        <w:rPr>
          <w:lang w:val="es-ES"/>
        </w:rPr>
        <w:t>GW</w:t>
      </w:r>
      <w:r w:rsidR="00D136BB">
        <w:rPr>
          <w:lang w:val="es-ES"/>
        </w:rPr>
        <w:t xml:space="preserve"> </w:t>
      </w:r>
      <w:r>
        <w:rPr>
          <w:lang w:val="es-ES"/>
        </w:rPr>
        <w:t>geotérmicos.</w:t>
      </w:r>
      <w:r w:rsidR="00D136BB">
        <w:rPr>
          <w:lang w:val="es-ES"/>
        </w:rPr>
        <w:t xml:space="preserve">    </w:t>
      </w:r>
    </w:p>
    <w:p w14:paraId="704ED8E3" w14:textId="3D9C983C" w:rsidR="00AA6E02" w:rsidRDefault="00AA6E02" w:rsidP="00AA6E02">
      <w:pPr>
        <w:pStyle w:val="BodyText"/>
        <w:rPr>
          <w:lang w:val="es-ES"/>
        </w:rPr>
      </w:pPr>
      <w:r>
        <w:rPr>
          <w:lang w:val="es-ES"/>
        </w:rPr>
        <w:t>Se</w:t>
      </w:r>
      <w:r w:rsidR="00D136BB">
        <w:rPr>
          <w:lang w:val="es-ES"/>
        </w:rPr>
        <w:t xml:space="preserve"> </w:t>
      </w:r>
      <w:r>
        <w:rPr>
          <w:lang w:val="es-ES"/>
        </w:rPr>
        <w:t>estima</w:t>
      </w:r>
      <w:r w:rsidR="00D136BB">
        <w:rPr>
          <w:lang w:val="es-ES"/>
        </w:rPr>
        <w:t xml:space="preserve"> </w:t>
      </w:r>
      <w:r>
        <w:rPr>
          <w:lang w:val="es-ES"/>
        </w:rPr>
        <w:t>que</w:t>
      </w:r>
      <w:r w:rsidR="00D136BB">
        <w:rPr>
          <w:lang w:val="es-ES"/>
        </w:rPr>
        <w:t xml:space="preserve"> </w:t>
      </w:r>
      <w:r>
        <w:rPr>
          <w:lang w:val="es-ES"/>
        </w:rPr>
        <w:t>la</w:t>
      </w:r>
      <w:r w:rsidR="00D136BB">
        <w:rPr>
          <w:lang w:val="es-ES"/>
        </w:rPr>
        <w:t xml:space="preserve"> </w:t>
      </w:r>
      <w:r>
        <w:rPr>
          <w:lang w:val="es-ES"/>
        </w:rPr>
        <w:t>demanda</w:t>
      </w:r>
      <w:r w:rsidR="00D136BB">
        <w:rPr>
          <w:lang w:val="es-ES"/>
        </w:rPr>
        <w:t xml:space="preserve"> </w:t>
      </w:r>
      <w:r>
        <w:rPr>
          <w:lang w:val="es-ES"/>
        </w:rPr>
        <w:t>de</w:t>
      </w:r>
      <w:r w:rsidR="00D136BB">
        <w:rPr>
          <w:lang w:val="es-ES"/>
        </w:rPr>
        <w:t xml:space="preserve"> </w:t>
      </w:r>
      <w:r>
        <w:rPr>
          <w:lang w:val="es-ES"/>
        </w:rPr>
        <w:t>electricidad,</w:t>
      </w:r>
      <w:r w:rsidR="00D136BB">
        <w:rPr>
          <w:lang w:val="es-ES"/>
        </w:rPr>
        <w:t xml:space="preserve"> </w:t>
      </w:r>
      <w:r>
        <w:rPr>
          <w:lang w:val="es-ES"/>
        </w:rPr>
        <w:t>en</w:t>
      </w:r>
      <w:r w:rsidR="00D136BB">
        <w:rPr>
          <w:lang w:val="es-ES"/>
        </w:rPr>
        <w:t xml:space="preserve"> </w:t>
      </w:r>
      <w:r>
        <w:rPr>
          <w:lang w:val="es-ES"/>
        </w:rPr>
        <w:t>un</w:t>
      </w:r>
      <w:r w:rsidR="00D136BB">
        <w:rPr>
          <w:lang w:val="es-ES"/>
        </w:rPr>
        <w:t xml:space="preserve"> </w:t>
      </w:r>
      <w:r>
        <w:rPr>
          <w:lang w:val="es-ES"/>
        </w:rPr>
        <w:t>escenario</w:t>
      </w:r>
      <w:r w:rsidR="00D136BB">
        <w:rPr>
          <w:lang w:val="es-ES"/>
        </w:rPr>
        <w:t xml:space="preserve"> </w:t>
      </w:r>
      <w:r>
        <w:rPr>
          <w:lang w:val="es-ES"/>
        </w:rPr>
        <w:t>donde</w:t>
      </w:r>
      <w:r w:rsidR="00D136BB">
        <w:rPr>
          <w:lang w:val="es-ES"/>
        </w:rPr>
        <w:t xml:space="preserve"> </w:t>
      </w:r>
      <w:r>
        <w:rPr>
          <w:lang w:val="es-ES"/>
        </w:rPr>
        <w:t>se</w:t>
      </w:r>
      <w:r w:rsidR="00D136BB">
        <w:rPr>
          <w:lang w:val="es-ES"/>
        </w:rPr>
        <w:t xml:space="preserve"> </w:t>
      </w:r>
      <w:r>
        <w:rPr>
          <w:lang w:val="es-ES"/>
        </w:rPr>
        <w:t>mantengan</w:t>
      </w:r>
      <w:r w:rsidR="00D136BB">
        <w:rPr>
          <w:lang w:val="es-ES"/>
        </w:rPr>
        <w:t xml:space="preserve"> </w:t>
      </w:r>
      <w:r>
        <w:rPr>
          <w:lang w:val="es-ES"/>
        </w:rPr>
        <w:t>las</w:t>
      </w:r>
      <w:r w:rsidR="00D136BB">
        <w:rPr>
          <w:lang w:val="es-ES"/>
        </w:rPr>
        <w:t xml:space="preserve"> </w:t>
      </w:r>
      <w:r>
        <w:rPr>
          <w:lang w:val="es-ES"/>
        </w:rPr>
        <w:t>políticas</w:t>
      </w:r>
      <w:r w:rsidR="00D136BB">
        <w:rPr>
          <w:lang w:val="es-ES"/>
        </w:rPr>
        <w:t xml:space="preserve"> </w:t>
      </w:r>
      <w:r>
        <w:rPr>
          <w:lang w:val="es-ES"/>
        </w:rPr>
        <w:t>actuales,</w:t>
      </w:r>
      <w:r w:rsidR="00D136BB">
        <w:rPr>
          <w:lang w:val="es-ES"/>
        </w:rPr>
        <w:t xml:space="preserve"> </w:t>
      </w:r>
      <w:r>
        <w:rPr>
          <w:lang w:val="es-ES"/>
        </w:rPr>
        <w:t>tendrá</w:t>
      </w:r>
      <w:r w:rsidR="00D136BB">
        <w:rPr>
          <w:lang w:val="es-ES"/>
        </w:rPr>
        <w:t xml:space="preserve"> </w:t>
      </w:r>
      <w:r>
        <w:rPr>
          <w:lang w:val="es-ES"/>
        </w:rPr>
        <w:t>un</w:t>
      </w:r>
      <w:r w:rsidR="00D136BB">
        <w:rPr>
          <w:lang w:val="es-ES"/>
        </w:rPr>
        <w:t xml:space="preserve"> </w:t>
      </w:r>
      <w:r>
        <w:rPr>
          <w:lang w:val="es-ES"/>
        </w:rPr>
        <w:t>crecimiento</w:t>
      </w:r>
      <w:r w:rsidR="00D136BB">
        <w:rPr>
          <w:lang w:val="es-ES"/>
        </w:rPr>
        <w:t xml:space="preserve"> </w:t>
      </w:r>
      <w:r>
        <w:rPr>
          <w:lang w:val="es-ES"/>
        </w:rPr>
        <w:t>promedio</w:t>
      </w:r>
      <w:r w:rsidR="00D136BB">
        <w:rPr>
          <w:lang w:val="es-ES"/>
        </w:rPr>
        <w:t xml:space="preserve"> </w:t>
      </w:r>
      <w:r>
        <w:rPr>
          <w:lang w:val="es-ES"/>
        </w:rPr>
        <w:t>de</w:t>
      </w:r>
      <w:r w:rsidR="00D136BB">
        <w:rPr>
          <w:lang w:val="es-ES"/>
        </w:rPr>
        <w:t xml:space="preserve"> </w:t>
      </w:r>
      <w:r>
        <w:rPr>
          <w:lang w:val="es-ES"/>
        </w:rPr>
        <w:t>un</w:t>
      </w:r>
      <w:r w:rsidR="00D136BB">
        <w:rPr>
          <w:lang w:val="es-ES"/>
        </w:rPr>
        <w:t xml:space="preserve"> </w:t>
      </w:r>
      <w:r>
        <w:rPr>
          <w:lang w:val="es-ES"/>
        </w:rPr>
        <w:t>2,7%</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[5]</w:t>
      </w:r>
      <w:r w:rsidR="00D136BB">
        <w:rPr>
          <w:lang w:val="es-ES"/>
        </w:rPr>
        <w:t xml:space="preserve">   </w:t>
      </w:r>
    </w:p>
    <w:p w14:paraId="1BE37973" w14:textId="386FCBBE" w:rsidR="00AA6E02" w:rsidRDefault="00AA6E02" w:rsidP="00AA6E02">
      <w:pPr>
        <w:pStyle w:val="BodyText"/>
        <w:rPr>
          <w:lang w:val="es-ES"/>
        </w:rPr>
      </w:pPr>
      <w:r>
        <w:rPr>
          <w:lang w:val="es-ES"/>
        </w:rPr>
        <w:lastRenderedPageBreak/>
        <w:t>Se</w:t>
      </w:r>
      <w:r w:rsidR="00D136BB">
        <w:rPr>
          <w:lang w:val="es-ES"/>
        </w:rPr>
        <w:t xml:space="preserve"> </w:t>
      </w:r>
      <w:r>
        <w:rPr>
          <w:lang w:val="es-ES"/>
        </w:rPr>
        <w:t>proyecta</w:t>
      </w:r>
      <w:r w:rsidR="00D136BB">
        <w:rPr>
          <w:lang w:val="es-ES"/>
        </w:rPr>
        <w:t xml:space="preserve"> </w:t>
      </w:r>
      <w:r>
        <w:rPr>
          <w:lang w:val="es-ES"/>
        </w:rPr>
        <w:t>que</w:t>
      </w:r>
      <w:r w:rsidR="00D136BB">
        <w:rPr>
          <w:lang w:val="es-ES"/>
        </w:rPr>
        <w:t xml:space="preserve"> </w:t>
      </w:r>
      <w:r>
        <w:rPr>
          <w:lang w:val="es-ES"/>
        </w:rPr>
        <w:t>la</w:t>
      </w:r>
      <w:r w:rsidR="00D136BB">
        <w:rPr>
          <w:lang w:val="es-ES"/>
        </w:rPr>
        <w:t xml:space="preserve"> </w:t>
      </w:r>
      <w:r>
        <w:rPr>
          <w:lang w:val="es-ES"/>
        </w:rPr>
        <w:t>población</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ascenderá</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año</w:t>
      </w:r>
      <w:r w:rsidR="00D136BB">
        <w:rPr>
          <w:lang w:val="es-ES"/>
        </w:rPr>
        <w:t xml:space="preserve"> </w:t>
      </w:r>
      <w:r>
        <w:rPr>
          <w:lang w:val="es-ES"/>
        </w:rPr>
        <w:t>2030</w:t>
      </w:r>
      <w:r w:rsidR="00D136BB">
        <w:rPr>
          <w:lang w:val="es-ES"/>
        </w:rPr>
        <w:t xml:space="preserve"> </w:t>
      </w:r>
      <w:r>
        <w:rPr>
          <w:lang w:val="es-ES"/>
        </w:rPr>
        <w:t>a</w:t>
      </w:r>
      <w:r w:rsidR="00D136BB">
        <w:rPr>
          <w:lang w:val="es-ES"/>
        </w:rPr>
        <w:t xml:space="preserve"> </w:t>
      </w:r>
      <w:r>
        <w:rPr>
          <w:lang w:val="es-ES"/>
        </w:rPr>
        <w:t>unos</w:t>
      </w:r>
      <w:r w:rsidR="00D136BB">
        <w:rPr>
          <w:lang w:val="es-ES"/>
        </w:rPr>
        <w:t xml:space="preserve"> </w:t>
      </w:r>
      <w:r>
        <w:rPr>
          <w:lang w:val="es-ES"/>
        </w:rPr>
        <w:t>720</w:t>
      </w:r>
      <w:r w:rsidR="00D136BB">
        <w:rPr>
          <w:lang w:val="es-ES"/>
        </w:rPr>
        <w:t xml:space="preserve"> </w:t>
      </w:r>
      <w:r>
        <w:rPr>
          <w:lang w:val="es-ES"/>
        </w:rPr>
        <w:t>millones</w:t>
      </w:r>
      <w:r w:rsidR="00D136BB">
        <w:rPr>
          <w:lang w:val="es-ES"/>
        </w:rPr>
        <w:t xml:space="preserve"> </w:t>
      </w:r>
      <w:r>
        <w:rPr>
          <w:lang w:val="es-ES"/>
        </w:rPr>
        <w:t>de</w:t>
      </w:r>
      <w:r w:rsidR="00D136BB">
        <w:rPr>
          <w:lang w:val="es-ES"/>
        </w:rPr>
        <w:t xml:space="preserve"> </w:t>
      </w:r>
      <w:r>
        <w:rPr>
          <w:lang w:val="es-ES"/>
        </w:rPr>
        <w:t>habitantes,</w:t>
      </w:r>
      <w:r w:rsidR="00D136BB">
        <w:rPr>
          <w:lang w:val="es-ES"/>
        </w:rPr>
        <w:t xml:space="preserve"> </w:t>
      </w:r>
      <w:r>
        <w:rPr>
          <w:lang w:val="es-ES"/>
        </w:rPr>
        <w:t>lo</w:t>
      </w:r>
      <w:r w:rsidR="00D136BB">
        <w:rPr>
          <w:lang w:val="es-ES"/>
        </w:rPr>
        <w:t xml:space="preserve"> </w:t>
      </w:r>
      <w:r>
        <w:rPr>
          <w:lang w:val="es-ES"/>
        </w:rPr>
        <w:t>cual</w:t>
      </w:r>
      <w:r w:rsidR="00D136BB">
        <w:rPr>
          <w:lang w:val="es-ES"/>
        </w:rPr>
        <w:t xml:space="preserve"> </w:t>
      </w:r>
      <w:r>
        <w:rPr>
          <w:lang w:val="es-ES"/>
        </w:rPr>
        <w:t>impone</w:t>
      </w:r>
      <w:r w:rsidR="00D136BB">
        <w:rPr>
          <w:lang w:val="es-ES"/>
        </w:rPr>
        <w:t xml:space="preserve"> </w:t>
      </w:r>
      <w:r>
        <w:rPr>
          <w:lang w:val="es-ES"/>
        </w:rPr>
        <w:t>un</w:t>
      </w:r>
      <w:r w:rsidR="00D136BB">
        <w:rPr>
          <w:lang w:val="es-ES"/>
        </w:rPr>
        <w:t xml:space="preserve"> </w:t>
      </w:r>
      <w:r>
        <w:rPr>
          <w:lang w:val="es-ES"/>
        </w:rPr>
        <w:t>enorme</w:t>
      </w:r>
      <w:r w:rsidR="00D136BB">
        <w:rPr>
          <w:lang w:val="es-ES"/>
        </w:rPr>
        <w:t xml:space="preserve"> </w:t>
      </w:r>
      <w:r>
        <w:rPr>
          <w:lang w:val="es-ES"/>
        </w:rPr>
        <w:t>reto</w:t>
      </w:r>
      <w:r w:rsidR="00D136BB">
        <w:rPr>
          <w:lang w:val="es-ES"/>
        </w:rPr>
        <w:t xml:space="preserve"> </w:t>
      </w:r>
      <w:r>
        <w:rPr>
          <w:lang w:val="es-ES"/>
        </w:rPr>
        <w:t>para</w:t>
      </w:r>
      <w:r w:rsidR="00D136BB">
        <w:rPr>
          <w:lang w:val="es-ES"/>
        </w:rPr>
        <w:t xml:space="preserve"> </w:t>
      </w:r>
      <w:r>
        <w:rPr>
          <w:lang w:val="es-ES"/>
        </w:rPr>
        <w:t>el</w:t>
      </w:r>
      <w:r w:rsidR="00D136BB">
        <w:rPr>
          <w:lang w:val="es-ES"/>
        </w:rPr>
        <w:t xml:space="preserve"> </w:t>
      </w:r>
      <w:r>
        <w:rPr>
          <w:lang w:val="es-ES"/>
        </w:rPr>
        <w:t>establecimiento</w:t>
      </w:r>
      <w:r w:rsidR="00D136BB">
        <w:rPr>
          <w:lang w:val="es-ES"/>
        </w:rPr>
        <w:t xml:space="preserve"> </w:t>
      </w:r>
      <w:r>
        <w:rPr>
          <w:lang w:val="es-ES"/>
        </w:rPr>
        <w:t>de</w:t>
      </w:r>
      <w:r w:rsidR="00D136BB">
        <w:rPr>
          <w:lang w:val="es-ES"/>
        </w:rPr>
        <w:t xml:space="preserve"> </w:t>
      </w:r>
      <w:r>
        <w:rPr>
          <w:lang w:val="es-ES"/>
        </w:rPr>
        <w:t>las</w:t>
      </w:r>
      <w:r w:rsidR="00D136BB">
        <w:rPr>
          <w:lang w:val="es-ES"/>
        </w:rPr>
        <w:t xml:space="preserve"> </w:t>
      </w:r>
      <w:r>
        <w:rPr>
          <w:lang w:val="es-ES"/>
        </w:rPr>
        <w:t>condiciones</w:t>
      </w:r>
      <w:r w:rsidR="00D136BB">
        <w:rPr>
          <w:lang w:val="es-ES"/>
        </w:rPr>
        <w:t xml:space="preserve"> </w:t>
      </w:r>
      <w:r>
        <w:rPr>
          <w:lang w:val="es-ES"/>
        </w:rPr>
        <w:t>necesarias</w:t>
      </w:r>
      <w:r w:rsidR="00D136BB">
        <w:rPr>
          <w:lang w:val="es-ES"/>
        </w:rPr>
        <w:t xml:space="preserve"> </w:t>
      </w:r>
      <w:r>
        <w:rPr>
          <w:lang w:val="es-ES"/>
        </w:rPr>
        <w:t>para</w:t>
      </w:r>
      <w:r w:rsidR="00D136BB">
        <w:rPr>
          <w:lang w:val="es-ES"/>
        </w:rPr>
        <w:t xml:space="preserve"> </w:t>
      </w:r>
      <w:r>
        <w:rPr>
          <w:lang w:val="es-ES"/>
        </w:rPr>
        <w:t>satisfacer</w:t>
      </w:r>
      <w:r w:rsidR="00D136BB">
        <w:rPr>
          <w:lang w:val="es-ES"/>
        </w:rPr>
        <w:t xml:space="preserve"> </w:t>
      </w:r>
      <w:r>
        <w:rPr>
          <w:lang w:val="es-ES"/>
        </w:rPr>
        <w:t>las</w:t>
      </w:r>
      <w:r w:rsidR="00D136BB">
        <w:rPr>
          <w:lang w:val="es-ES"/>
        </w:rPr>
        <w:t xml:space="preserve"> </w:t>
      </w:r>
      <w:r>
        <w:rPr>
          <w:lang w:val="es-ES"/>
        </w:rPr>
        <w:t>demandas</w:t>
      </w:r>
      <w:r w:rsidR="00D136BB">
        <w:rPr>
          <w:lang w:val="es-ES"/>
        </w:rPr>
        <w:t xml:space="preserve"> </w:t>
      </w:r>
      <w:r>
        <w:rPr>
          <w:lang w:val="es-ES"/>
        </w:rPr>
        <w:t>de</w:t>
      </w:r>
      <w:r w:rsidR="00D136BB">
        <w:rPr>
          <w:lang w:val="es-ES"/>
        </w:rPr>
        <w:t xml:space="preserve"> </w:t>
      </w:r>
      <w:r>
        <w:rPr>
          <w:lang w:val="es-ES"/>
        </w:rPr>
        <w:t>bienestar</w:t>
      </w:r>
      <w:r w:rsidR="00D136BB">
        <w:rPr>
          <w:lang w:val="es-ES"/>
        </w:rPr>
        <w:t xml:space="preserve"> </w:t>
      </w:r>
      <w:r>
        <w:rPr>
          <w:lang w:val="es-ES"/>
        </w:rPr>
        <w:t>de</w:t>
      </w:r>
      <w:r w:rsidR="00D136BB">
        <w:rPr>
          <w:lang w:val="es-ES"/>
        </w:rPr>
        <w:t xml:space="preserve"> </w:t>
      </w:r>
      <w:r>
        <w:rPr>
          <w:lang w:val="es-ES"/>
        </w:rPr>
        <w:t>semejante</w:t>
      </w:r>
      <w:r w:rsidR="00D136BB">
        <w:rPr>
          <w:lang w:val="es-ES"/>
        </w:rPr>
        <w:t xml:space="preserve"> </w:t>
      </w:r>
      <w:r>
        <w:rPr>
          <w:lang w:val="es-ES"/>
        </w:rPr>
        <w:t>volumen</w:t>
      </w:r>
      <w:r w:rsidR="00D136BB">
        <w:rPr>
          <w:lang w:val="es-ES"/>
        </w:rPr>
        <w:t xml:space="preserve"> </w:t>
      </w:r>
      <w:r>
        <w:rPr>
          <w:lang w:val="es-ES"/>
        </w:rPr>
        <w:t>poblacional.</w:t>
      </w:r>
    </w:p>
    <w:p w14:paraId="00B6E35C" w14:textId="04A30591" w:rsidR="00AA6E02" w:rsidRDefault="00AA6E02" w:rsidP="00AA6E02">
      <w:pPr>
        <w:pStyle w:val="BodyText"/>
        <w:rPr>
          <w:lang w:val="es-ES"/>
        </w:rPr>
      </w:pPr>
      <w:r>
        <w:rPr>
          <w:lang w:val="es-ES"/>
        </w:rPr>
        <w:t>La</w:t>
      </w:r>
      <w:r w:rsidR="00D136BB">
        <w:rPr>
          <w:lang w:val="es-ES"/>
        </w:rPr>
        <w:t xml:space="preserve"> </w:t>
      </w:r>
      <w:r>
        <w:rPr>
          <w:lang w:val="es-ES"/>
        </w:rPr>
        <w:t>demanda</w:t>
      </w:r>
      <w:r w:rsidR="00D136BB">
        <w:rPr>
          <w:lang w:val="es-ES"/>
        </w:rPr>
        <w:t xml:space="preserve"> </w:t>
      </w:r>
      <w:r>
        <w:rPr>
          <w:lang w:val="es-ES"/>
        </w:rPr>
        <w:t>total</w:t>
      </w:r>
      <w:r w:rsidR="00D136BB">
        <w:rPr>
          <w:lang w:val="es-ES"/>
        </w:rPr>
        <w:t xml:space="preserve"> </w:t>
      </w:r>
      <w:r>
        <w:rPr>
          <w:lang w:val="es-ES"/>
        </w:rPr>
        <w:t>de</w:t>
      </w:r>
      <w:r w:rsidR="00D136BB">
        <w:rPr>
          <w:lang w:val="es-ES"/>
        </w:rPr>
        <w:t xml:space="preserve"> </w:t>
      </w:r>
      <w:r>
        <w:rPr>
          <w:lang w:val="es-ES"/>
        </w:rPr>
        <w:t>energía</w:t>
      </w:r>
      <w:r w:rsidR="00D136BB">
        <w:rPr>
          <w:lang w:val="es-ES"/>
        </w:rPr>
        <w:t xml:space="preserve"> </w:t>
      </w:r>
      <w:r>
        <w:rPr>
          <w:lang w:val="es-ES"/>
        </w:rPr>
        <w:t>primaria</w:t>
      </w:r>
      <w:r w:rsidR="00D136BB">
        <w:rPr>
          <w:lang w:val="es-ES"/>
        </w:rPr>
        <w:t xml:space="preserve"> </w:t>
      </w:r>
      <w:r>
        <w:rPr>
          <w:lang w:val="es-ES"/>
        </w:rPr>
        <w:t>ascendería</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2030</w:t>
      </w:r>
      <w:r w:rsidR="00D136BB">
        <w:rPr>
          <w:lang w:val="es-ES"/>
        </w:rPr>
        <w:t xml:space="preserve"> </w:t>
      </w:r>
      <w:r>
        <w:rPr>
          <w:lang w:val="es-ES"/>
        </w:rPr>
        <w:t>a</w:t>
      </w:r>
      <w:r w:rsidR="00D136BB">
        <w:rPr>
          <w:lang w:val="es-ES"/>
        </w:rPr>
        <w:t xml:space="preserve"> </w:t>
      </w:r>
      <w:r>
        <w:rPr>
          <w:lang w:val="es-ES"/>
        </w:rPr>
        <w:t>1483,23</w:t>
      </w:r>
      <w:r w:rsidR="00D136BB">
        <w:rPr>
          <w:lang w:val="es-ES"/>
        </w:rPr>
        <w:t xml:space="preserve"> </w:t>
      </w:r>
      <w:r>
        <w:rPr>
          <w:lang w:val="es-ES"/>
        </w:rPr>
        <w:t>Mtoe.</w:t>
      </w:r>
      <w:r w:rsidR="00D136BB">
        <w:rPr>
          <w:lang w:val="es-ES"/>
        </w:rPr>
        <w:t xml:space="preserve"> </w:t>
      </w:r>
      <w:r>
        <w:rPr>
          <w:lang w:val="es-ES"/>
        </w:rPr>
        <w:t>En</w:t>
      </w:r>
      <w:r w:rsidR="00D136BB">
        <w:rPr>
          <w:lang w:val="es-ES"/>
        </w:rPr>
        <w:t xml:space="preserve"> </w:t>
      </w:r>
      <w:r>
        <w:rPr>
          <w:lang w:val="es-ES"/>
        </w:rPr>
        <w:t>consonancia,</w:t>
      </w:r>
      <w:r w:rsidR="00D136BB">
        <w:rPr>
          <w:lang w:val="es-ES"/>
        </w:rPr>
        <w:t xml:space="preserve"> </w:t>
      </w:r>
      <w:r>
        <w:rPr>
          <w:lang w:val="es-ES"/>
        </w:rPr>
        <w:t>la</w:t>
      </w:r>
      <w:r w:rsidR="00D136BB">
        <w:rPr>
          <w:lang w:val="es-ES"/>
        </w:rPr>
        <w:t xml:space="preserve"> </w:t>
      </w:r>
      <w:r>
        <w:rPr>
          <w:lang w:val="es-ES"/>
        </w:rPr>
        <w:t>demanda</w:t>
      </w:r>
      <w:r w:rsidR="00D136BB">
        <w:rPr>
          <w:lang w:val="es-ES"/>
        </w:rPr>
        <w:t xml:space="preserve"> </w:t>
      </w:r>
      <w:r>
        <w:rPr>
          <w:lang w:val="es-ES"/>
        </w:rPr>
        <w:t>de</w:t>
      </w:r>
      <w:r w:rsidR="00D136BB">
        <w:rPr>
          <w:lang w:val="es-ES"/>
        </w:rPr>
        <w:t xml:space="preserve"> </w:t>
      </w:r>
      <w:r>
        <w:rPr>
          <w:lang w:val="es-ES"/>
        </w:rPr>
        <w:t>electricidad</w:t>
      </w:r>
      <w:r w:rsidR="00D136BB">
        <w:rPr>
          <w:lang w:val="es-ES"/>
        </w:rPr>
        <w:t xml:space="preserve"> </w:t>
      </w:r>
      <w:r>
        <w:rPr>
          <w:lang w:val="es-ES"/>
        </w:rPr>
        <w:t>crecería</w:t>
      </w:r>
      <w:r w:rsidR="00D136BB">
        <w:rPr>
          <w:lang w:val="es-ES"/>
        </w:rPr>
        <w:t xml:space="preserve"> </w:t>
      </w:r>
      <w:r>
        <w:rPr>
          <w:lang w:val="es-ES"/>
        </w:rPr>
        <w:t>a</w:t>
      </w:r>
      <w:r w:rsidR="00D136BB">
        <w:rPr>
          <w:lang w:val="es-ES"/>
        </w:rPr>
        <w:t xml:space="preserve"> </w:t>
      </w:r>
      <w:r>
        <w:rPr>
          <w:lang w:val="es-ES"/>
        </w:rPr>
        <w:t>2621</w:t>
      </w:r>
      <w:r w:rsidR="00D136BB">
        <w:rPr>
          <w:lang w:val="es-ES"/>
        </w:rPr>
        <w:t xml:space="preserve"> </w:t>
      </w:r>
      <w:r>
        <w:rPr>
          <w:lang w:val="es-ES"/>
        </w:rPr>
        <w:t>TWh,</w:t>
      </w:r>
      <w:r w:rsidR="00D136BB">
        <w:rPr>
          <w:lang w:val="es-ES"/>
        </w:rPr>
        <w:t xml:space="preserve"> </w:t>
      </w:r>
      <w:r>
        <w:rPr>
          <w:lang w:val="es-ES"/>
        </w:rPr>
        <w:t>lo</w:t>
      </w:r>
      <w:r w:rsidR="00D136BB">
        <w:rPr>
          <w:lang w:val="es-ES"/>
        </w:rPr>
        <w:t xml:space="preserve"> </w:t>
      </w:r>
      <w:r>
        <w:rPr>
          <w:lang w:val="es-ES"/>
        </w:rPr>
        <w:t>cual</w:t>
      </w:r>
      <w:r w:rsidR="00D136BB">
        <w:rPr>
          <w:lang w:val="es-ES"/>
        </w:rPr>
        <w:t xml:space="preserve"> </w:t>
      </w:r>
      <w:r>
        <w:rPr>
          <w:lang w:val="es-ES"/>
        </w:rPr>
        <w:t>significa</w:t>
      </w:r>
      <w:r w:rsidR="00D136BB">
        <w:rPr>
          <w:lang w:val="es-ES"/>
        </w:rPr>
        <w:t xml:space="preserve"> </w:t>
      </w:r>
      <w:r>
        <w:rPr>
          <w:lang w:val="es-ES"/>
        </w:rPr>
        <w:t>duplicar</w:t>
      </w:r>
      <w:r w:rsidR="00D136BB">
        <w:rPr>
          <w:lang w:val="es-ES"/>
        </w:rPr>
        <w:t xml:space="preserve"> </w:t>
      </w:r>
      <w:r>
        <w:rPr>
          <w:lang w:val="es-ES"/>
        </w:rPr>
        <w:t>o</w:t>
      </w:r>
      <w:r w:rsidR="00D136BB">
        <w:rPr>
          <w:lang w:val="es-ES"/>
        </w:rPr>
        <w:t xml:space="preserve"> </w:t>
      </w:r>
      <w:r>
        <w:rPr>
          <w:lang w:val="es-ES"/>
        </w:rPr>
        <w:t>más</w:t>
      </w:r>
      <w:r w:rsidR="00D136BB">
        <w:rPr>
          <w:lang w:val="es-ES"/>
        </w:rPr>
        <w:t xml:space="preserve"> </w:t>
      </w:r>
      <w:r>
        <w:rPr>
          <w:lang w:val="es-ES"/>
        </w:rPr>
        <w:t>el</w:t>
      </w:r>
      <w:r w:rsidR="00D136BB">
        <w:rPr>
          <w:lang w:val="es-ES"/>
        </w:rPr>
        <w:t xml:space="preserve"> </w:t>
      </w:r>
      <w:r>
        <w:rPr>
          <w:lang w:val="es-ES"/>
        </w:rPr>
        <w:t>nivel</w:t>
      </w:r>
      <w:r w:rsidR="00D136BB">
        <w:rPr>
          <w:lang w:val="es-ES"/>
        </w:rPr>
        <w:t xml:space="preserve"> </w:t>
      </w:r>
      <w:r>
        <w:rPr>
          <w:lang w:val="es-ES"/>
        </w:rPr>
        <w:t>actual.</w:t>
      </w:r>
      <w:r w:rsidR="00D136BB">
        <w:rPr>
          <w:lang w:val="es-ES"/>
        </w:rPr>
        <w:t xml:space="preserve"> </w:t>
      </w:r>
      <w:r>
        <w:rPr>
          <w:lang w:val="es-ES"/>
        </w:rPr>
        <w:t>En</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se</w:t>
      </w:r>
      <w:r w:rsidR="00D136BB">
        <w:rPr>
          <w:lang w:val="es-ES"/>
        </w:rPr>
        <w:t xml:space="preserve"> </w:t>
      </w:r>
      <w:r>
        <w:rPr>
          <w:lang w:val="es-ES"/>
        </w:rPr>
        <w:t>refiere</w:t>
      </w:r>
      <w:r w:rsidR="00D136BB">
        <w:rPr>
          <w:lang w:val="es-ES"/>
        </w:rPr>
        <w:t xml:space="preserve"> </w:t>
      </w:r>
      <w:r>
        <w:rPr>
          <w:lang w:val="es-ES"/>
        </w:rPr>
        <w:t>a</w:t>
      </w:r>
      <w:r w:rsidR="00D136BB">
        <w:rPr>
          <w:lang w:val="es-ES"/>
        </w:rPr>
        <w:t xml:space="preserve"> </w:t>
      </w:r>
      <w:r>
        <w:rPr>
          <w:lang w:val="es-ES"/>
        </w:rPr>
        <w:t>las</w:t>
      </w:r>
      <w:r w:rsidR="00D136BB">
        <w:rPr>
          <w:lang w:val="es-ES"/>
        </w:rPr>
        <w:t xml:space="preserve"> </w:t>
      </w:r>
      <w:r>
        <w:rPr>
          <w:lang w:val="es-ES"/>
        </w:rPr>
        <w:t>emisiones</w:t>
      </w:r>
      <w:r w:rsidR="00D136BB">
        <w:rPr>
          <w:lang w:val="es-ES"/>
        </w:rPr>
        <w:t xml:space="preserve"> </w:t>
      </w:r>
      <w:r>
        <w:rPr>
          <w:lang w:val="es-ES"/>
        </w:rPr>
        <w:t>de</w:t>
      </w:r>
      <w:r w:rsidR="00D136BB">
        <w:rPr>
          <w:lang w:val="es-ES"/>
        </w:rPr>
        <w:t xml:space="preserve"> </w:t>
      </w:r>
      <w:r>
        <w:rPr>
          <w:lang w:val="es-ES"/>
        </w:rPr>
        <w:t>CO</w:t>
      </w:r>
      <w:r>
        <w:rPr>
          <w:vertAlign w:val="subscript"/>
          <w:lang w:val="es-ES"/>
        </w:rPr>
        <w:t>2</w:t>
      </w:r>
      <w:r>
        <w:rPr>
          <w:lang w:val="es-ES"/>
        </w:rPr>
        <w:t>,</w:t>
      </w:r>
      <w:r w:rsidR="00D136BB">
        <w:rPr>
          <w:lang w:val="es-ES"/>
        </w:rPr>
        <w:t xml:space="preserve"> </w:t>
      </w:r>
      <w:r>
        <w:rPr>
          <w:lang w:val="es-ES"/>
        </w:rPr>
        <w:t>los</w:t>
      </w:r>
      <w:r w:rsidR="00D136BB">
        <w:rPr>
          <w:lang w:val="es-ES"/>
        </w:rPr>
        <w:t xml:space="preserve"> </w:t>
      </w:r>
      <w:r>
        <w:rPr>
          <w:lang w:val="es-ES"/>
        </w:rPr>
        <w:t>escenarios</w:t>
      </w:r>
      <w:r w:rsidR="00D136BB">
        <w:rPr>
          <w:lang w:val="es-ES"/>
        </w:rPr>
        <w:t xml:space="preserve"> </w:t>
      </w:r>
      <w:r>
        <w:rPr>
          <w:lang w:val="es-ES"/>
        </w:rPr>
        <w:t>prevén</w:t>
      </w:r>
      <w:r w:rsidR="00D136BB">
        <w:rPr>
          <w:lang w:val="es-ES"/>
        </w:rPr>
        <w:t xml:space="preserve"> </w:t>
      </w:r>
      <w:r>
        <w:rPr>
          <w:lang w:val="es-ES"/>
        </w:rPr>
        <w:t>cifras</w:t>
      </w:r>
      <w:r w:rsidR="00D136BB">
        <w:rPr>
          <w:lang w:val="es-ES"/>
        </w:rPr>
        <w:t xml:space="preserve"> </w:t>
      </w:r>
      <w:r>
        <w:rPr>
          <w:lang w:val="es-ES"/>
        </w:rPr>
        <w:t>de</w:t>
      </w:r>
      <w:r w:rsidR="00D136BB">
        <w:rPr>
          <w:lang w:val="es-ES"/>
        </w:rPr>
        <w:t xml:space="preserve"> </w:t>
      </w:r>
      <w:r>
        <w:rPr>
          <w:lang w:val="es-ES"/>
        </w:rPr>
        <w:t>2680</w:t>
      </w:r>
      <w:r w:rsidR="00D136BB">
        <w:rPr>
          <w:lang w:val="es-ES"/>
        </w:rPr>
        <w:t xml:space="preserve"> </w:t>
      </w:r>
      <w:r>
        <w:rPr>
          <w:lang w:val="es-ES"/>
        </w:rPr>
        <w:t>MtCO</w:t>
      </w:r>
      <w:r>
        <w:rPr>
          <w:vertAlign w:val="subscript"/>
          <w:lang w:val="es-ES"/>
        </w:rPr>
        <w:t>2</w:t>
      </w:r>
      <w:r>
        <w:rPr>
          <w:lang w:val="es-ES"/>
        </w:rPr>
        <w:t>,</w:t>
      </w:r>
      <w:r w:rsidR="00D136BB">
        <w:rPr>
          <w:lang w:val="es-ES"/>
        </w:rPr>
        <w:t xml:space="preserve"> </w:t>
      </w:r>
      <w:r>
        <w:rPr>
          <w:lang w:val="es-ES"/>
        </w:rPr>
        <w:t>escenarios</w:t>
      </w:r>
      <w:r w:rsidR="00D136BB">
        <w:rPr>
          <w:lang w:val="es-ES"/>
        </w:rPr>
        <w:t xml:space="preserve"> </w:t>
      </w:r>
      <w:r>
        <w:rPr>
          <w:lang w:val="es-ES"/>
        </w:rPr>
        <w:t>tendenciales.</w:t>
      </w:r>
      <w:r w:rsidR="00D136BB">
        <w:rPr>
          <w:lang w:val="es-ES"/>
        </w:rPr>
        <w:t xml:space="preserve"> </w:t>
      </w:r>
      <w:r>
        <w:rPr>
          <w:lang w:val="es-ES"/>
        </w:rPr>
        <w:t>Los</w:t>
      </w:r>
      <w:r w:rsidR="00D136BB">
        <w:rPr>
          <w:lang w:val="es-ES"/>
        </w:rPr>
        <w:t xml:space="preserve"> </w:t>
      </w:r>
      <w:r>
        <w:rPr>
          <w:lang w:val="es-ES"/>
        </w:rPr>
        <w:t>nuevos</w:t>
      </w:r>
      <w:r w:rsidR="00D136BB">
        <w:rPr>
          <w:lang w:val="es-ES"/>
        </w:rPr>
        <w:t xml:space="preserve"> </w:t>
      </w:r>
      <w:r>
        <w:rPr>
          <w:lang w:val="es-ES"/>
        </w:rPr>
        <w:t>escenarios</w:t>
      </w:r>
      <w:r w:rsidR="00D136BB">
        <w:rPr>
          <w:lang w:val="es-ES"/>
        </w:rPr>
        <w:t xml:space="preserve"> </w:t>
      </w:r>
      <w:r>
        <w:rPr>
          <w:lang w:val="es-ES"/>
        </w:rPr>
        <w:t>de</w:t>
      </w:r>
      <w:r w:rsidR="00D136BB">
        <w:rPr>
          <w:lang w:val="es-ES"/>
        </w:rPr>
        <w:t xml:space="preserve"> </w:t>
      </w:r>
      <w:r>
        <w:rPr>
          <w:lang w:val="es-ES"/>
        </w:rPr>
        <w:t>cada</w:t>
      </w:r>
      <w:r w:rsidR="00D136BB">
        <w:rPr>
          <w:lang w:val="es-ES"/>
        </w:rPr>
        <w:t xml:space="preserve"> </w:t>
      </w:r>
      <w:r>
        <w:rPr>
          <w:lang w:val="es-ES"/>
        </w:rPr>
        <w:t>país</w:t>
      </w:r>
      <w:r w:rsidR="00D136BB">
        <w:rPr>
          <w:lang w:val="es-ES"/>
        </w:rPr>
        <w:t xml:space="preserve"> </w:t>
      </w:r>
      <w:r>
        <w:rPr>
          <w:lang w:val="es-ES"/>
        </w:rPr>
        <w:t>contemplan</w:t>
      </w:r>
      <w:r w:rsidR="00D136BB">
        <w:rPr>
          <w:lang w:val="es-ES"/>
        </w:rPr>
        <w:t xml:space="preserve"> </w:t>
      </w:r>
      <w:r>
        <w:rPr>
          <w:lang w:val="es-ES"/>
        </w:rPr>
        <w:t>la</w:t>
      </w:r>
      <w:r w:rsidR="00D136BB">
        <w:rPr>
          <w:lang w:val="es-ES"/>
        </w:rPr>
        <w:t xml:space="preserve"> </w:t>
      </w:r>
      <w:r>
        <w:rPr>
          <w:lang w:val="es-ES"/>
        </w:rPr>
        <w:t>evaluación</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mitigación</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emisión</w:t>
      </w:r>
      <w:r w:rsidR="00D136BB">
        <w:rPr>
          <w:lang w:val="es-ES"/>
        </w:rPr>
        <w:t xml:space="preserve"> </w:t>
      </w:r>
      <w:r>
        <w:rPr>
          <w:lang w:val="es-ES"/>
        </w:rPr>
        <w:t>de</w:t>
      </w:r>
      <w:r w:rsidR="00D136BB">
        <w:rPr>
          <w:lang w:val="es-ES"/>
        </w:rPr>
        <w:t xml:space="preserve"> </w:t>
      </w:r>
      <w:r>
        <w:rPr>
          <w:lang w:val="es-ES"/>
        </w:rPr>
        <w:t>gases</w:t>
      </w:r>
      <w:r w:rsidR="00D136BB">
        <w:rPr>
          <w:lang w:val="es-ES"/>
        </w:rPr>
        <w:t xml:space="preserve"> </w:t>
      </w:r>
      <w:r>
        <w:rPr>
          <w:lang w:val="es-ES"/>
        </w:rPr>
        <w:t>de</w:t>
      </w:r>
      <w:r w:rsidR="00D136BB">
        <w:rPr>
          <w:lang w:val="es-ES"/>
        </w:rPr>
        <w:t xml:space="preserve"> </w:t>
      </w:r>
      <w:r>
        <w:rPr>
          <w:lang w:val="es-ES"/>
        </w:rPr>
        <w:t>efecto</w:t>
      </w:r>
      <w:r w:rsidR="00D136BB">
        <w:rPr>
          <w:lang w:val="es-ES"/>
        </w:rPr>
        <w:t xml:space="preserve"> </w:t>
      </w:r>
      <w:r>
        <w:rPr>
          <w:lang w:val="es-ES"/>
        </w:rPr>
        <w:t>invernadero,</w:t>
      </w:r>
      <w:r w:rsidR="00D136BB">
        <w:rPr>
          <w:lang w:val="es-ES"/>
        </w:rPr>
        <w:t xml:space="preserve"> </w:t>
      </w:r>
      <w:r>
        <w:rPr>
          <w:lang w:val="es-ES"/>
        </w:rPr>
        <w:t>del</w:t>
      </w:r>
      <w:r w:rsidR="00D136BB">
        <w:rPr>
          <w:lang w:val="es-ES"/>
        </w:rPr>
        <w:t xml:space="preserve"> </w:t>
      </w:r>
      <w:r>
        <w:rPr>
          <w:lang w:val="es-ES"/>
        </w:rPr>
        <w:t>cambio</w:t>
      </w:r>
      <w:r w:rsidR="00D136BB">
        <w:rPr>
          <w:lang w:val="es-ES"/>
        </w:rPr>
        <w:t xml:space="preserve"> </w:t>
      </w:r>
      <w:r>
        <w:rPr>
          <w:lang w:val="es-ES"/>
        </w:rPr>
        <w:t>climático</w:t>
      </w:r>
      <w:r w:rsidR="00D136BB">
        <w:rPr>
          <w:lang w:val="es-ES"/>
        </w:rPr>
        <w:t xml:space="preserve"> </w:t>
      </w:r>
      <w:r>
        <w:rPr>
          <w:lang w:val="es-ES"/>
        </w:rPr>
        <w:t>y</w:t>
      </w:r>
      <w:r w:rsidR="00D136BB">
        <w:rPr>
          <w:lang w:val="es-ES"/>
        </w:rPr>
        <w:t xml:space="preserve"> </w:t>
      </w:r>
      <w:r>
        <w:rPr>
          <w:lang w:val="es-ES"/>
        </w:rPr>
        <w:t>del</w:t>
      </w:r>
      <w:r w:rsidR="00D136BB">
        <w:rPr>
          <w:lang w:val="es-ES"/>
        </w:rPr>
        <w:t xml:space="preserve"> </w:t>
      </w:r>
      <w:r>
        <w:rPr>
          <w:lang w:val="es-ES"/>
        </w:rPr>
        <w:t>cumplimiento</w:t>
      </w:r>
      <w:r w:rsidR="00D136BB">
        <w:rPr>
          <w:lang w:val="es-ES"/>
        </w:rPr>
        <w:t xml:space="preserve"> </w:t>
      </w:r>
      <w:r>
        <w:rPr>
          <w:lang w:val="es-ES"/>
        </w:rPr>
        <w:t>de</w:t>
      </w:r>
      <w:r w:rsidR="00D136BB">
        <w:rPr>
          <w:lang w:val="es-ES"/>
        </w:rPr>
        <w:t xml:space="preserve"> </w:t>
      </w:r>
      <w:r>
        <w:rPr>
          <w:lang w:val="es-ES"/>
        </w:rPr>
        <w:t>las</w:t>
      </w:r>
      <w:r w:rsidR="00D136BB">
        <w:rPr>
          <w:lang w:val="es-ES"/>
        </w:rPr>
        <w:t xml:space="preserve"> </w:t>
      </w:r>
      <w:r>
        <w:rPr>
          <w:lang w:val="es-ES"/>
        </w:rPr>
        <w:t>metas</w:t>
      </w:r>
      <w:r w:rsidR="00D136BB">
        <w:rPr>
          <w:lang w:val="es-ES"/>
        </w:rPr>
        <w:t xml:space="preserve"> </w:t>
      </w:r>
      <w:r>
        <w:rPr>
          <w:lang w:val="es-ES"/>
        </w:rPr>
        <w:t>que</w:t>
      </w:r>
      <w:r w:rsidR="00D136BB">
        <w:rPr>
          <w:lang w:val="es-ES"/>
        </w:rPr>
        <w:t xml:space="preserve"> </w:t>
      </w:r>
      <w:r>
        <w:rPr>
          <w:lang w:val="es-ES"/>
        </w:rPr>
        <w:t>realizaron</w:t>
      </w:r>
      <w:r w:rsidR="00D136BB">
        <w:rPr>
          <w:lang w:val="es-ES"/>
        </w:rPr>
        <w:t xml:space="preserve"> </w:t>
      </w:r>
      <w:r>
        <w:rPr>
          <w:lang w:val="es-ES"/>
        </w:rPr>
        <w:t>los</w:t>
      </w:r>
      <w:r w:rsidR="00D136BB">
        <w:rPr>
          <w:lang w:val="es-ES"/>
        </w:rPr>
        <w:t xml:space="preserve"> </w:t>
      </w:r>
      <w:r>
        <w:rPr>
          <w:lang w:val="es-ES"/>
        </w:rPr>
        <w:t>países</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Acuerdo</w:t>
      </w:r>
      <w:r w:rsidR="00D136BB">
        <w:rPr>
          <w:lang w:val="es-ES"/>
        </w:rPr>
        <w:t xml:space="preserve"> </w:t>
      </w:r>
      <w:r>
        <w:rPr>
          <w:lang w:val="es-ES"/>
        </w:rPr>
        <w:t>de</w:t>
      </w:r>
      <w:r w:rsidR="00D136BB">
        <w:rPr>
          <w:lang w:val="es-ES"/>
        </w:rPr>
        <w:t xml:space="preserve"> </w:t>
      </w:r>
      <w:r>
        <w:rPr>
          <w:lang w:val="es-ES"/>
        </w:rPr>
        <w:t>Paris</w:t>
      </w:r>
      <w:r w:rsidR="00D136BB">
        <w:rPr>
          <w:lang w:val="es-ES"/>
        </w:rPr>
        <w:t xml:space="preserve"> </w:t>
      </w:r>
      <w:r>
        <w:rPr>
          <w:lang w:val="es-ES"/>
        </w:rPr>
        <w:t>y</w:t>
      </w:r>
      <w:r w:rsidR="00D136BB">
        <w:rPr>
          <w:lang w:val="es-ES"/>
        </w:rPr>
        <w:t xml:space="preserve"> </w:t>
      </w:r>
      <w:r>
        <w:rPr>
          <w:lang w:val="es-ES"/>
        </w:rPr>
        <w:t>los</w:t>
      </w:r>
      <w:r w:rsidR="00D136BB">
        <w:rPr>
          <w:lang w:val="es-ES"/>
        </w:rPr>
        <w:t xml:space="preserve"> </w:t>
      </w:r>
      <w:r>
        <w:rPr>
          <w:lang w:val="es-ES"/>
        </w:rPr>
        <w:t>ODS´s,</w:t>
      </w:r>
    </w:p>
    <w:p w14:paraId="033CE4D7" w14:textId="7AD27BDA" w:rsidR="00AA6E02" w:rsidRDefault="00AA6E02" w:rsidP="00AA6E02">
      <w:pPr>
        <w:pStyle w:val="BodyText"/>
        <w:rPr>
          <w:lang w:val="es-ES"/>
        </w:rPr>
      </w:pPr>
      <w:r>
        <w:rPr>
          <w:lang w:val="es-ES"/>
        </w:rPr>
        <w:t>El</w:t>
      </w:r>
      <w:r w:rsidR="00D136BB">
        <w:rPr>
          <w:lang w:val="es-ES"/>
        </w:rPr>
        <w:t xml:space="preserve"> </w:t>
      </w:r>
      <w:r>
        <w:rPr>
          <w:lang w:val="es-ES"/>
        </w:rPr>
        <w:t>OIEA</w:t>
      </w:r>
      <w:r w:rsidR="00D136BB">
        <w:rPr>
          <w:lang w:val="es-ES"/>
        </w:rPr>
        <w:t xml:space="preserve"> </w:t>
      </w:r>
      <w:r>
        <w:rPr>
          <w:lang w:val="es-ES"/>
        </w:rPr>
        <w:t>estima</w:t>
      </w:r>
      <w:r w:rsidR="00D136BB">
        <w:rPr>
          <w:lang w:val="es-ES"/>
        </w:rPr>
        <w:t xml:space="preserve"> </w:t>
      </w:r>
      <w:r>
        <w:rPr>
          <w:lang w:val="es-ES"/>
        </w:rPr>
        <w:t>que</w:t>
      </w:r>
      <w:r w:rsidR="00D136BB">
        <w:rPr>
          <w:lang w:val="es-ES"/>
        </w:rPr>
        <w:t xml:space="preserve"> </w:t>
      </w:r>
      <w:r>
        <w:rPr>
          <w:lang w:val="es-ES"/>
        </w:rPr>
        <w:t>la</w:t>
      </w:r>
      <w:r w:rsidR="00D136BB">
        <w:rPr>
          <w:lang w:val="es-ES"/>
        </w:rPr>
        <w:t xml:space="preserve"> </w:t>
      </w:r>
      <w:r>
        <w:rPr>
          <w:lang w:val="es-ES"/>
        </w:rPr>
        <w:t>capacidad</w:t>
      </w:r>
      <w:r w:rsidR="00D136BB">
        <w:rPr>
          <w:lang w:val="es-ES"/>
        </w:rPr>
        <w:t xml:space="preserve"> </w:t>
      </w:r>
      <w:r>
        <w:rPr>
          <w:lang w:val="es-ES"/>
        </w:rPr>
        <w:t>instalada</w:t>
      </w:r>
      <w:r w:rsidR="00D136BB">
        <w:rPr>
          <w:lang w:val="es-ES"/>
        </w:rPr>
        <w:t xml:space="preserve"> </w:t>
      </w:r>
      <w:r>
        <w:rPr>
          <w:lang w:val="es-ES"/>
        </w:rPr>
        <w:t>pasará,</w:t>
      </w:r>
      <w:r w:rsidR="00D136BB">
        <w:rPr>
          <w:lang w:val="es-ES"/>
        </w:rPr>
        <w:t xml:space="preserve"> </w:t>
      </w:r>
      <w:r>
        <w:rPr>
          <w:lang w:val="es-ES"/>
        </w:rPr>
        <w:t>de</w:t>
      </w:r>
      <w:r w:rsidR="00D136BB">
        <w:rPr>
          <w:lang w:val="es-ES"/>
        </w:rPr>
        <w:t xml:space="preserve"> </w:t>
      </w:r>
      <w:r>
        <w:rPr>
          <w:lang w:val="es-ES"/>
        </w:rPr>
        <w:t>los</w:t>
      </w:r>
      <w:r w:rsidR="00D136BB">
        <w:rPr>
          <w:lang w:val="es-ES"/>
        </w:rPr>
        <w:t xml:space="preserve"> </w:t>
      </w:r>
      <w:r>
        <w:rPr>
          <w:lang w:val="es-ES"/>
        </w:rPr>
        <w:t>344</w:t>
      </w:r>
      <w:r w:rsidR="00D136BB">
        <w:rPr>
          <w:lang w:val="es-ES"/>
        </w:rPr>
        <w:t xml:space="preserve"> </w:t>
      </w:r>
      <w:r>
        <w:rPr>
          <w:lang w:val="es-ES"/>
        </w:rPr>
        <w:t>GW</w:t>
      </w:r>
      <w:r w:rsidR="00D136BB">
        <w:rPr>
          <w:lang w:val="es-ES"/>
        </w:rPr>
        <w:t xml:space="preserve"> </w:t>
      </w:r>
      <w:r>
        <w:rPr>
          <w:lang w:val="es-ES"/>
        </w:rPr>
        <w:t>instalados</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2012,</w:t>
      </w:r>
      <w:r w:rsidR="00D136BB">
        <w:rPr>
          <w:lang w:val="es-ES"/>
        </w:rPr>
        <w:t xml:space="preserve"> </w:t>
      </w:r>
      <w:r>
        <w:rPr>
          <w:lang w:val="es-ES"/>
        </w:rPr>
        <w:t>a</w:t>
      </w:r>
      <w:r w:rsidR="00D136BB">
        <w:rPr>
          <w:lang w:val="es-ES"/>
        </w:rPr>
        <w:t xml:space="preserve"> </w:t>
      </w:r>
      <w:r>
        <w:rPr>
          <w:lang w:val="es-ES"/>
        </w:rPr>
        <w:t>los</w:t>
      </w:r>
      <w:r w:rsidR="00D136BB">
        <w:rPr>
          <w:lang w:val="es-ES"/>
        </w:rPr>
        <w:t xml:space="preserve"> </w:t>
      </w:r>
      <w:r>
        <w:rPr>
          <w:lang w:val="es-ES"/>
        </w:rPr>
        <w:t>1000</w:t>
      </w:r>
      <w:r w:rsidR="00D136BB">
        <w:rPr>
          <w:lang w:val="es-ES"/>
        </w:rPr>
        <w:t xml:space="preserve"> </w:t>
      </w:r>
      <w:r>
        <w:rPr>
          <w:lang w:val="es-ES"/>
        </w:rPr>
        <w:t>GW</w:t>
      </w:r>
      <w:r w:rsidR="00D136BB">
        <w:rPr>
          <w:lang w:val="es-ES"/>
        </w:rPr>
        <w:t xml:space="preserve"> </w:t>
      </w:r>
      <w:r>
        <w:rPr>
          <w:lang w:val="es-ES"/>
        </w:rPr>
        <w:t>en</w:t>
      </w:r>
      <w:r w:rsidR="00D136BB">
        <w:rPr>
          <w:lang w:val="es-ES"/>
        </w:rPr>
        <w:t xml:space="preserve"> </w:t>
      </w:r>
      <w:r>
        <w:rPr>
          <w:lang w:val="es-ES"/>
        </w:rPr>
        <w:t>un</w:t>
      </w:r>
      <w:r w:rsidR="00D136BB">
        <w:rPr>
          <w:lang w:val="es-ES"/>
        </w:rPr>
        <w:t xml:space="preserve"> </w:t>
      </w:r>
      <w:r>
        <w:rPr>
          <w:lang w:val="es-ES"/>
        </w:rPr>
        <w:t>escenario</w:t>
      </w:r>
      <w:r w:rsidR="00D136BB">
        <w:rPr>
          <w:lang w:val="es-ES"/>
        </w:rPr>
        <w:t xml:space="preserve"> </w:t>
      </w:r>
      <w:r>
        <w:rPr>
          <w:lang w:val="es-ES"/>
        </w:rPr>
        <w:t>de</w:t>
      </w:r>
      <w:r w:rsidR="00D136BB">
        <w:rPr>
          <w:lang w:val="es-ES"/>
        </w:rPr>
        <w:t xml:space="preserve"> </w:t>
      </w:r>
      <w:r>
        <w:rPr>
          <w:lang w:val="es-ES"/>
        </w:rPr>
        <w:t>crecimiento</w:t>
      </w:r>
      <w:r w:rsidR="00D136BB">
        <w:rPr>
          <w:lang w:val="es-ES"/>
        </w:rPr>
        <w:t xml:space="preserve"> </w:t>
      </w:r>
      <w:r>
        <w:rPr>
          <w:lang w:val="es-ES"/>
        </w:rPr>
        <w:t>bajo</w:t>
      </w:r>
      <w:r w:rsidR="00D136BB">
        <w:rPr>
          <w:lang w:val="es-ES"/>
        </w:rPr>
        <w:t xml:space="preserve"> </w:t>
      </w:r>
      <w:r>
        <w:rPr>
          <w:lang w:val="es-ES"/>
        </w:rPr>
        <w:t>y</w:t>
      </w:r>
      <w:r w:rsidR="00D136BB">
        <w:rPr>
          <w:lang w:val="es-ES"/>
        </w:rPr>
        <w:t xml:space="preserve"> </w:t>
      </w:r>
      <w:r>
        <w:rPr>
          <w:lang w:val="es-ES"/>
        </w:rPr>
        <w:t>los</w:t>
      </w:r>
      <w:r w:rsidR="00D136BB">
        <w:rPr>
          <w:lang w:val="es-ES"/>
        </w:rPr>
        <w:t xml:space="preserve"> </w:t>
      </w:r>
      <w:r>
        <w:rPr>
          <w:lang w:val="es-ES"/>
        </w:rPr>
        <w:t>1359</w:t>
      </w:r>
      <w:r w:rsidR="00D136BB">
        <w:rPr>
          <w:lang w:val="es-ES"/>
        </w:rPr>
        <w:t xml:space="preserve"> </w:t>
      </w:r>
      <w:r>
        <w:rPr>
          <w:lang w:val="es-ES"/>
        </w:rPr>
        <w:t>GW</w:t>
      </w:r>
      <w:r w:rsidR="00D136BB">
        <w:rPr>
          <w:lang w:val="es-ES"/>
        </w:rPr>
        <w:t xml:space="preserve"> </w:t>
      </w:r>
      <w:r>
        <w:rPr>
          <w:lang w:val="es-ES"/>
        </w:rPr>
        <w:t>en</w:t>
      </w:r>
      <w:r w:rsidR="00D136BB">
        <w:rPr>
          <w:lang w:val="es-ES"/>
        </w:rPr>
        <w:t xml:space="preserve"> </w:t>
      </w:r>
      <w:r>
        <w:rPr>
          <w:lang w:val="es-ES"/>
        </w:rPr>
        <w:t>uno</w:t>
      </w:r>
      <w:r w:rsidR="00D136BB">
        <w:rPr>
          <w:lang w:val="es-ES"/>
        </w:rPr>
        <w:t xml:space="preserve"> </w:t>
      </w:r>
      <w:r>
        <w:rPr>
          <w:lang w:val="es-ES"/>
        </w:rPr>
        <w:t>de</w:t>
      </w:r>
      <w:r w:rsidR="00D136BB">
        <w:rPr>
          <w:lang w:val="es-ES"/>
        </w:rPr>
        <w:t xml:space="preserve"> </w:t>
      </w:r>
      <w:r>
        <w:rPr>
          <w:lang w:val="es-ES"/>
        </w:rPr>
        <w:t>crecimiento</w:t>
      </w:r>
      <w:r w:rsidR="00D136BB">
        <w:rPr>
          <w:lang w:val="es-ES"/>
        </w:rPr>
        <w:t xml:space="preserve"> </w:t>
      </w:r>
      <w:r>
        <w:rPr>
          <w:lang w:val="es-ES"/>
        </w:rPr>
        <w:t>alto</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2030,</w:t>
      </w:r>
      <w:r w:rsidR="00D136BB">
        <w:rPr>
          <w:lang w:val="es-ES"/>
        </w:rPr>
        <w:t xml:space="preserve"> </w:t>
      </w:r>
      <w:r>
        <w:rPr>
          <w:lang w:val="es-ES"/>
        </w:rPr>
        <w:t>lo</w:t>
      </w:r>
      <w:r w:rsidR="00D136BB">
        <w:rPr>
          <w:lang w:val="es-ES"/>
        </w:rPr>
        <w:t xml:space="preserve"> </w:t>
      </w:r>
      <w:r>
        <w:rPr>
          <w:lang w:val="es-ES"/>
        </w:rPr>
        <w:t>cual</w:t>
      </w:r>
      <w:r w:rsidR="00D136BB">
        <w:rPr>
          <w:lang w:val="es-ES"/>
        </w:rPr>
        <w:t xml:space="preserve"> </w:t>
      </w:r>
      <w:r>
        <w:rPr>
          <w:lang w:val="es-ES"/>
        </w:rPr>
        <w:t>corrobora</w:t>
      </w:r>
      <w:r w:rsidR="00D136BB">
        <w:rPr>
          <w:lang w:val="es-ES"/>
        </w:rPr>
        <w:t xml:space="preserve"> </w:t>
      </w:r>
      <w:r>
        <w:rPr>
          <w:lang w:val="es-ES"/>
        </w:rPr>
        <w:t>la</w:t>
      </w:r>
      <w:r w:rsidR="00D136BB">
        <w:rPr>
          <w:lang w:val="es-ES"/>
        </w:rPr>
        <w:t xml:space="preserve"> </w:t>
      </w:r>
      <w:r>
        <w:rPr>
          <w:lang w:val="es-ES"/>
        </w:rPr>
        <w:t>necesidad</w:t>
      </w:r>
      <w:r w:rsidR="00D136BB">
        <w:rPr>
          <w:lang w:val="es-ES"/>
        </w:rPr>
        <w:t xml:space="preserve"> </w:t>
      </w:r>
      <w:r>
        <w:rPr>
          <w:lang w:val="es-ES"/>
        </w:rPr>
        <w:t>de</w:t>
      </w:r>
      <w:r w:rsidR="00D136BB">
        <w:rPr>
          <w:lang w:val="es-ES"/>
        </w:rPr>
        <w:t xml:space="preserve"> </w:t>
      </w:r>
      <w:r>
        <w:rPr>
          <w:lang w:val="es-ES"/>
        </w:rPr>
        <w:t>aumentar</w:t>
      </w:r>
      <w:r w:rsidR="00D136BB">
        <w:rPr>
          <w:lang w:val="es-ES"/>
        </w:rPr>
        <w:t xml:space="preserve"> </w:t>
      </w:r>
      <w:r>
        <w:rPr>
          <w:lang w:val="es-ES"/>
        </w:rPr>
        <w:t>la</w:t>
      </w:r>
      <w:r w:rsidR="00D136BB">
        <w:rPr>
          <w:lang w:val="es-ES"/>
        </w:rPr>
        <w:t xml:space="preserve"> </w:t>
      </w:r>
      <w:r>
        <w:rPr>
          <w:lang w:val="es-ES"/>
        </w:rPr>
        <w:t>capacidad</w:t>
      </w:r>
      <w:r w:rsidR="00D136BB">
        <w:rPr>
          <w:lang w:val="es-ES"/>
        </w:rPr>
        <w:t xml:space="preserve"> </w:t>
      </w:r>
      <w:r>
        <w:rPr>
          <w:lang w:val="es-ES"/>
        </w:rPr>
        <w:t>actual</w:t>
      </w:r>
      <w:r w:rsidR="00D136BB">
        <w:rPr>
          <w:lang w:val="es-ES"/>
        </w:rPr>
        <w:t xml:space="preserve"> </w:t>
      </w:r>
      <w:r>
        <w:rPr>
          <w:lang w:val="es-ES"/>
        </w:rPr>
        <w:t>entre</w:t>
      </w:r>
      <w:r w:rsidR="00D136BB">
        <w:rPr>
          <w:lang w:val="es-ES"/>
        </w:rPr>
        <w:t xml:space="preserve"> </w:t>
      </w:r>
      <w:r>
        <w:rPr>
          <w:lang w:val="es-ES"/>
        </w:rPr>
        <w:t>un</w:t>
      </w:r>
      <w:r w:rsidR="00D136BB">
        <w:rPr>
          <w:lang w:val="es-ES"/>
        </w:rPr>
        <w:t xml:space="preserve"> </w:t>
      </w:r>
      <w:r>
        <w:rPr>
          <w:lang w:val="es-ES"/>
        </w:rPr>
        <w:t>66%</w:t>
      </w:r>
      <w:r w:rsidR="00D136BB">
        <w:rPr>
          <w:lang w:val="es-ES"/>
        </w:rPr>
        <w:t xml:space="preserve"> </w:t>
      </w:r>
      <w:r>
        <w:rPr>
          <w:lang w:val="es-ES"/>
        </w:rPr>
        <w:t>y</w:t>
      </w:r>
      <w:r w:rsidR="00D136BB">
        <w:rPr>
          <w:lang w:val="es-ES"/>
        </w:rPr>
        <w:t xml:space="preserve"> </w:t>
      </w:r>
      <w:r>
        <w:rPr>
          <w:lang w:val="es-ES"/>
        </w:rPr>
        <w:t>un</w:t>
      </w:r>
      <w:r w:rsidR="00D136BB">
        <w:rPr>
          <w:lang w:val="es-ES"/>
        </w:rPr>
        <w:t xml:space="preserve"> </w:t>
      </w:r>
      <w:r>
        <w:rPr>
          <w:lang w:val="es-ES"/>
        </w:rPr>
        <w:t>75%</w:t>
      </w:r>
      <w:r w:rsidR="00D136BB">
        <w:rPr>
          <w:lang w:val="es-ES"/>
        </w:rPr>
        <w:t xml:space="preserve"> </w:t>
      </w:r>
      <w:r>
        <w:rPr>
          <w:lang w:val="es-ES"/>
        </w:rPr>
        <w:t>en</w:t>
      </w:r>
      <w:r w:rsidR="00D136BB">
        <w:rPr>
          <w:lang w:val="es-ES"/>
        </w:rPr>
        <w:t xml:space="preserve"> </w:t>
      </w:r>
      <w:r>
        <w:rPr>
          <w:lang w:val="es-ES"/>
        </w:rPr>
        <w:t>los</w:t>
      </w:r>
      <w:r w:rsidR="00D136BB">
        <w:rPr>
          <w:lang w:val="es-ES"/>
        </w:rPr>
        <w:t xml:space="preserve"> </w:t>
      </w:r>
      <w:r>
        <w:rPr>
          <w:lang w:val="es-ES"/>
        </w:rPr>
        <w:t>próximos</w:t>
      </w:r>
      <w:r w:rsidR="00D136BB">
        <w:rPr>
          <w:lang w:val="es-ES"/>
        </w:rPr>
        <w:t xml:space="preserve"> </w:t>
      </w:r>
      <w:r>
        <w:rPr>
          <w:lang w:val="es-ES"/>
        </w:rPr>
        <w:t>18</w:t>
      </w:r>
      <w:r w:rsidR="00D136BB">
        <w:rPr>
          <w:lang w:val="es-ES"/>
        </w:rPr>
        <w:t xml:space="preserve"> </w:t>
      </w:r>
      <w:r>
        <w:rPr>
          <w:lang w:val="es-ES"/>
        </w:rPr>
        <w:t>años</w:t>
      </w:r>
      <w:r w:rsidR="00D136BB">
        <w:rPr>
          <w:lang w:val="es-ES"/>
        </w:rPr>
        <w:t xml:space="preserve"> </w:t>
      </w:r>
      <w:bookmarkStart w:id="21" w:name="_Hlk49442674"/>
      <w:r>
        <w:rPr>
          <w:lang w:val="es-ES"/>
        </w:rPr>
        <w:t>[6].</w:t>
      </w:r>
      <w:bookmarkEnd w:id="21"/>
    </w:p>
    <w:p w14:paraId="5223CA39" w14:textId="387A0D02" w:rsidR="00AA6E02" w:rsidRDefault="00AA6E02" w:rsidP="00AA6E02">
      <w:pPr>
        <w:pStyle w:val="BodyText"/>
        <w:rPr>
          <w:lang w:val="es-ES"/>
        </w:rPr>
      </w:pPr>
      <w:r>
        <w:rPr>
          <w:lang w:val="es-ES"/>
        </w:rPr>
        <w:t>América</w:t>
      </w:r>
      <w:r w:rsidR="00D136BB">
        <w:rPr>
          <w:lang w:val="es-ES"/>
        </w:rPr>
        <w:t xml:space="preserve"> </w:t>
      </w:r>
      <w:r>
        <w:rPr>
          <w:lang w:val="es-ES"/>
        </w:rPr>
        <w:t>Latina</w:t>
      </w:r>
      <w:r w:rsidR="00D136BB">
        <w:rPr>
          <w:lang w:val="es-ES"/>
        </w:rPr>
        <w:t xml:space="preserve"> </w:t>
      </w:r>
      <w:r>
        <w:rPr>
          <w:lang w:val="es-ES"/>
        </w:rPr>
        <w:t>tiene</w:t>
      </w:r>
      <w:r w:rsidR="00D136BB">
        <w:rPr>
          <w:lang w:val="es-ES"/>
        </w:rPr>
        <w:t xml:space="preserve"> </w:t>
      </w:r>
      <w:r>
        <w:rPr>
          <w:lang w:val="es-ES"/>
        </w:rPr>
        <w:t>una</w:t>
      </w:r>
      <w:r w:rsidR="00D136BB">
        <w:rPr>
          <w:lang w:val="es-ES"/>
        </w:rPr>
        <w:t xml:space="preserve"> </w:t>
      </w:r>
      <w:r>
        <w:rPr>
          <w:lang w:val="es-ES"/>
        </w:rPr>
        <w:t>experiencia</w:t>
      </w:r>
      <w:r w:rsidR="00D136BB">
        <w:rPr>
          <w:lang w:val="es-ES"/>
        </w:rPr>
        <w:t xml:space="preserve"> </w:t>
      </w:r>
      <w:r>
        <w:rPr>
          <w:lang w:val="es-ES"/>
        </w:rPr>
        <w:t>de</w:t>
      </w:r>
      <w:r w:rsidR="00D136BB">
        <w:rPr>
          <w:lang w:val="es-ES"/>
        </w:rPr>
        <w:t xml:space="preserve"> </w:t>
      </w:r>
      <w:r>
        <w:rPr>
          <w:lang w:val="es-ES"/>
        </w:rPr>
        <w:t>más</w:t>
      </w:r>
      <w:r w:rsidR="00D136BB">
        <w:rPr>
          <w:lang w:val="es-ES"/>
        </w:rPr>
        <w:t xml:space="preserve"> </w:t>
      </w:r>
      <w:r>
        <w:rPr>
          <w:lang w:val="es-ES"/>
        </w:rPr>
        <w:t>de</w:t>
      </w:r>
      <w:r w:rsidR="00D136BB">
        <w:rPr>
          <w:lang w:val="es-ES"/>
        </w:rPr>
        <w:t xml:space="preserve"> </w:t>
      </w:r>
      <w:r>
        <w:rPr>
          <w:lang w:val="es-ES"/>
        </w:rPr>
        <w:t>45</w:t>
      </w:r>
      <w:r w:rsidR="00D136BB">
        <w:rPr>
          <w:lang w:val="es-ES"/>
        </w:rPr>
        <w:t xml:space="preserve"> </w:t>
      </w:r>
      <w:r>
        <w:rPr>
          <w:lang w:val="es-ES"/>
        </w:rPr>
        <w:t>años</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generación</w:t>
      </w:r>
      <w:r w:rsidR="00D136BB">
        <w:rPr>
          <w:lang w:val="es-ES"/>
        </w:rPr>
        <w:t xml:space="preserve"> </w:t>
      </w:r>
      <w:r>
        <w:rPr>
          <w:lang w:val="es-ES"/>
        </w:rPr>
        <w:t>nucleoeléctrica.</w:t>
      </w:r>
      <w:r w:rsidR="00D136BB">
        <w:rPr>
          <w:lang w:val="es-ES"/>
        </w:rPr>
        <w:t xml:space="preserve"> </w:t>
      </w:r>
      <w:r>
        <w:rPr>
          <w:lang w:val="es-ES"/>
        </w:rPr>
        <w:t>La</w:t>
      </w:r>
      <w:r w:rsidR="00D136BB">
        <w:rPr>
          <w:lang w:val="es-ES"/>
        </w:rPr>
        <w:t xml:space="preserve"> </w:t>
      </w:r>
      <w:r>
        <w:rPr>
          <w:lang w:val="es-ES"/>
        </w:rPr>
        <w:t>capacidad</w:t>
      </w:r>
      <w:r w:rsidR="00D136BB">
        <w:rPr>
          <w:lang w:val="es-ES"/>
        </w:rPr>
        <w:t xml:space="preserve"> </w:t>
      </w:r>
      <w:r>
        <w:rPr>
          <w:lang w:val="es-ES"/>
        </w:rPr>
        <w:t>nuclear</w:t>
      </w:r>
      <w:r w:rsidR="00D136BB">
        <w:rPr>
          <w:lang w:val="es-ES"/>
        </w:rPr>
        <w:t xml:space="preserve"> </w:t>
      </w:r>
      <w:r>
        <w:rPr>
          <w:lang w:val="es-ES"/>
        </w:rPr>
        <w:t>instalada</w:t>
      </w:r>
      <w:r w:rsidR="00D136BB">
        <w:rPr>
          <w:lang w:val="es-ES"/>
        </w:rPr>
        <w:t xml:space="preserve"> </w:t>
      </w:r>
      <w:r>
        <w:rPr>
          <w:lang w:val="es-ES"/>
        </w:rPr>
        <w:t>ascendió</w:t>
      </w:r>
      <w:r w:rsidR="00D136BB">
        <w:rPr>
          <w:lang w:val="es-ES"/>
        </w:rPr>
        <w:t xml:space="preserve"> </w:t>
      </w:r>
      <w:r>
        <w:rPr>
          <w:lang w:val="es-ES"/>
        </w:rPr>
        <w:t>a</w:t>
      </w:r>
      <w:r w:rsidR="00D136BB">
        <w:rPr>
          <w:lang w:val="es-ES"/>
        </w:rPr>
        <w:t xml:space="preserve"> </w:t>
      </w:r>
      <w:r>
        <w:rPr>
          <w:lang w:val="es-ES"/>
        </w:rPr>
        <w:t>5437</w:t>
      </w:r>
      <w:r w:rsidR="00D136BB">
        <w:rPr>
          <w:lang w:val="es-ES"/>
        </w:rPr>
        <w:t xml:space="preserve"> </w:t>
      </w:r>
      <w:r>
        <w:rPr>
          <w:lang w:val="es-ES"/>
        </w:rPr>
        <w:t>MW</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año</w:t>
      </w:r>
      <w:r w:rsidR="00D136BB">
        <w:rPr>
          <w:lang w:val="es-ES"/>
        </w:rPr>
        <w:t xml:space="preserve"> </w:t>
      </w:r>
      <w:r>
        <w:rPr>
          <w:lang w:val="es-ES"/>
        </w:rPr>
        <w:t>2018</w:t>
      </w:r>
      <w:r w:rsidR="00D136BB">
        <w:rPr>
          <w:lang w:val="es-ES"/>
        </w:rPr>
        <w:t xml:space="preserve"> </w:t>
      </w:r>
      <w:r>
        <w:rPr>
          <w:lang w:val="es-ES"/>
        </w:rPr>
        <w:t>(Argentina:</w:t>
      </w:r>
      <w:r w:rsidR="00D136BB">
        <w:rPr>
          <w:lang w:val="es-ES"/>
        </w:rPr>
        <w:t xml:space="preserve"> </w:t>
      </w:r>
      <w:r>
        <w:rPr>
          <w:lang w:val="es-ES"/>
        </w:rPr>
        <w:t>1790</w:t>
      </w:r>
      <w:r w:rsidR="00D136BB">
        <w:rPr>
          <w:lang w:val="es-ES"/>
        </w:rPr>
        <w:t xml:space="preserve"> </w:t>
      </w:r>
      <w:r>
        <w:rPr>
          <w:lang w:val="es-ES"/>
        </w:rPr>
        <w:t>MW</w:t>
      </w:r>
      <w:r w:rsidR="00D136BB">
        <w:rPr>
          <w:lang w:val="es-ES"/>
        </w:rPr>
        <w:t xml:space="preserve"> </w:t>
      </w:r>
      <w:r>
        <w:rPr>
          <w:lang w:val="es-ES"/>
        </w:rPr>
        <w:t>y</w:t>
      </w:r>
      <w:r w:rsidR="00D136BB">
        <w:rPr>
          <w:lang w:val="es-ES"/>
        </w:rPr>
        <w:t xml:space="preserve"> </w:t>
      </w:r>
      <w:r>
        <w:rPr>
          <w:lang w:val="es-ES"/>
        </w:rPr>
        <w:t>una</w:t>
      </w:r>
      <w:r w:rsidR="00D136BB">
        <w:rPr>
          <w:lang w:val="es-ES"/>
        </w:rPr>
        <w:t xml:space="preserve"> </w:t>
      </w:r>
      <w:r>
        <w:rPr>
          <w:lang w:val="es-ES"/>
        </w:rPr>
        <w:t>generación</w:t>
      </w:r>
      <w:r w:rsidR="00D136BB">
        <w:rPr>
          <w:lang w:val="es-ES"/>
        </w:rPr>
        <w:t xml:space="preserve"> </w:t>
      </w:r>
      <w:r>
        <w:rPr>
          <w:lang w:val="es-ES"/>
        </w:rPr>
        <w:t>de</w:t>
      </w:r>
      <w:r w:rsidR="00D136BB">
        <w:rPr>
          <w:lang w:val="es-MX"/>
        </w:rPr>
        <w:t xml:space="preserve"> </w:t>
      </w:r>
      <w:r>
        <w:rPr>
          <w:lang w:val="es-ES"/>
        </w:rPr>
        <w:t>6453</w:t>
      </w:r>
      <w:r w:rsidR="00D136BB">
        <w:rPr>
          <w:lang w:val="es-ES"/>
        </w:rPr>
        <w:t xml:space="preserve"> </w:t>
      </w:r>
      <w:r>
        <w:rPr>
          <w:lang w:val="es-ES"/>
        </w:rPr>
        <w:t>GWh,</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representa</w:t>
      </w:r>
      <w:r w:rsidR="00D136BB">
        <w:rPr>
          <w:lang w:val="es-ES"/>
        </w:rPr>
        <w:t xml:space="preserve"> </w:t>
      </w:r>
      <w:r>
        <w:rPr>
          <w:lang w:val="es-ES"/>
        </w:rPr>
        <w:t>el</w:t>
      </w:r>
      <w:r w:rsidR="00D136BB">
        <w:rPr>
          <w:lang w:val="es-ES"/>
        </w:rPr>
        <w:t xml:space="preserve"> </w:t>
      </w:r>
      <w:r>
        <w:rPr>
          <w:lang w:val="es-ES"/>
        </w:rPr>
        <w:t>4,68%,</w:t>
      </w:r>
      <w:r w:rsidR="00D136BB">
        <w:rPr>
          <w:lang w:val="es-ES"/>
        </w:rPr>
        <w:t xml:space="preserve"> </w:t>
      </w:r>
      <w:r>
        <w:rPr>
          <w:lang w:val="es-ES"/>
        </w:rPr>
        <w:t>Brasil:</w:t>
      </w:r>
      <w:r w:rsidR="00D136BB">
        <w:rPr>
          <w:lang w:val="es-ES"/>
        </w:rPr>
        <w:t xml:space="preserve"> </w:t>
      </w:r>
      <w:r>
        <w:rPr>
          <w:lang w:val="es-ES"/>
        </w:rPr>
        <w:t>2007</w:t>
      </w:r>
      <w:r w:rsidR="00D136BB">
        <w:rPr>
          <w:lang w:val="es-ES"/>
        </w:rPr>
        <w:t xml:space="preserve"> </w:t>
      </w:r>
      <w:r>
        <w:rPr>
          <w:lang w:val="es-ES"/>
        </w:rPr>
        <w:t>MW</w:t>
      </w:r>
      <w:r w:rsidR="00D136BB">
        <w:rPr>
          <w:lang w:val="es-ES"/>
        </w:rPr>
        <w:t xml:space="preserve"> </w:t>
      </w:r>
      <w:r>
        <w:rPr>
          <w:lang w:val="es-ES"/>
        </w:rPr>
        <w:t>y</w:t>
      </w:r>
      <w:r w:rsidR="00D136BB">
        <w:rPr>
          <w:lang w:val="es-ES"/>
        </w:rPr>
        <w:t xml:space="preserve"> </w:t>
      </w:r>
      <w:r>
        <w:rPr>
          <w:lang w:val="es-ES"/>
        </w:rPr>
        <w:t>una</w:t>
      </w:r>
      <w:r w:rsidR="00D136BB">
        <w:rPr>
          <w:lang w:val="es-ES"/>
        </w:rPr>
        <w:t xml:space="preserve"> </w:t>
      </w:r>
      <w:r>
        <w:rPr>
          <w:lang w:val="es-ES"/>
        </w:rPr>
        <w:t>generación</w:t>
      </w:r>
      <w:r w:rsidR="00D136BB">
        <w:rPr>
          <w:lang w:val="es-ES"/>
        </w:rPr>
        <w:t xml:space="preserve"> </w:t>
      </w:r>
      <w:r>
        <w:rPr>
          <w:lang w:val="es-ES"/>
        </w:rPr>
        <w:t>de</w:t>
      </w:r>
      <w:r w:rsidR="00D136BB">
        <w:rPr>
          <w:lang w:val="es-MX"/>
        </w:rPr>
        <w:t xml:space="preserve"> </w:t>
      </w:r>
      <w:r>
        <w:rPr>
          <w:lang w:val="es-ES"/>
        </w:rPr>
        <w:t>15674</w:t>
      </w:r>
      <w:r w:rsidR="00D136BB">
        <w:rPr>
          <w:lang w:val="es-ES"/>
        </w:rPr>
        <w:t xml:space="preserve"> </w:t>
      </w:r>
      <w:r>
        <w:rPr>
          <w:lang w:val="es-ES"/>
        </w:rPr>
        <w:t>GWh,</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representa</w:t>
      </w:r>
      <w:r w:rsidR="00D136BB">
        <w:rPr>
          <w:lang w:val="es-ES"/>
        </w:rPr>
        <w:t xml:space="preserve"> </w:t>
      </w:r>
      <w:r>
        <w:rPr>
          <w:lang w:val="es-ES"/>
        </w:rPr>
        <w:t>el</w:t>
      </w:r>
      <w:r w:rsidR="00D136BB">
        <w:rPr>
          <w:lang w:val="es-ES"/>
        </w:rPr>
        <w:t xml:space="preserve"> </w:t>
      </w:r>
      <w:r>
        <w:rPr>
          <w:lang w:val="es-ES"/>
        </w:rPr>
        <w:t>2,69%,</w:t>
      </w:r>
      <w:r w:rsidR="00D136BB">
        <w:rPr>
          <w:lang w:val="es-ES"/>
        </w:rPr>
        <w:t xml:space="preserve"> </w:t>
      </w:r>
      <w:r>
        <w:rPr>
          <w:lang w:val="es-ES"/>
        </w:rPr>
        <w:t>y</w:t>
      </w:r>
      <w:r w:rsidR="00D136BB">
        <w:rPr>
          <w:lang w:val="es-ES"/>
        </w:rPr>
        <w:t xml:space="preserve"> </w:t>
      </w:r>
      <w:r>
        <w:rPr>
          <w:lang w:val="es-ES"/>
        </w:rPr>
        <w:t>México:</w:t>
      </w:r>
      <w:r w:rsidR="00D136BB">
        <w:rPr>
          <w:lang w:val="es-ES"/>
        </w:rPr>
        <w:t xml:space="preserve"> </w:t>
      </w:r>
      <w:r>
        <w:rPr>
          <w:lang w:val="es-ES"/>
        </w:rPr>
        <w:t>1640</w:t>
      </w:r>
      <w:r w:rsidR="00D136BB">
        <w:rPr>
          <w:lang w:val="es-ES"/>
        </w:rPr>
        <w:t xml:space="preserve"> </w:t>
      </w:r>
      <w:r>
        <w:rPr>
          <w:lang w:val="es-ES"/>
        </w:rPr>
        <w:t>MW</w:t>
      </w:r>
      <w:r w:rsidR="00D136BB">
        <w:rPr>
          <w:lang w:val="es-ES"/>
        </w:rPr>
        <w:t xml:space="preserve"> </w:t>
      </w:r>
      <w:r>
        <w:rPr>
          <w:lang w:val="es-ES"/>
        </w:rPr>
        <w:t>y</w:t>
      </w:r>
      <w:r w:rsidR="00D136BB">
        <w:rPr>
          <w:lang w:val="es-ES"/>
        </w:rPr>
        <w:t xml:space="preserve"> </w:t>
      </w:r>
      <w:r>
        <w:rPr>
          <w:lang w:val="es-ES"/>
        </w:rPr>
        <w:t>una</w:t>
      </w:r>
      <w:r w:rsidR="00D136BB">
        <w:rPr>
          <w:lang w:val="es-ES"/>
        </w:rPr>
        <w:t xml:space="preserve"> </w:t>
      </w:r>
      <w:r>
        <w:rPr>
          <w:lang w:val="es-ES"/>
        </w:rPr>
        <w:t>generación</w:t>
      </w:r>
      <w:r w:rsidR="00D136BB">
        <w:rPr>
          <w:lang w:val="es-ES"/>
        </w:rPr>
        <w:t xml:space="preserve"> </w:t>
      </w:r>
      <w:r>
        <w:rPr>
          <w:lang w:val="es-ES"/>
        </w:rPr>
        <w:t>de</w:t>
      </w:r>
      <w:r w:rsidR="00D136BB">
        <w:rPr>
          <w:lang w:val="es-MX"/>
        </w:rPr>
        <w:t xml:space="preserve"> </w:t>
      </w:r>
      <w:r>
        <w:rPr>
          <w:lang w:val="es-ES"/>
        </w:rPr>
        <w:t>13200</w:t>
      </w:r>
      <w:r w:rsidR="00D136BB">
        <w:rPr>
          <w:lang w:val="es-ES"/>
        </w:rPr>
        <w:t xml:space="preserve"> </w:t>
      </w:r>
      <w:r>
        <w:rPr>
          <w:lang w:val="es-ES"/>
        </w:rPr>
        <w:t>GWh,</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representa</w:t>
      </w:r>
      <w:r w:rsidR="00D136BB">
        <w:rPr>
          <w:lang w:val="es-ES"/>
        </w:rPr>
        <w:t xml:space="preserve"> </w:t>
      </w:r>
      <w:r>
        <w:rPr>
          <w:lang w:val="es-ES"/>
        </w:rPr>
        <w:t>el</w:t>
      </w:r>
      <w:r w:rsidR="00D136BB">
        <w:rPr>
          <w:lang w:val="es-ES"/>
        </w:rPr>
        <w:t xml:space="preserve"> </w:t>
      </w:r>
      <w:r>
        <w:rPr>
          <w:lang w:val="es-ES"/>
        </w:rPr>
        <w:t>5,30%,</w:t>
      </w:r>
      <w:r w:rsidR="00D136BB">
        <w:rPr>
          <w:lang w:val="es-ES"/>
        </w:rPr>
        <w:t xml:space="preserve"> </w:t>
      </w:r>
      <w:r>
        <w:rPr>
          <w:lang w:val="es-ES"/>
        </w:rPr>
        <w:t>[6].</w:t>
      </w:r>
      <w:r w:rsidR="00D136BB">
        <w:rPr>
          <w:lang w:val="es-ES"/>
        </w:rPr>
        <w:t xml:space="preserve"> </w:t>
      </w:r>
      <w:r>
        <w:rPr>
          <w:lang w:val="es-ES"/>
        </w:rPr>
        <w:t>distribuidos</w:t>
      </w:r>
      <w:r w:rsidR="00D136BB">
        <w:rPr>
          <w:lang w:val="es-ES"/>
        </w:rPr>
        <w:t xml:space="preserve"> </w:t>
      </w:r>
      <w:r>
        <w:rPr>
          <w:lang w:val="es-ES"/>
        </w:rPr>
        <w:t>entre</w:t>
      </w:r>
      <w:r w:rsidR="00D136BB">
        <w:rPr>
          <w:lang w:val="es-ES"/>
        </w:rPr>
        <w:t xml:space="preserve"> </w:t>
      </w:r>
      <w:r>
        <w:rPr>
          <w:lang w:val="es-ES"/>
        </w:rPr>
        <w:t>siete</w:t>
      </w:r>
      <w:r w:rsidR="00D136BB">
        <w:rPr>
          <w:lang w:val="es-ES"/>
        </w:rPr>
        <w:t xml:space="preserve"> </w:t>
      </w:r>
      <w:r>
        <w:rPr>
          <w:lang w:val="es-ES"/>
        </w:rPr>
        <w:t>unidades</w:t>
      </w:r>
      <w:r w:rsidR="00D136BB">
        <w:rPr>
          <w:lang w:val="es-ES"/>
        </w:rPr>
        <w:t xml:space="preserve"> </w:t>
      </w:r>
      <w:r>
        <w:rPr>
          <w:lang w:val="es-ES"/>
        </w:rPr>
        <w:t>en</w:t>
      </w:r>
      <w:r w:rsidR="00D136BB">
        <w:rPr>
          <w:lang w:val="es-ES"/>
        </w:rPr>
        <w:t xml:space="preserve"> </w:t>
      </w:r>
      <w:r>
        <w:rPr>
          <w:lang w:val="es-ES"/>
        </w:rPr>
        <w:t>3</w:t>
      </w:r>
      <w:r w:rsidR="00D136BB">
        <w:rPr>
          <w:lang w:val="es-ES"/>
        </w:rPr>
        <w:t xml:space="preserve"> </w:t>
      </w:r>
      <w:r>
        <w:rPr>
          <w:lang w:val="es-ES"/>
        </w:rPr>
        <w:t>países.</w:t>
      </w:r>
      <w:r w:rsidR="00D136BB">
        <w:rPr>
          <w:lang w:val="es-ES"/>
        </w:rPr>
        <w:t xml:space="preserve"> </w:t>
      </w:r>
      <w:r>
        <w:rPr>
          <w:lang w:val="es-ES"/>
        </w:rPr>
        <w:t>La</w:t>
      </w:r>
      <w:r w:rsidR="00D136BB">
        <w:rPr>
          <w:lang w:val="es-ES"/>
        </w:rPr>
        <w:t xml:space="preserve"> </w:t>
      </w:r>
      <w:r>
        <w:rPr>
          <w:lang w:val="es-ES"/>
        </w:rPr>
        <w:t>generación</w:t>
      </w:r>
      <w:r w:rsidR="00D136BB">
        <w:rPr>
          <w:lang w:val="es-ES"/>
        </w:rPr>
        <w:t xml:space="preserve"> </w:t>
      </w:r>
      <w:r>
        <w:rPr>
          <w:lang w:val="es-ES"/>
        </w:rPr>
        <w:t>eléctrica</w:t>
      </w:r>
      <w:r w:rsidR="00D136BB">
        <w:rPr>
          <w:lang w:val="es-ES"/>
        </w:rPr>
        <w:t xml:space="preserve"> </w:t>
      </w:r>
      <w:r>
        <w:rPr>
          <w:lang w:val="es-ES"/>
        </w:rPr>
        <w:t>nuclear</w:t>
      </w:r>
      <w:r w:rsidR="00D136BB">
        <w:rPr>
          <w:lang w:val="es-ES"/>
        </w:rPr>
        <w:t xml:space="preserve"> </w:t>
      </w:r>
      <w:r>
        <w:rPr>
          <w:lang w:val="es-ES"/>
        </w:rPr>
        <w:t>en</w:t>
      </w:r>
      <w:r w:rsidR="00D136BB">
        <w:rPr>
          <w:lang w:val="es-ES"/>
        </w:rPr>
        <w:t xml:space="preserve"> </w:t>
      </w:r>
      <w:r>
        <w:rPr>
          <w:lang w:val="es-ES"/>
        </w:rPr>
        <w:t>suma</w:t>
      </w:r>
      <w:r w:rsidR="00D136BB">
        <w:rPr>
          <w:lang w:val="es-ES"/>
        </w:rPr>
        <w:t xml:space="preserve"> </w:t>
      </w:r>
      <w:r>
        <w:rPr>
          <w:lang w:val="es-ES"/>
        </w:rPr>
        <w:t>ascendió</w:t>
      </w:r>
      <w:r w:rsidR="00D136BB">
        <w:rPr>
          <w:lang w:val="es-ES"/>
        </w:rPr>
        <w:t xml:space="preserve"> </w:t>
      </w:r>
      <w:r>
        <w:rPr>
          <w:lang w:val="es-ES"/>
        </w:rPr>
        <w:t>en</w:t>
      </w:r>
      <w:r w:rsidR="00D136BB">
        <w:rPr>
          <w:lang w:val="es-ES"/>
        </w:rPr>
        <w:t xml:space="preserve"> </w:t>
      </w:r>
      <w:r>
        <w:rPr>
          <w:lang w:val="es-ES"/>
        </w:rPr>
        <w:t>estos</w:t>
      </w:r>
      <w:r w:rsidR="00D136BB">
        <w:rPr>
          <w:lang w:val="es-ES"/>
        </w:rPr>
        <w:t xml:space="preserve"> </w:t>
      </w:r>
      <w:r>
        <w:rPr>
          <w:lang w:val="es-ES"/>
        </w:rPr>
        <w:t>países</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2018</w:t>
      </w:r>
      <w:r w:rsidR="00D136BB">
        <w:rPr>
          <w:lang w:val="es-ES"/>
        </w:rPr>
        <w:t xml:space="preserve"> </w:t>
      </w:r>
      <w:r>
        <w:rPr>
          <w:lang w:val="es-ES"/>
        </w:rPr>
        <w:t>a</w:t>
      </w:r>
      <w:r w:rsidR="00D136BB">
        <w:rPr>
          <w:lang w:val="es-ES"/>
        </w:rPr>
        <w:t xml:space="preserve"> </w:t>
      </w:r>
      <w:r>
        <w:rPr>
          <w:lang w:val="es-ES"/>
        </w:rPr>
        <w:t>35327</w:t>
      </w:r>
      <w:r w:rsidR="00D136BB">
        <w:rPr>
          <w:lang w:val="es-ES"/>
        </w:rPr>
        <w:t xml:space="preserve"> </w:t>
      </w:r>
      <w:r>
        <w:rPr>
          <w:lang w:val="es-ES"/>
        </w:rPr>
        <w:t>GWh.</w:t>
      </w:r>
      <w:r w:rsidR="00D136BB">
        <w:rPr>
          <w:lang w:val="es-ES"/>
        </w:rPr>
        <w:t xml:space="preserve"> </w:t>
      </w:r>
      <w:r>
        <w:rPr>
          <w:lang w:val="es-ES"/>
        </w:rPr>
        <w:t>Están</w:t>
      </w:r>
      <w:r w:rsidR="00D136BB">
        <w:rPr>
          <w:lang w:val="es-ES"/>
        </w:rPr>
        <w:t xml:space="preserve"> </w:t>
      </w:r>
      <w:r>
        <w:rPr>
          <w:lang w:val="es-ES"/>
        </w:rPr>
        <w:t>en</w:t>
      </w:r>
      <w:r w:rsidR="00D136BB">
        <w:rPr>
          <w:lang w:val="es-ES"/>
        </w:rPr>
        <w:t xml:space="preserve"> </w:t>
      </w:r>
      <w:r>
        <w:rPr>
          <w:lang w:val="es-ES"/>
        </w:rPr>
        <w:t>construcción</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dos</w:t>
      </w:r>
      <w:r w:rsidR="00D136BB">
        <w:rPr>
          <w:lang w:val="es-ES"/>
        </w:rPr>
        <w:t xml:space="preserve"> </w:t>
      </w:r>
      <w:r>
        <w:rPr>
          <w:lang w:val="es-ES"/>
        </w:rPr>
        <w:t>nuevos</w:t>
      </w:r>
      <w:r w:rsidR="00D136BB">
        <w:rPr>
          <w:lang w:val="es-ES"/>
        </w:rPr>
        <w:t xml:space="preserve"> </w:t>
      </w:r>
      <w:r>
        <w:rPr>
          <w:lang w:val="es-ES"/>
        </w:rPr>
        <w:t>reactores</w:t>
      </w:r>
      <w:r w:rsidR="00D136BB">
        <w:rPr>
          <w:lang w:val="es-ES"/>
        </w:rPr>
        <w:t xml:space="preserve"> </w:t>
      </w:r>
      <w:r>
        <w:rPr>
          <w:lang w:val="es-ES"/>
        </w:rPr>
        <w:t>uno</w:t>
      </w:r>
      <w:r w:rsidR="00D136BB">
        <w:rPr>
          <w:lang w:val="es-ES"/>
        </w:rPr>
        <w:t xml:space="preserve"> </w:t>
      </w:r>
      <w:r>
        <w:rPr>
          <w:lang w:val="es-ES"/>
        </w:rPr>
        <w:t>en</w:t>
      </w:r>
      <w:r w:rsidR="00D136BB">
        <w:rPr>
          <w:lang w:val="es-ES"/>
        </w:rPr>
        <w:t xml:space="preserve"> </w:t>
      </w:r>
      <w:r>
        <w:rPr>
          <w:lang w:val="es-ES"/>
        </w:rPr>
        <w:t>Brasil:</w:t>
      </w:r>
      <w:r w:rsidR="00D136BB">
        <w:rPr>
          <w:lang w:val="es-ES"/>
        </w:rPr>
        <w:t xml:space="preserve"> </w:t>
      </w:r>
      <w:r>
        <w:rPr>
          <w:lang w:val="es-ES"/>
        </w:rPr>
        <w:t>1245</w:t>
      </w:r>
      <w:r w:rsidR="00D136BB">
        <w:rPr>
          <w:lang w:val="es-ES"/>
        </w:rPr>
        <w:t xml:space="preserve"> </w:t>
      </w:r>
      <w:r>
        <w:rPr>
          <w:lang w:val="es-ES"/>
        </w:rPr>
        <w:t>MW</w:t>
      </w:r>
      <w:r w:rsidR="00D136BB">
        <w:rPr>
          <w:lang w:val="es-ES"/>
        </w:rPr>
        <w:t xml:space="preserve"> </w:t>
      </w:r>
      <w:r>
        <w:rPr>
          <w:lang w:val="es-ES"/>
        </w:rPr>
        <w:t>y</w:t>
      </w:r>
      <w:r w:rsidR="00D136BB">
        <w:rPr>
          <w:lang w:val="es-ES"/>
        </w:rPr>
        <w:t xml:space="preserve"> </w:t>
      </w:r>
      <w:r>
        <w:rPr>
          <w:lang w:val="es-ES"/>
        </w:rPr>
        <w:t>otro</w:t>
      </w:r>
      <w:r w:rsidR="00D136BB">
        <w:rPr>
          <w:lang w:val="es-ES"/>
        </w:rPr>
        <w:t xml:space="preserve"> </w:t>
      </w:r>
      <w:r>
        <w:rPr>
          <w:lang w:val="es-ES"/>
        </w:rPr>
        <w:t>en</w:t>
      </w:r>
      <w:r w:rsidR="00D136BB">
        <w:rPr>
          <w:lang w:val="es-ES"/>
        </w:rPr>
        <w:t xml:space="preserve"> </w:t>
      </w:r>
      <w:r>
        <w:rPr>
          <w:lang w:val="es-ES"/>
        </w:rPr>
        <w:t>Argentina:</w:t>
      </w:r>
      <w:r w:rsidR="00D136BB">
        <w:rPr>
          <w:lang w:val="es-ES"/>
        </w:rPr>
        <w:t xml:space="preserve"> </w:t>
      </w:r>
      <w:r>
        <w:rPr>
          <w:lang w:val="es-ES"/>
        </w:rPr>
        <w:t>32</w:t>
      </w:r>
      <w:r w:rsidR="00D136BB">
        <w:rPr>
          <w:lang w:val="es-ES"/>
        </w:rPr>
        <w:t xml:space="preserve"> </w:t>
      </w:r>
      <w:r>
        <w:rPr>
          <w:lang w:val="es-ES"/>
        </w:rPr>
        <w:t>MW</w:t>
      </w:r>
      <w:r w:rsidR="00D136BB">
        <w:rPr>
          <w:lang w:val="es-ES"/>
        </w:rPr>
        <w:t xml:space="preserve"> </w:t>
      </w:r>
      <w:r>
        <w:rPr>
          <w:lang w:val="es-ES"/>
        </w:rPr>
        <w:t>que</w:t>
      </w:r>
      <w:r w:rsidR="00D136BB">
        <w:rPr>
          <w:lang w:val="es-ES"/>
        </w:rPr>
        <w:t xml:space="preserve"> </w:t>
      </w:r>
      <w:r>
        <w:rPr>
          <w:lang w:val="es-ES"/>
        </w:rPr>
        <w:t>suman</w:t>
      </w:r>
      <w:r w:rsidR="00D136BB">
        <w:rPr>
          <w:lang w:val="es-ES"/>
        </w:rPr>
        <w:t xml:space="preserve"> </w:t>
      </w:r>
      <w:r>
        <w:rPr>
          <w:lang w:val="es-ES"/>
        </w:rPr>
        <w:t>una</w:t>
      </w:r>
      <w:r w:rsidR="00D136BB">
        <w:rPr>
          <w:lang w:val="es-ES"/>
        </w:rPr>
        <w:t xml:space="preserve"> </w:t>
      </w:r>
      <w:r>
        <w:rPr>
          <w:lang w:val="es-ES"/>
        </w:rPr>
        <w:t>potencia</w:t>
      </w:r>
      <w:r w:rsidR="00D136BB">
        <w:rPr>
          <w:lang w:val="es-ES"/>
        </w:rPr>
        <w:t xml:space="preserve"> </w:t>
      </w:r>
      <w:r>
        <w:rPr>
          <w:lang w:val="es-ES"/>
        </w:rPr>
        <w:t>de</w:t>
      </w:r>
      <w:r w:rsidR="00D136BB">
        <w:rPr>
          <w:lang w:val="es-ES"/>
        </w:rPr>
        <w:t xml:space="preserve"> </w:t>
      </w:r>
      <w:r>
        <w:rPr>
          <w:lang w:val="es-ES"/>
        </w:rPr>
        <w:t>1277</w:t>
      </w:r>
      <w:r w:rsidR="00D136BB">
        <w:rPr>
          <w:lang w:val="es-ES"/>
        </w:rPr>
        <w:t xml:space="preserve"> </w:t>
      </w:r>
      <w:r>
        <w:rPr>
          <w:lang w:val="es-ES"/>
        </w:rPr>
        <w:t>MW.</w:t>
      </w:r>
      <w:r w:rsidR="00D136BB">
        <w:rPr>
          <w:lang w:val="es-ES"/>
        </w:rPr>
        <w:t xml:space="preserve"> </w:t>
      </w:r>
    </w:p>
    <w:p w14:paraId="4211C1F0" w14:textId="5DF4F799" w:rsidR="00AA6E02" w:rsidRDefault="00AA6E02" w:rsidP="00AA6E02">
      <w:pPr>
        <w:pStyle w:val="BodyText"/>
        <w:rPr>
          <w:lang w:val="es-ES"/>
        </w:rPr>
      </w:pPr>
      <w:r>
        <w:rPr>
          <w:lang w:val="es-ES"/>
        </w:rPr>
        <w:t>A</w:t>
      </w:r>
      <w:r w:rsidR="00D136BB">
        <w:rPr>
          <w:lang w:val="es-ES"/>
        </w:rPr>
        <w:t xml:space="preserve"> </w:t>
      </w:r>
      <w:r>
        <w:rPr>
          <w:lang w:val="es-ES"/>
        </w:rPr>
        <w:t>pesar</w:t>
      </w:r>
      <w:r w:rsidR="00D136BB">
        <w:rPr>
          <w:lang w:val="es-ES"/>
        </w:rPr>
        <w:t xml:space="preserve"> </w:t>
      </w:r>
      <w:r>
        <w:rPr>
          <w:lang w:val="es-ES"/>
        </w:rPr>
        <w:t>del</w:t>
      </w:r>
      <w:r w:rsidR="00D136BB">
        <w:rPr>
          <w:lang w:val="es-ES"/>
        </w:rPr>
        <w:t xml:space="preserve"> </w:t>
      </w:r>
      <w:r>
        <w:rPr>
          <w:lang w:val="es-ES"/>
        </w:rPr>
        <w:t>negativo</w:t>
      </w:r>
      <w:r w:rsidR="00D136BB">
        <w:rPr>
          <w:lang w:val="es-ES"/>
        </w:rPr>
        <w:t xml:space="preserve"> </w:t>
      </w:r>
      <w:r>
        <w:rPr>
          <w:lang w:val="es-ES"/>
        </w:rPr>
        <w:t>impacto</w:t>
      </w:r>
      <w:r w:rsidR="00D136BB">
        <w:rPr>
          <w:lang w:val="es-ES"/>
        </w:rPr>
        <w:t xml:space="preserve"> </w:t>
      </w:r>
      <w:r>
        <w:rPr>
          <w:lang w:val="es-ES"/>
        </w:rPr>
        <w:t>que</w:t>
      </w:r>
      <w:r w:rsidR="00D136BB">
        <w:rPr>
          <w:lang w:val="es-ES"/>
        </w:rPr>
        <w:t xml:space="preserve"> </w:t>
      </w:r>
      <w:r>
        <w:rPr>
          <w:lang w:val="es-ES"/>
        </w:rPr>
        <w:t>ha</w:t>
      </w:r>
      <w:r w:rsidR="00D136BB">
        <w:rPr>
          <w:lang w:val="es-ES"/>
        </w:rPr>
        <w:t xml:space="preserve"> </w:t>
      </w:r>
      <w:r>
        <w:rPr>
          <w:lang w:val="es-ES"/>
        </w:rPr>
        <w:t>tenido</w:t>
      </w:r>
      <w:r w:rsidR="00D136BB">
        <w:rPr>
          <w:lang w:val="es-ES"/>
        </w:rPr>
        <w:t xml:space="preserve"> </w:t>
      </w:r>
      <w:r>
        <w:rPr>
          <w:lang w:val="es-ES"/>
        </w:rPr>
        <w:t>el</w:t>
      </w:r>
      <w:r w:rsidR="00D136BB">
        <w:rPr>
          <w:lang w:val="es-ES"/>
        </w:rPr>
        <w:t xml:space="preserve"> </w:t>
      </w:r>
      <w:r>
        <w:rPr>
          <w:lang w:val="es-ES"/>
        </w:rPr>
        <w:t>accidente</w:t>
      </w:r>
      <w:r w:rsidR="00D136BB">
        <w:rPr>
          <w:lang w:val="es-ES"/>
        </w:rPr>
        <w:t xml:space="preserve"> </w:t>
      </w:r>
      <w:r>
        <w:rPr>
          <w:lang w:val="es-ES"/>
        </w:rPr>
        <w:t>de</w:t>
      </w:r>
      <w:r w:rsidR="00D136BB">
        <w:rPr>
          <w:lang w:val="es-ES"/>
        </w:rPr>
        <w:t xml:space="preserve"> </w:t>
      </w:r>
      <w:r>
        <w:rPr>
          <w:lang w:val="es-ES"/>
        </w:rPr>
        <w:t>Fukushima</w:t>
      </w:r>
      <w:r w:rsidR="00D136BB">
        <w:rPr>
          <w:lang w:val="es-ES"/>
        </w:rPr>
        <w:t xml:space="preserve"> </w:t>
      </w:r>
      <w:r>
        <w:rPr>
          <w:lang w:val="es-ES"/>
        </w:rPr>
        <w:t>en</w:t>
      </w:r>
      <w:r w:rsidR="00D136BB">
        <w:rPr>
          <w:lang w:val="es-ES"/>
        </w:rPr>
        <w:t xml:space="preserve"> </w:t>
      </w:r>
      <w:r>
        <w:rPr>
          <w:lang w:val="es-ES"/>
        </w:rPr>
        <w:t>las</w:t>
      </w:r>
      <w:r w:rsidR="00D136BB">
        <w:rPr>
          <w:lang w:val="es-ES"/>
        </w:rPr>
        <w:t xml:space="preserve"> </w:t>
      </w:r>
      <w:r>
        <w:rPr>
          <w:lang w:val="es-ES"/>
        </w:rPr>
        <w:t>inversiones</w:t>
      </w:r>
      <w:r w:rsidR="00D136BB">
        <w:rPr>
          <w:lang w:val="es-ES"/>
        </w:rPr>
        <w:t xml:space="preserve"> </w:t>
      </w:r>
      <w:r>
        <w:rPr>
          <w:lang w:val="es-ES"/>
        </w:rPr>
        <w:t>nucleares,</w:t>
      </w:r>
      <w:r w:rsidR="00D136BB">
        <w:rPr>
          <w:lang w:val="es-ES"/>
        </w:rPr>
        <w:t xml:space="preserve"> </w:t>
      </w:r>
      <w:r>
        <w:rPr>
          <w:lang w:val="es-ES"/>
        </w:rPr>
        <w:t>se</w:t>
      </w:r>
      <w:r w:rsidR="00D136BB">
        <w:rPr>
          <w:lang w:val="es-ES"/>
        </w:rPr>
        <w:t xml:space="preserve"> </w:t>
      </w:r>
      <w:r>
        <w:rPr>
          <w:lang w:val="es-ES"/>
        </w:rPr>
        <w:t>continuaron</w:t>
      </w:r>
      <w:r w:rsidR="00D136BB">
        <w:rPr>
          <w:lang w:val="es-ES"/>
        </w:rPr>
        <w:t xml:space="preserve"> </w:t>
      </w:r>
      <w:r>
        <w:rPr>
          <w:lang w:val="es-ES"/>
        </w:rPr>
        <w:t>los</w:t>
      </w:r>
      <w:r w:rsidR="00D136BB">
        <w:rPr>
          <w:lang w:val="es-ES"/>
        </w:rPr>
        <w:t xml:space="preserve"> </w:t>
      </w:r>
      <w:r>
        <w:rPr>
          <w:lang w:val="es-ES"/>
        </w:rPr>
        <w:t>planes</w:t>
      </w:r>
      <w:r w:rsidR="00D136BB">
        <w:rPr>
          <w:lang w:val="es-ES"/>
        </w:rPr>
        <w:t xml:space="preserve"> </w:t>
      </w:r>
      <w:r>
        <w:rPr>
          <w:lang w:val="es-ES"/>
        </w:rPr>
        <w:t>de</w:t>
      </w:r>
      <w:r w:rsidR="00D136BB">
        <w:rPr>
          <w:lang w:val="es-ES"/>
        </w:rPr>
        <w:t xml:space="preserve"> </w:t>
      </w:r>
      <w:r>
        <w:rPr>
          <w:lang w:val="es-ES"/>
        </w:rPr>
        <w:t>desarrollo</w:t>
      </w:r>
      <w:r w:rsidR="00D136BB">
        <w:rPr>
          <w:lang w:val="es-ES"/>
        </w:rPr>
        <w:t xml:space="preserve"> </w:t>
      </w:r>
      <w:r>
        <w:rPr>
          <w:lang w:val="es-ES"/>
        </w:rPr>
        <w:t>de</w:t>
      </w:r>
      <w:r w:rsidR="00D136BB">
        <w:rPr>
          <w:lang w:val="es-ES"/>
        </w:rPr>
        <w:t xml:space="preserve"> </w:t>
      </w:r>
      <w:r>
        <w:rPr>
          <w:lang w:val="es-ES"/>
        </w:rPr>
        <w:t>nuevos</w:t>
      </w:r>
      <w:r w:rsidR="00D136BB">
        <w:rPr>
          <w:lang w:val="es-ES"/>
        </w:rPr>
        <w:t xml:space="preserve"> </w:t>
      </w:r>
      <w:r>
        <w:rPr>
          <w:lang w:val="es-ES"/>
        </w:rPr>
        <w:t>proyectos</w:t>
      </w:r>
      <w:r w:rsidR="00D136BB">
        <w:rPr>
          <w:lang w:val="es-ES"/>
        </w:rPr>
        <w:t xml:space="preserve"> </w:t>
      </w:r>
      <w:r>
        <w:rPr>
          <w:lang w:val="es-ES"/>
        </w:rPr>
        <w:t>de</w:t>
      </w:r>
      <w:r w:rsidR="00D136BB">
        <w:rPr>
          <w:lang w:val="es-ES"/>
        </w:rPr>
        <w:t xml:space="preserve"> </w:t>
      </w:r>
      <w:r>
        <w:rPr>
          <w:lang w:val="es-ES"/>
        </w:rPr>
        <w:t>plantas</w:t>
      </w:r>
      <w:r w:rsidR="00D136BB">
        <w:rPr>
          <w:lang w:val="es-ES"/>
        </w:rPr>
        <w:t xml:space="preserve"> </w:t>
      </w:r>
      <w:r>
        <w:rPr>
          <w:lang w:val="es-ES"/>
        </w:rPr>
        <w:t>nucleares</w:t>
      </w:r>
      <w:r w:rsidR="00D136BB">
        <w:rPr>
          <w:lang w:val="es-ES"/>
        </w:rPr>
        <w:t xml:space="preserve"> </w:t>
      </w:r>
      <w:r>
        <w:rPr>
          <w:lang w:val="es-ES"/>
        </w:rPr>
        <w:t>y</w:t>
      </w:r>
      <w:r w:rsidR="00D136BB">
        <w:rPr>
          <w:lang w:val="es-ES"/>
        </w:rPr>
        <w:t xml:space="preserve"> </w:t>
      </w:r>
      <w:r>
        <w:rPr>
          <w:lang w:val="es-ES"/>
        </w:rPr>
        <w:t>se</w:t>
      </w:r>
      <w:r w:rsidR="00D136BB">
        <w:rPr>
          <w:lang w:val="es-ES"/>
        </w:rPr>
        <w:t xml:space="preserve"> </w:t>
      </w:r>
      <w:r>
        <w:rPr>
          <w:lang w:val="es-ES"/>
        </w:rPr>
        <w:t>le</w:t>
      </w:r>
      <w:r w:rsidR="00D136BB">
        <w:rPr>
          <w:lang w:val="es-ES"/>
        </w:rPr>
        <w:t xml:space="preserve"> </w:t>
      </w:r>
      <w:r>
        <w:rPr>
          <w:lang w:val="es-ES"/>
        </w:rPr>
        <w:t>ha</w:t>
      </w:r>
      <w:r w:rsidR="00D136BB">
        <w:rPr>
          <w:lang w:val="es-ES"/>
        </w:rPr>
        <w:t xml:space="preserve"> </w:t>
      </w:r>
      <w:r>
        <w:rPr>
          <w:lang w:val="es-ES"/>
        </w:rPr>
        <w:t>realizado</w:t>
      </w:r>
      <w:r w:rsidR="00D136BB">
        <w:rPr>
          <w:lang w:val="es-ES"/>
        </w:rPr>
        <w:t xml:space="preserve"> </w:t>
      </w:r>
      <w:r>
        <w:rPr>
          <w:lang w:val="es-ES"/>
        </w:rPr>
        <w:t>la</w:t>
      </w:r>
      <w:r w:rsidR="00D136BB">
        <w:rPr>
          <w:lang w:val="es-ES"/>
        </w:rPr>
        <w:t xml:space="preserve"> </w:t>
      </w:r>
      <w:r>
        <w:rPr>
          <w:lang w:val="es-ES"/>
        </w:rPr>
        <w:t>extensión</w:t>
      </w:r>
      <w:r w:rsidR="00D136BB">
        <w:rPr>
          <w:lang w:val="es-ES"/>
        </w:rPr>
        <w:t xml:space="preserve"> </w:t>
      </w:r>
      <w:r>
        <w:rPr>
          <w:lang w:val="es-ES"/>
        </w:rPr>
        <w:t>de</w:t>
      </w:r>
      <w:r w:rsidR="00D136BB">
        <w:rPr>
          <w:lang w:val="es-ES"/>
        </w:rPr>
        <w:t xml:space="preserve"> </w:t>
      </w:r>
      <w:r>
        <w:rPr>
          <w:lang w:val="es-ES"/>
        </w:rPr>
        <w:t>vida</w:t>
      </w:r>
      <w:r w:rsidR="00D136BB">
        <w:rPr>
          <w:lang w:val="es-ES"/>
        </w:rPr>
        <w:t xml:space="preserve"> </w:t>
      </w:r>
      <w:r>
        <w:rPr>
          <w:lang w:val="es-ES"/>
        </w:rPr>
        <w:t>a</w:t>
      </w:r>
      <w:r w:rsidR="00D136BB">
        <w:rPr>
          <w:lang w:val="es-ES"/>
        </w:rPr>
        <w:t xml:space="preserve"> </w:t>
      </w:r>
      <w:r>
        <w:rPr>
          <w:lang w:val="es-ES"/>
        </w:rPr>
        <w:t>una</w:t>
      </w:r>
      <w:r w:rsidR="00D136BB">
        <w:rPr>
          <w:lang w:val="es-ES"/>
        </w:rPr>
        <w:t xml:space="preserve"> </w:t>
      </w:r>
      <w:r>
        <w:rPr>
          <w:lang w:val="es-ES"/>
        </w:rPr>
        <w:t>central</w:t>
      </w:r>
      <w:r w:rsidR="00D136BB">
        <w:rPr>
          <w:lang w:val="es-ES"/>
        </w:rPr>
        <w:t xml:space="preserve"> </w:t>
      </w:r>
      <w:r>
        <w:rPr>
          <w:lang w:val="es-ES"/>
        </w:rPr>
        <w:t>nuclear</w:t>
      </w:r>
      <w:r w:rsidR="00D136BB">
        <w:rPr>
          <w:lang w:val="es-ES"/>
        </w:rPr>
        <w:t xml:space="preserve"> </w:t>
      </w:r>
      <w:r>
        <w:rPr>
          <w:lang w:val="es-ES"/>
        </w:rPr>
        <w:t>tipo</w:t>
      </w:r>
      <w:r w:rsidR="00D136BB">
        <w:rPr>
          <w:lang w:val="es-ES"/>
        </w:rPr>
        <w:t xml:space="preserve"> </w:t>
      </w:r>
      <w:r>
        <w:rPr>
          <w:lang w:val="es-ES"/>
        </w:rPr>
        <w:t>CANDU</w:t>
      </w:r>
      <w:r w:rsidR="00D136BB">
        <w:rPr>
          <w:lang w:val="es-ES"/>
        </w:rPr>
        <w:t xml:space="preserve"> </w:t>
      </w:r>
      <w:r>
        <w:rPr>
          <w:lang w:val="es-ES"/>
        </w:rPr>
        <w:t>en</w:t>
      </w:r>
      <w:r w:rsidR="00D136BB">
        <w:rPr>
          <w:lang w:val="es-ES"/>
        </w:rPr>
        <w:t xml:space="preserve"> </w:t>
      </w:r>
      <w:r>
        <w:rPr>
          <w:lang w:val="es-ES"/>
        </w:rPr>
        <w:t>Argentina</w:t>
      </w:r>
      <w:r w:rsidR="00D136BB">
        <w:rPr>
          <w:lang w:val="es-ES"/>
        </w:rPr>
        <w:t xml:space="preserve"> </w:t>
      </w:r>
      <w:r>
        <w:rPr>
          <w:lang w:val="es-ES"/>
        </w:rPr>
        <w:t>por</w:t>
      </w:r>
      <w:r w:rsidR="00D136BB">
        <w:rPr>
          <w:lang w:val="es-ES"/>
        </w:rPr>
        <w:t xml:space="preserve"> </w:t>
      </w:r>
      <w:r>
        <w:rPr>
          <w:lang w:val="es-ES"/>
        </w:rPr>
        <w:t>30</w:t>
      </w:r>
      <w:r w:rsidR="00D136BB">
        <w:rPr>
          <w:lang w:val="es-ES"/>
        </w:rPr>
        <w:t xml:space="preserve"> </w:t>
      </w:r>
      <w:r>
        <w:rPr>
          <w:lang w:val="es-ES"/>
        </w:rPr>
        <w:t>años</w:t>
      </w:r>
      <w:r w:rsidR="00D136BB">
        <w:rPr>
          <w:lang w:val="es-ES"/>
        </w:rPr>
        <w:t xml:space="preserve"> </w:t>
      </w:r>
      <w:r>
        <w:rPr>
          <w:lang w:val="es-ES"/>
        </w:rPr>
        <w:t>más.</w:t>
      </w:r>
      <w:r w:rsidR="00D136BB">
        <w:rPr>
          <w:lang w:val="es-ES"/>
        </w:rPr>
        <w:t xml:space="preserve"> </w:t>
      </w:r>
      <w:r>
        <w:rPr>
          <w:lang w:val="es-ES"/>
        </w:rPr>
        <w:t>Primer</w:t>
      </w:r>
      <w:r w:rsidR="00D136BB">
        <w:rPr>
          <w:lang w:val="es-ES"/>
        </w:rPr>
        <w:t xml:space="preserve"> </w:t>
      </w:r>
      <w:r>
        <w:rPr>
          <w:lang w:val="es-ES"/>
        </w:rPr>
        <w:t>proyecto</w:t>
      </w:r>
      <w:r w:rsidR="00D136BB">
        <w:rPr>
          <w:lang w:val="es-ES"/>
        </w:rPr>
        <w:t xml:space="preserve"> </w:t>
      </w:r>
      <w:r>
        <w:rPr>
          <w:lang w:val="es-ES"/>
        </w:rPr>
        <w:t>exitoso</w:t>
      </w:r>
      <w:r w:rsidR="00D136BB">
        <w:rPr>
          <w:lang w:val="es-ES"/>
        </w:rPr>
        <w:t xml:space="preserve"> </w:t>
      </w:r>
      <w:r>
        <w:rPr>
          <w:lang w:val="es-ES"/>
        </w:rPr>
        <w:t>de</w:t>
      </w:r>
      <w:r w:rsidR="00D136BB">
        <w:rPr>
          <w:lang w:val="es-ES"/>
        </w:rPr>
        <w:t xml:space="preserve"> </w:t>
      </w:r>
      <w:r>
        <w:rPr>
          <w:lang w:val="es-ES"/>
        </w:rPr>
        <w:t>este</w:t>
      </w:r>
      <w:r w:rsidR="00D136BB">
        <w:rPr>
          <w:lang w:val="es-ES"/>
        </w:rPr>
        <w:t xml:space="preserve"> </w:t>
      </w:r>
      <w:r>
        <w:rPr>
          <w:lang w:val="es-ES"/>
        </w:rPr>
        <w:t>tipo</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Los</w:t>
      </w:r>
      <w:r w:rsidR="00D136BB">
        <w:rPr>
          <w:lang w:val="es-ES"/>
        </w:rPr>
        <w:t xml:space="preserve"> </w:t>
      </w:r>
      <w:r>
        <w:rPr>
          <w:lang w:val="es-ES"/>
        </w:rPr>
        <w:t>países</w:t>
      </w:r>
      <w:r w:rsidR="00D136BB">
        <w:rPr>
          <w:lang w:val="es-ES"/>
        </w:rPr>
        <w:t xml:space="preserve"> </w:t>
      </w:r>
      <w:r>
        <w:rPr>
          <w:lang w:val="es-ES"/>
        </w:rPr>
        <w:t>que</w:t>
      </w:r>
      <w:r w:rsidR="00D136BB">
        <w:rPr>
          <w:lang w:val="es-ES"/>
        </w:rPr>
        <w:t xml:space="preserve"> </w:t>
      </w:r>
      <w:r>
        <w:rPr>
          <w:lang w:val="es-ES"/>
        </w:rPr>
        <w:t>tienen</w:t>
      </w:r>
      <w:r w:rsidR="00D136BB">
        <w:rPr>
          <w:lang w:val="es-ES"/>
        </w:rPr>
        <w:t xml:space="preserve"> </w:t>
      </w:r>
      <w:r>
        <w:rPr>
          <w:lang w:val="es-ES"/>
        </w:rPr>
        <w:t>plantas</w:t>
      </w:r>
      <w:r w:rsidR="00D136BB">
        <w:rPr>
          <w:lang w:val="es-ES"/>
        </w:rPr>
        <w:t xml:space="preserve"> </w:t>
      </w:r>
      <w:r>
        <w:rPr>
          <w:lang w:val="es-ES"/>
        </w:rPr>
        <w:t>nucleares</w:t>
      </w:r>
      <w:r w:rsidR="00D136BB">
        <w:rPr>
          <w:lang w:val="es-ES"/>
        </w:rPr>
        <w:t xml:space="preserve"> </w:t>
      </w:r>
      <w:r>
        <w:rPr>
          <w:lang w:val="es-ES"/>
        </w:rPr>
        <w:t>en</w:t>
      </w:r>
      <w:r w:rsidR="00D136BB">
        <w:rPr>
          <w:lang w:val="es-ES"/>
        </w:rPr>
        <w:t xml:space="preserve"> </w:t>
      </w:r>
      <w:r>
        <w:rPr>
          <w:lang w:val="es-ES"/>
        </w:rPr>
        <w:t>Latinoamérica</w:t>
      </w:r>
      <w:r w:rsidR="00D136BB">
        <w:rPr>
          <w:lang w:val="es-ES"/>
        </w:rPr>
        <w:t xml:space="preserve"> </w:t>
      </w:r>
      <w:r>
        <w:rPr>
          <w:lang w:val="es-ES"/>
        </w:rPr>
        <w:t>tienen</w:t>
      </w:r>
      <w:r w:rsidR="00D136BB">
        <w:rPr>
          <w:lang w:val="es-ES"/>
        </w:rPr>
        <w:t xml:space="preserve"> </w:t>
      </w:r>
      <w:r>
        <w:rPr>
          <w:lang w:val="es-ES"/>
        </w:rPr>
        <w:t>planes</w:t>
      </w:r>
      <w:r w:rsidR="00D136BB">
        <w:rPr>
          <w:lang w:val="es-ES"/>
        </w:rPr>
        <w:t xml:space="preserve"> </w:t>
      </w:r>
      <w:r>
        <w:rPr>
          <w:lang w:val="es-ES"/>
        </w:rPr>
        <w:t>de</w:t>
      </w:r>
      <w:r w:rsidR="00D136BB">
        <w:rPr>
          <w:lang w:val="es-ES"/>
        </w:rPr>
        <w:t xml:space="preserve"> </w:t>
      </w:r>
      <w:r>
        <w:rPr>
          <w:lang w:val="es-ES"/>
        </w:rPr>
        <w:t>ampliación</w:t>
      </w:r>
      <w:r w:rsidR="00D136BB">
        <w:rPr>
          <w:lang w:val="es-ES"/>
        </w:rPr>
        <w:t xml:space="preserve"> </w:t>
      </w:r>
      <w:r>
        <w:rPr>
          <w:lang w:val="es-ES"/>
        </w:rPr>
        <w:t>de</w:t>
      </w:r>
      <w:r w:rsidR="00D136BB">
        <w:rPr>
          <w:lang w:val="es-ES"/>
        </w:rPr>
        <w:t xml:space="preserve"> </w:t>
      </w:r>
      <w:r>
        <w:rPr>
          <w:lang w:val="es-ES"/>
        </w:rPr>
        <w:t>sus</w:t>
      </w:r>
      <w:r w:rsidR="00D136BB">
        <w:rPr>
          <w:lang w:val="es-ES"/>
        </w:rPr>
        <w:t xml:space="preserve"> </w:t>
      </w:r>
      <w:r>
        <w:rPr>
          <w:lang w:val="es-ES"/>
        </w:rPr>
        <w:t>capacidades</w:t>
      </w:r>
      <w:r w:rsidR="00D136BB">
        <w:rPr>
          <w:lang w:val="es-ES"/>
        </w:rPr>
        <w:t xml:space="preserve"> </w:t>
      </w:r>
      <w:r>
        <w:rPr>
          <w:lang w:val="es-ES"/>
        </w:rPr>
        <w:t>de</w:t>
      </w:r>
      <w:r w:rsidR="00D136BB">
        <w:rPr>
          <w:lang w:val="es-ES"/>
        </w:rPr>
        <w:t xml:space="preserve"> </w:t>
      </w:r>
      <w:r>
        <w:rPr>
          <w:lang w:val="es-ES"/>
        </w:rPr>
        <w:t>generación</w:t>
      </w:r>
      <w:r w:rsidR="00D136BB">
        <w:rPr>
          <w:lang w:val="es-ES"/>
        </w:rPr>
        <w:t xml:space="preserve"> </w:t>
      </w:r>
      <w:r>
        <w:rPr>
          <w:lang w:val="es-ES"/>
        </w:rPr>
        <w:t>nuclear.</w:t>
      </w:r>
      <w:r w:rsidR="00D136BB">
        <w:rPr>
          <w:lang w:val="es-ES"/>
        </w:rPr>
        <w:t xml:space="preserve"> </w:t>
      </w:r>
    </w:p>
    <w:p w14:paraId="3E49DB85" w14:textId="156C17C3" w:rsidR="00AA6E02" w:rsidRDefault="00AA6E02" w:rsidP="00AA6E02">
      <w:pPr>
        <w:pStyle w:val="BodyText"/>
        <w:rPr>
          <w:lang w:val="es-ES"/>
        </w:rPr>
      </w:pPr>
      <w:r>
        <w:rPr>
          <w:lang w:val="es-ES"/>
        </w:rPr>
        <w:t>Algunos</w:t>
      </w:r>
      <w:r w:rsidR="00D136BB">
        <w:rPr>
          <w:lang w:val="es-ES"/>
        </w:rPr>
        <w:t xml:space="preserve"> </w:t>
      </w:r>
      <w:r>
        <w:rPr>
          <w:lang w:val="es-ES"/>
        </w:rPr>
        <w:t>países</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que</w:t>
      </w:r>
      <w:r w:rsidR="00D136BB">
        <w:rPr>
          <w:lang w:val="es-ES"/>
        </w:rPr>
        <w:t xml:space="preserve"> </w:t>
      </w:r>
      <w:r>
        <w:rPr>
          <w:lang w:val="es-ES"/>
        </w:rPr>
        <w:t>detuvieron</w:t>
      </w:r>
      <w:r w:rsidR="00D136BB">
        <w:rPr>
          <w:lang w:val="es-ES"/>
        </w:rPr>
        <w:t xml:space="preserve"> </w:t>
      </w:r>
      <w:r>
        <w:rPr>
          <w:lang w:val="es-ES"/>
        </w:rPr>
        <w:t>sus</w:t>
      </w:r>
      <w:r w:rsidR="00D136BB">
        <w:rPr>
          <w:lang w:val="es-ES"/>
        </w:rPr>
        <w:t xml:space="preserve"> </w:t>
      </w:r>
      <w:r>
        <w:rPr>
          <w:lang w:val="es-ES"/>
        </w:rPr>
        <w:t>intenciones</w:t>
      </w:r>
      <w:r w:rsidR="00D136BB">
        <w:rPr>
          <w:lang w:val="es-ES"/>
        </w:rPr>
        <w:t xml:space="preserve"> </w:t>
      </w:r>
      <w:r>
        <w:rPr>
          <w:lang w:val="es-ES"/>
        </w:rPr>
        <w:t>de</w:t>
      </w:r>
      <w:r w:rsidR="00D136BB">
        <w:rPr>
          <w:lang w:val="es-ES"/>
        </w:rPr>
        <w:t xml:space="preserve"> </w:t>
      </w:r>
      <w:r>
        <w:rPr>
          <w:lang w:val="es-ES"/>
        </w:rPr>
        <w:t>incluir</w:t>
      </w:r>
      <w:r w:rsidR="00D136BB">
        <w:rPr>
          <w:lang w:val="es-ES"/>
        </w:rPr>
        <w:t xml:space="preserve"> </w:t>
      </w:r>
      <w:r>
        <w:rPr>
          <w:lang w:val="es-ES"/>
        </w:rPr>
        <w:t>la</w:t>
      </w:r>
      <w:r w:rsidR="00D136BB">
        <w:rPr>
          <w:lang w:val="es-ES"/>
        </w:rPr>
        <w:t xml:space="preserve"> </w:t>
      </w:r>
      <w:r>
        <w:rPr>
          <w:lang w:val="es-ES"/>
        </w:rPr>
        <w:t>opción</w:t>
      </w:r>
      <w:r w:rsidR="00D136BB">
        <w:rPr>
          <w:lang w:val="es-ES"/>
        </w:rPr>
        <w:t xml:space="preserve"> </w:t>
      </w:r>
      <w:r>
        <w:rPr>
          <w:lang w:val="es-ES"/>
        </w:rPr>
        <w:t>nuclear</w:t>
      </w:r>
      <w:r w:rsidR="00D136BB">
        <w:rPr>
          <w:lang w:val="es-ES"/>
        </w:rPr>
        <w:t xml:space="preserve"> </w:t>
      </w:r>
      <w:r>
        <w:rPr>
          <w:lang w:val="es-ES"/>
        </w:rPr>
        <w:t>en</w:t>
      </w:r>
      <w:r w:rsidR="00D136BB">
        <w:rPr>
          <w:lang w:val="es-ES"/>
        </w:rPr>
        <w:t xml:space="preserve"> </w:t>
      </w:r>
      <w:r>
        <w:rPr>
          <w:lang w:val="es-ES"/>
        </w:rPr>
        <w:t>sus</w:t>
      </w:r>
      <w:r w:rsidR="00D136BB">
        <w:rPr>
          <w:lang w:val="es-ES"/>
        </w:rPr>
        <w:t xml:space="preserve"> </w:t>
      </w:r>
      <w:r>
        <w:rPr>
          <w:lang w:val="es-ES"/>
        </w:rPr>
        <w:t>matrices</w:t>
      </w:r>
      <w:r w:rsidR="00D136BB">
        <w:rPr>
          <w:lang w:val="es-ES"/>
        </w:rPr>
        <w:t xml:space="preserve"> </w:t>
      </w:r>
      <w:r>
        <w:rPr>
          <w:lang w:val="es-ES"/>
        </w:rPr>
        <w:t>energéticas,</w:t>
      </w:r>
      <w:r w:rsidR="00D136BB">
        <w:rPr>
          <w:lang w:val="es-ES"/>
        </w:rPr>
        <w:t xml:space="preserve"> </w:t>
      </w:r>
      <w:r>
        <w:rPr>
          <w:lang w:val="es-ES"/>
        </w:rPr>
        <w:t>a</w:t>
      </w:r>
      <w:r w:rsidR="00D136BB">
        <w:rPr>
          <w:lang w:val="es-ES"/>
        </w:rPr>
        <w:t xml:space="preserve"> </w:t>
      </w:r>
      <w:r>
        <w:rPr>
          <w:lang w:val="es-ES"/>
        </w:rPr>
        <w:t>raíz</w:t>
      </w:r>
      <w:r w:rsidR="00D136BB">
        <w:rPr>
          <w:lang w:val="es-ES"/>
        </w:rPr>
        <w:t xml:space="preserve"> </w:t>
      </w:r>
      <w:r>
        <w:rPr>
          <w:lang w:val="es-ES"/>
        </w:rPr>
        <w:t>del</w:t>
      </w:r>
      <w:r w:rsidR="00D136BB">
        <w:rPr>
          <w:lang w:val="es-ES"/>
        </w:rPr>
        <w:t xml:space="preserve"> </w:t>
      </w:r>
      <w:r>
        <w:rPr>
          <w:lang w:val="es-ES"/>
        </w:rPr>
        <w:t>accidente</w:t>
      </w:r>
      <w:r w:rsidR="00D136BB">
        <w:rPr>
          <w:lang w:val="es-ES"/>
        </w:rPr>
        <w:t xml:space="preserve"> </w:t>
      </w:r>
      <w:r>
        <w:rPr>
          <w:lang w:val="es-ES"/>
        </w:rPr>
        <w:t>de</w:t>
      </w:r>
      <w:r w:rsidR="00D136BB">
        <w:rPr>
          <w:lang w:val="es-ES"/>
        </w:rPr>
        <w:t xml:space="preserve"> </w:t>
      </w:r>
      <w:r>
        <w:rPr>
          <w:lang w:val="es-ES"/>
        </w:rPr>
        <w:t>Fukushima,</w:t>
      </w:r>
      <w:r w:rsidR="00D136BB">
        <w:rPr>
          <w:lang w:val="es-ES"/>
        </w:rPr>
        <w:t xml:space="preserve"> </w:t>
      </w:r>
      <w:r>
        <w:rPr>
          <w:lang w:val="es-ES"/>
        </w:rPr>
        <w:t>podrían</w:t>
      </w:r>
      <w:r w:rsidR="00D136BB">
        <w:rPr>
          <w:lang w:val="es-ES"/>
        </w:rPr>
        <w:t xml:space="preserve"> </w:t>
      </w:r>
      <w:r>
        <w:rPr>
          <w:lang w:val="es-ES"/>
        </w:rPr>
        <w:t>reiniciar</w:t>
      </w:r>
      <w:r w:rsidR="00D136BB">
        <w:rPr>
          <w:lang w:val="es-ES"/>
        </w:rPr>
        <w:t xml:space="preserve"> </w:t>
      </w:r>
      <w:r>
        <w:rPr>
          <w:lang w:val="es-ES"/>
        </w:rPr>
        <w:t>sus</w:t>
      </w:r>
      <w:r w:rsidR="00D136BB">
        <w:rPr>
          <w:lang w:val="es-ES"/>
        </w:rPr>
        <w:t xml:space="preserve"> </w:t>
      </w:r>
      <w:r>
        <w:rPr>
          <w:lang w:val="es-ES"/>
        </w:rPr>
        <w:t>análisis</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periodo</w:t>
      </w:r>
      <w:r w:rsidR="00D136BB">
        <w:rPr>
          <w:lang w:val="es-ES"/>
        </w:rPr>
        <w:t xml:space="preserve"> </w:t>
      </w:r>
      <w:r>
        <w:rPr>
          <w:lang w:val="es-ES"/>
        </w:rPr>
        <w:t>2020-2035,</w:t>
      </w:r>
      <w:r w:rsidR="00D136BB">
        <w:rPr>
          <w:lang w:val="es-ES"/>
        </w:rPr>
        <w:t xml:space="preserve"> </w:t>
      </w:r>
      <w:r>
        <w:rPr>
          <w:lang w:val="es-ES"/>
        </w:rPr>
        <w:t>pero</w:t>
      </w:r>
      <w:r w:rsidR="00D136BB">
        <w:rPr>
          <w:lang w:val="es-ES"/>
        </w:rPr>
        <w:t xml:space="preserve"> </w:t>
      </w:r>
      <w:r>
        <w:rPr>
          <w:lang w:val="es-ES"/>
        </w:rPr>
        <w:t>es</w:t>
      </w:r>
      <w:r w:rsidR="00D136BB">
        <w:rPr>
          <w:lang w:val="es-ES"/>
        </w:rPr>
        <w:t xml:space="preserve"> </w:t>
      </w:r>
      <w:r>
        <w:rPr>
          <w:lang w:val="es-ES"/>
        </w:rPr>
        <w:t>de</w:t>
      </w:r>
      <w:r w:rsidR="00D136BB">
        <w:rPr>
          <w:lang w:val="es-ES"/>
        </w:rPr>
        <w:t xml:space="preserve"> </w:t>
      </w:r>
      <w:r>
        <w:rPr>
          <w:lang w:val="es-ES"/>
        </w:rPr>
        <w:t>destacar</w:t>
      </w:r>
      <w:r w:rsidR="00D136BB">
        <w:rPr>
          <w:lang w:val="es-ES"/>
        </w:rPr>
        <w:t xml:space="preserve"> </w:t>
      </w:r>
      <w:r>
        <w:rPr>
          <w:lang w:val="es-ES"/>
        </w:rPr>
        <w:t>que</w:t>
      </w:r>
      <w:r w:rsidR="00D136BB">
        <w:rPr>
          <w:lang w:val="es-ES"/>
        </w:rPr>
        <w:t xml:space="preserve"> </w:t>
      </w:r>
      <w:r>
        <w:rPr>
          <w:lang w:val="es-ES"/>
        </w:rPr>
        <w:t>se</w:t>
      </w:r>
      <w:r w:rsidR="00D136BB">
        <w:rPr>
          <w:lang w:val="es-ES"/>
        </w:rPr>
        <w:t xml:space="preserve"> </w:t>
      </w:r>
      <w:r>
        <w:rPr>
          <w:lang w:val="es-ES"/>
        </w:rPr>
        <w:t>está</w:t>
      </w:r>
      <w:r w:rsidR="00D136BB">
        <w:rPr>
          <w:lang w:val="es-ES"/>
        </w:rPr>
        <w:t xml:space="preserve"> </w:t>
      </w:r>
      <w:r>
        <w:rPr>
          <w:lang w:val="es-ES"/>
        </w:rPr>
        <w:t>observando</w:t>
      </w:r>
      <w:r w:rsidR="00D136BB">
        <w:rPr>
          <w:lang w:val="es-ES"/>
        </w:rPr>
        <w:t xml:space="preserve"> </w:t>
      </w:r>
      <w:r>
        <w:rPr>
          <w:lang w:val="es-ES"/>
        </w:rPr>
        <w:t>al</w:t>
      </w:r>
      <w:r w:rsidR="00D136BB">
        <w:rPr>
          <w:lang w:val="es-ES"/>
        </w:rPr>
        <w:t xml:space="preserve"> </w:t>
      </w:r>
      <w:r>
        <w:rPr>
          <w:lang w:val="es-ES"/>
        </w:rPr>
        <w:t>año</w:t>
      </w:r>
      <w:r w:rsidR="00D136BB">
        <w:rPr>
          <w:lang w:val="es-ES"/>
        </w:rPr>
        <w:t xml:space="preserve"> </w:t>
      </w:r>
      <w:r>
        <w:rPr>
          <w:lang w:val="es-ES"/>
        </w:rPr>
        <w:t>2018</w:t>
      </w:r>
      <w:r w:rsidR="00D136BB">
        <w:rPr>
          <w:lang w:val="es-ES"/>
        </w:rPr>
        <w:t xml:space="preserve"> </w:t>
      </w:r>
      <w:r>
        <w:rPr>
          <w:lang w:val="es-ES"/>
        </w:rPr>
        <w:t>en</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una</w:t>
      </w:r>
      <w:r w:rsidR="00D136BB">
        <w:rPr>
          <w:lang w:val="es-ES"/>
        </w:rPr>
        <w:t xml:space="preserve"> </w:t>
      </w:r>
      <w:r>
        <w:rPr>
          <w:lang w:val="es-ES"/>
        </w:rPr>
        <w:t>masiva</w:t>
      </w:r>
      <w:r w:rsidR="00D136BB">
        <w:rPr>
          <w:lang w:val="es-ES"/>
        </w:rPr>
        <w:t xml:space="preserve"> </w:t>
      </w:r>
      <w:r>
        <w:rPr>
          <w:lang w:val="es-ES"/>
        </w:rPr>
        <w:t>incorporación</w:t>
      </w:r>
      <w:r w:rsidR="00D136BB">
        <w:rPr>
          <w:lang w:val="es-ES"/>
        </w:rPr>
        <w:t xml:space="preserve"> </w:t>
      </w:r>
      <w:r>
        <w:rPr>
          <w:lang w:val="es-ES"/>
        </w:rPr>
        <w:t>de</w:t>
      </w:r>
      <w:r w:rsidR="00D136BB">
        <w:rPr>
          <w:lang w:val="es-ES"/>
        </w:rPr>
        <w:t xml:space="preserve"> </w:t>
      </w:r>
      <w:r>
        <w:rPr>
          <w:lang w:val="es-ES"/>
        </w:rPr>
        <w:t>energía</w:t>
      </w:r>
      <w:r w:rsidR="00D136BB">
        <w:rPr>
          <w:lang w:val="es-ES"/>
        </w:rPr>
        <w:t xml:space="preserve"> </w:t>
      </w:r>
      <w:r>
        <w:rPr>
          <w:lang w:val="es-ES"/>
        </w:rPr>
        <w:t>eólica</w:t>
      </w:r>
      <w:r w:rsidR="00D136BB">
        <w:rPr>
          <w:lang w:val="es-ES"/>
        </w:rPr>
        <w:t xml:space="preserve"> </w:t>
      </w:r>
      <w:r>
        <w:rPr>
          <w:lang w:val="es-ES"/>
        </w:rPr>
        <w:t>y</w:t>
      </w:r>
      <w:r w:rsidR="00D136BB">
        <w:rPr>
          <w:lang w:val="es-ES"/>
        </w:rPr>
        <w:t xml:space="preserve"> </w:t>
      </w:r>
      <w:r>
        <w:rPr>
          <w:lang w:val="es-ES"/>
        </w:rPr>
        <w:t>solar</w:t>
      </w:r>
      <w:r w:rsidR="00D136BB">
        <w:rPr>
          <w:lang w:val="es-ES"/>
        </w:rPr>
        <w:t xml:space="preserve"> </w:t>
      </w:r>
      <w:r>
        <w:rPr>
          <w:lang w:val="es-ES"/>
        </w:rPr>
        <w:t>fotovoltaica.</w:t>
      </w:r>
      <w:r w:rsidR="00D136BB">
        <w:rPr>
          <w:lang w:val="es-ES"/>
        </w:rPr>
        <w:t xml:space="preserve"> </w:t>
      </w:r>
    </w:p>
    <w:p w14:paraId="32775429" w14:textId="701AF327" w:rsidR="00AA6E02" w:rsidRDefault="00AA6E02" w:rsidP="00AA6E02">
      <w:pPr>
        <w:pStyle w:val="BodyText"/>
        <w:rPr>
          <w:lang w:val="es-ES"/>
        </w:rPr>
      </w:pPr>
      <w:r>
        <w:rPr>
          <w:lang w:val="es-ES"/>
        </w:rPr>
        <w:t>Las</w:t>
      </w:r>
      <w:r w:rsidR="00D136BB">
        <w:rPr>
          <w:lang w:val="es-ES"/>
        </w:rPr>
        <w:t xml:space="preserve"> </w:t>
      </w:r>
      <w:r>
        <w:rPr>
          <w:lang w:val="es-ES"/>
        </w:rPr>
        <w:t>decisiones</w:t>
      </w:r>
      <w:r w:rsidR="00D136BB">
        <w:rPr>
          <w:lang w:val="es-ES"/>
        </w:rPr>
        <w:t xml:space="preserve"> </w:t>
      </w:r>
      <w:r>
        <w:rPr>
          <w:lang w:val="es-ES"/>
        </w:rPr>
        <w:t>que</w:t>
      </w:r>
      <w:r w:rsidR="00D136BB">
        <w:rPr>
          <w:lang w:val="es-ES"/>
        </w:rPr>
        <w:t xml:space="preserve"> </w:t>
      </w:r>
      <w:r>
        <w:rPr>
          <w:lang w:val="es-ES"/>
        </w:rPr>
        <w:t>se</w:t>
      </w:r>
      <w:r w:rsidR="00D136BB">
        <w:rPr>
          <w:lang w:val="es-ES"/>
        </w:rPr>
        <w:t xml:space="preserve"> </w:t>
      </w:r>
      <w:r>
        <w:rPr>
          <w:lang w:val="es-ES"/>
        </w:rPr>
        <w:t>tomen</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marco</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Convención</w:t>
      </w:r>
      <w:r w:rsidR="00D136BB">
        <w:rPr>
          <w:lang w:val="es-ES"/>
        </w:rPr>
        <w:t xml:space="preserve"> </w:t>
      </w:r>
      <w:r>
        <w:rPr>
          <w:lang w:val="es-ES"/>
        </w:rPr>
        <w:t>Marco</w:t>
      </w:r>
      <w:r w:rsidR="00D136BB">
        <w:rPr>
          <w:lang w:val="es-ES"/>
        </w:rPr>
        <w:t xml:space="preserve"> </w:t>
      </w:r>
      <w:r>
        <w:rPr>
          <w:lang w:val="es-ES"/>
        </w:rPr>
        <w:t>de</w:t>
      </w:r>
      <w:r w:rsidR="00D136BB">
        <w:rPr>
          <w:lang w:val="es-ES"/>
        </w:rPr>
        <w:t xml:space="preserve"> </w:t>
      </w:r>
      <w:r>
        <w:rPr>
          <w:lang w:val="es-ES"/>
        </w:rPr>
        <w:t>Naciones</w:t>
      </w:r>
      <w:r w:rsidR="00D136BB">
        <w:rPr>
          <w:lang w:val="es-ES"/>
        </w:rPr>
        <w:t xml:space="preserve"> </w:t>
      </w:r>
      <w:r>
        <w:rPr>
          <w:lang w:val="es-ES"/>
        </w:rPr>
        <w:t>Unidas</w:t>
      </w:r>
      <w:r w:rsidR="00D136BB">
        <w:rPr>
          <w:lang w:val="es-ES"/>
        </w:rPr>
        <w:t xml:space="preserve"> </w:t>
      </w:r>
      <w:r>
        <w:rPr>
          <w:lang w:val="es-ES"/>
        </w:rPr>
        <w:t>para</w:t>
      </w:r>
      <w:r w:rsidR="00D136BB">
        <w:rPr>
          <w:lang w:val="es-ES"/>
        </w:rPr>
        <w:t xml:space="preserve"> </w:t>
      </w:r>
      <w:r>
        <w:rPr>
          <w:lang w:val="es-ES"/>
        </w:rPr>
        <w:t>el</w:t>
      </w:r>
      <w:r w:rsidR="00D136BB">
        <w:rPr>
          <w:lang w:val="es-ES"/>
        </w:rPr>
        <w:t xml:space="preserve"> </w:t>
      </w:r>
      <w:r>
        <w:rPr>
          <w:lang w:val="es-ES"/>
        </w:rPr>
        <w:t>Cambio</w:t>
      </w:r>
      <w:r w:rsidR="00D136BB">
        <w:rPr>
          <w:lang w:val="es-ES"/>
        </w:rPr>
        <w:t xml:space="preserve"> </w:t>
      </w:r>
      <w:r>
        <w:rPr>
          <w:lang w:val="es-ES"/>
        </w:rPr>
        <w:t>Climático</w:t>
      </w:r>
      <w:r w:rsidR="00D136BB">
        <w:rPr>
          <w:lang w:val="es-ES"/>
        </w:rPr>
        <w:t xml:space="preserve"> </w:t>
      </w:r>
      <w:r>
        <w:rPr>
          <w:lang w:val="es-ES"/>
        </w:rPr>
        <w:t>(CMNUCC),</w:t>
      </w:r>
      <w:r w:rsidR="00D136BB">
        <w:rPr>
          <w:lang w:val="es-ES"/>
        </w:rPr>
        <w:t xml:space="preserve"> </w:t>
      </w:r>
      <w:r>
        <w:rPr>
          <w:lang w:val="es-ES"/>
        </w:rPr>
        <w:t>derivadas</w:t>
      </w:r>
      <w:r w:rsidR="00D136BB">
        <w:rPr>
          <w:lang w:val="es-ES"/>
        </w:rPr>
        <w:t xml:space="preserve"> </w:t>
      </w:r>
      <w:r>
        <w:rPr>
          <w:lang w:val="es-ES"/>
        </w:rPr>
        <w:t>del</w:t>
      </w:r>
      <w:r w:rsidR="00D136BB">
        <w:rPr>
          <w:lang w:val="es-ES"/>
        </w:rPr>
        <w:t xml:space="preserve"> </w:t>
      </w:r>
      <w:r>
        <w:rPr>
          <w:lang w:val="es-ES"/>
        </w:rPr>
        <w:t>nuevo</w:t>
      </w:r>
      <w:r w:rsidR="00D136BB">
        <w:rPr>
          <w:lang w:val="es-ES"/>
        </w:rPr>
        <w:t xml:space="preserve"> </w:t>
      </w:r>
      <w:r>
        <w:rPr>
          <w:lang w:val="es-ES"/>
        </w:rPr>
        <w:t>régimen</w:t>
      </w:r>
      <w:r w:rsidR="00D136BB">
        <w:rPr>
          <w:lang w:val="es-ES"/>
        </w:rPr>
        <w:t xml:space="preserve"> </w:t>
      </w:r>
      <w:r>
        <w:rPr>
          <w:lang w:val="es-ES"/>
        </w:rPr>
        <w:t>climático</w:t>
      </w:r>
      <w:r w:rsidR="00D136BB">
        <w:rPr>
          <w:lang w:val="es-ES"/>
        </w:rPr>
        <w:t xml:space="preserve"> </w:t>
      </w:r>
      <w:r>
        <w:rPr>
          <w:lang w:val="es-ES"/>
        </w:rPr>
        <w:t>que</w:t>
      </w:r>
      <w:r w:rsidR="00D136BB">
        <w:rPr>
          <w:lang w:val="es-ES"/>
        </w:rPr>
        <w:t xml:space="preserve"> </w:t>
      </w:r>
      <w:r>
        <w:rPr>
          <w:lang w:val="es-ES"/>
        </w:rPr>
        <w:t>se</w:t>
      </w:r>
      <w:r w:rsidR="00D136BB">
        <w:rPr>
          <w:lang w:val="es-ES"/>
        </w:rPr>
        <w:t xml:space="preserve"> </w:t>
      </w:r>
      <w:r>
        <w:rPr>
          <w:lang w:val="es-ES"/>
        </w:rPr>
        <w:t>adopte</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2015</w:t>
      </w:r>
      <w:r w:rsidR="00D136BB">
        <w:rPr>
          <w:lang w:val="es-ES"/>
        </w:rPr>
        <w:t xml:space="preserve"> </w:t>
      </w:r>
      <w:r>
        <w:rPr>
          <w:lang w:val="es-ES"/>
        </w:rPr>
        <w:t>para</w:t>
      </w:r>
      <w:r w:rsidR="00D136BB">
        <w:rPr>
          <w:lang w:val="es-ES"/>
        </w:rPr>
        <w:t xml:space="preserve"> </w:t>
      </w:r>
      <w:r>
        <w:rPr>
          <w:lang w:val="es-ES"/>
        </w:rPr>
        <w:t>su</w:t>
      </w:r>
      <w:r w:rsidR="00D136BB">
        <w:rPr>
          <w:lang w:val="es-ES"/>
        </w:rPr>
        <w:t xml:space="preserve"> </w:t>
      </w:r>
      <w:r>
        <w:rPr>
          <w:lang w:val="es-ES"/>
        </w:rPr>
        <w:t>implementación</w:t>
      </w:r>
      <w:r w:rsidR="00D136BB">
        <w:rPr>
          <w:lang w:val="es-ES"/>
        </w:rPr>
        <w:t xml:space="preserve"> </w:t>
      </w:r>
      <w:r>
        <w:rPr>
          <w:lang w:val="es-ES"/>
        </w:rPr>
        <w:t>a</w:t>
      </w:r>
      <w:r w:rsidR="00D136BB">
        <w:rPr>
          <w:lang w:val="es-ES"/>
        </w:rPr>
        <w:t xml:space="preserve"> </w:t>
      </w:r>
      <w:r>
        <w:rPr>
          <w:lang w:val="es-ES"/>
        </w:rPr>
        <w:t>partir</w:t>
      </w:r>
      <w:r w:rsidR="00D136BB">
        <w:rPr>
          <w:lang w:val="es-ES"/>
        </w:rPr>
        <w:t xml:space="preserve"> </w:t>
      </w:r>
      <w:r>
        <w:rPr>
          <w:lang w:val="es-ES"/>
        </w:rPr>
        <w:t>del</w:t>
      </w:r>
      <w:r w:rsidR="00D136BB">
        <w:rPr>
          <w:lang w:val="es-ES"/>
        </w:rPr>
        <w:t xml:space="preserve"> </w:t>
      </w:r>
      <w:r>
        <w:rPr>
          <w:lang w:val="es-ES"/>
        </w:rPr>
        <w:t>2020,</w:t>
      </w:r>
      <w:r w:rsidR="00D136BB">
        <w:rPr>
          <w:lang w:val="es-ES"/>
        </w:rPr>
        <w:t xml:space="preserve"> </w:t>
      </w:r>
      <w:r>
        <w:rPr>
          <w:lang w:val="es-ES"/>
        </w:rPr>
        <w:t>deberán</w:t>
      </w:r>
      <w:r w:rsidR="00D136BB">
        <w:rPr>
          <w:lang w:val="es-ES"/>
        </w:rPr>
        <w:t xml:space="preserve"> </w:t>
      </w:r>
      <w:r>
        <w:rPr>
          <w:lang w:val="es-ES"/>
        </w:rPr>
        <w:t>reforzar</w:t>
      </w:r>
      <w:r w:rsidR="00D136BB">
        <w:rPr>
          <w:lang w:val="es-ES"/>
        </w:rPr>
        <w:t xml:space="preserve"> </w:t>
      </w:r>
      <w:r>
        <w:rPr>
          <w:lang w:val="es-ES"/>
        </w:rPr>
        <w:t>los</w:t>
      </w:r>
      <w:r w:rsidR="00D136BB">
        <w:rPr>
          <w:lang w:val="es-ES"/>
        </w:rPr>
        <w:t xml:space="preserve"> </w:t>
      </w:r>
      <w:r>
        <w:rPr>
          <w:lang w:val="es-ES"/>
        </w:rPr>
        <w:t>compromisos</w:t>
      </w:r>
      <w:r w:rsidR="00D136BB">
        <w:rPr>
          <w:lang w:val="es-ES"/>
        </w:rPr>
        <w:t xml:space="preserve"> </w:t>
      </w:r>
      <w:r>
        <w:rPr>
          <w:lang w:val="es-ES"/>
        </w:rPr>
        <w:t>de</w:t>
      </w:r>
      <w:r w:rsidR="00D136BB">
        <w:rPr>
          <w:lang w:val="es-ES"/>
        </w:rPr>
        <w:t xml:space="preserve"> </w:t>
      </w:r>
      <w:r>
        <w:rPr>
          <w:lang w:val="es-ES"/>
        </w:rPr>
        <w:t>todos</w:t>
      </w:r>
      <w:r w:rsidR="00D136BB">
        <w:rPr>
          <w:lang w:val="es-ES"/>
        </w:rPr>
        <w:t xml:space="preserve"> </w:t>
      </w:r>
      <w:r>
        <w:rPr>
          <w:lang w:val="es-ES"/>
        </w:rPr>
        <w:t>los</w:t>
      </w:r>
      <w:r w:rsidR="00D136BB">
        <w:rPr>
          <w:lang w:val="es-ES"/>
        </w:rPr>
        <w:t xml:space="preserve"> </w:t>
      </w:r>
      <w:r>
        <w:rPr>
          <w:lang w:val="es-ES"/>
        </w:rPr>
        <w:t>países</w:t>
      </w:r>
      <w:r w:rsidR="00D136BB">
        <w:rPr>
          <w:lang w:val="es-ES"/>
        </w:rPr>
        <w:t xml:space="preserve"> </w:t>
      </w:r>
      <w:r>
        <w:rPr>
          <w:lang w:val="es-ES"/>
        </w:rPr>
        <w:t>con</w:t>
      </w:r>
      <w:r w:rsidR="00D136BB">
        <w:rPr>
          <w:lang w:val="es-ES"/>
        </w:rPr>
        <w:t xml:space="preserve"> </w:t>
      </w:r>
      <w:r>
        <w:rPr>
          <w:lang w:val="es-ES"/>
        </w:rPr>
        <w:t>la</w:t>
      </w:r>
      <w:r w:rsidR="00D136BB">
        <w:rPr>
          <w:lang w:val="es-ES"/>
        </w:rPr>
        <w:t xml:space="preserve"> </w:t>
      </w:r>
      <w:r>
        <w:rPr>
          <w:lang w:val="es-ES"/>
        </w:rPr>
        <w:t>mitigación</w:t>
      </w:r>
      <w:r w:rsidR="00D136BB">
        <w:rPr>
          <w:lang w:val="es-ES"/>
        </w:rPr>
        <w:t xml:space="preserve"> </w:t>
      </w:r>
      <w:r>
        <w:rPr>
          <w:lang w:val="es-ES"/>
        </w:rPr>
        <w:t>y</w:t>
      </w:r>
      <w:r w:rsidR="00D136BB">
        <w:rPr>
          <w:lang w:val="es-ES"/>
        </w:rPr>
        <w:t xml:space="preserve"> </w:t>
      </w:r>
      <w:r>
        <w:rPr>
          <w:lang w:val="es-ES"/>
        </w:rPr>
        <w:t>reducción</w:t>
      </w:r>
      <w:r w:rsidR="00D136BB">
        <w:rPr>
          <w:lang w:val="es-ES"/>
        </w:rPr>
        <w:t xml:space="preserve"> </w:t>
      </w:r>
      <w:r>
        <w:rPr>
          <w:lang w:val="es-ES"/>
        </w:rPr>
        <w:t>de</w:t>
      </w:r>
      <w:r w:rsidR="00D136BB">
        <w:rPr>
          <w:lang w:val="es-ES"/>
        </w:rPr>
        <w:t xml:space="preserve"> </w:t>
      </w:r>
      <w:r>
        <w:rPr>
          <w:lang w:val="es-ES"/>
        </w:rPr>
        <w:t>Gases</w:t>
      </w:r>
      <w:r w:rsidR="00D136BB">
        <w:rPr>
          <w:lang w:val="es-ES"/>
        </w:rPr>
        <w:t xml:space="preserve"> </w:t>
      </w:r>
      <w:r>
        <w:rPr>
          <w:lang w:val="es-ES"/>
        </w:rPr>
        <w:t>de</w:t>
      </w:r>
      <w:r w:rsidR="00D136BB">
        <w:rPr>
          <w:lang w:val="es-ES"/>
        </w:rPr>
        <w:t xml:space="preserve"> </w:t>
      </w:r>
      <w:r>
        <w:rPr>
          <w:lang w:val="es-ES"/>
        </w:rPr>
        <w:t>Efecto</w:t>
      </w:r>
      <w:r w:rsidR="00D136BB">
        <w:rPr>
          <w:lang w:val="es-ES"/>
        </w:rPr>
        <w:t xml:space="preserve"> </w:t>
      </w:r>
      <w:r>
        <w:rPr>
          <w:lang w:val="es-ES"/>
        </w:rPr>
        <w:t>Invernadero</w:t>
      </w:r>
      <w:r w:rsidR="00D136BB">
        <w:rPr>
          <w:lang w:val="es-ES"/>
        </w:rPr>
        <w:t xml:space="preserve"> </w:t>
      </w:r>
      <w:r>
        <w:rPr>
          <w:lang w:val="es-ES"/>
        </w:rPr>
        <w:t>(GEI).</w:t>
      </w:r>
      <w:r w:rsidR="00D136BB">
        <w:rPr>
          <w:lang w:val="es-ES"/>
        </w:rPr>
        <w:t xml:space="preserve"> </w:t>
      </w:r>
    </w:p>
    <w:p w14:paraId="26E47061" w14:textId="1A02BF53" w:rsidR="00AA6E02" w:rsidRDefault="00AA6E02" w:rsidP="00AA6E02">
      <w:pPr>
        <w:pStyle w:val="BodyText"/>
        <w:rPr>
          <w:lang w:val="es-ES"/>
        </w:rPr>
      </w:pPr>
      <w:r>
        <w:rPr>
          <w:lang w:val="es-ES"/>
        </w:rPr>
        <w:t>Los</w:t>
      </w:r>
      <w:r w:rsidR="00D136BB">
        <w:rPr>
          <w:lang w:val="es-ES"/>
        </w:rPr>
        <w:t xml:space="preserve"> </w:t>
      </w:r>
      <w:r>
        <w:rPr>
          <w:lang w:val="es-ES"/>
        </w:rPr>
        <w:t>reactores</w:t>
      </w:r>
      <w:r w:rsidR="00D136BB">
        <w:rPr>
          <w:lang w:val="es-ES"/>
        </w:rPr>
        <w:t xml:space="preserve"> </w:t>
      </w:r>
      <w:r>
        <w:rPr>
          <w:lang w:val="es-ES"/>
        </w:rPr>
        <w:t>nucleares</w:t>
      </w:r>
      <w:r w:rsidR="00D136BB">
        <w:rPr>
          <w:lang w:val="es-ES"/>
        </w:rPr>
        <w:t xml:space="preserve"> </w:t>
      </w:r>
      <w:r>
        <w:rPr>
          <w:lang w:val="es-ES"/>
        </w:rPr>
        <w:t>de</w:t>
      </w:r>
      <w:r w:rsidR="00D136BB">
        <w:rPr>
          <w:lang w:val="es-ES"/>
        </w:rPr>
        <w:t xml:space="preserve"> </w:t>
      </w:r>
      <w:r>
        <w:rPr>
          <w:lang w:val="es-ES"/>
        </w:rPr>
        <w:t>potencia</w:t>
      </w:r>
      <w:r w:rsidR="00D136BB">
        <w:rPr>
          <w:lang w:val="es-ES"/>
        </w:rPr>
        <w:t xml:space="preserve"> </w:t>
      </w:r>
      <w:r>
        <w:rPr>
          <w:lang w:val="es-ES"/>
        </w:rPr>
        <w:t>de</w:t>
      </w:r>
      <w:r w:rsidR="00D136BB">
        <w:rPr>
          <w:lang w:val="es-ES"/>
        </w:rPr>
        <w:t xml:space="preserve"> </w:t>
      </w:r>
      <w:r>
        <w:rPr>
          <w:lang w:val="es-ES"/>
        </w:rPr>
        <w:t>la</w:t>
      </w:r>
      <w:r w:rsidR="00D136BB">
        <w:rPr>
          <w:lang w:val="es-ES"/>
        </w:rPr>
        <w:t xml:space="preserve"> </w:t>
      </w:r>
      <w:r>
        <w:rPr>
          <w:lang w:val="es-ES"/>
        </w:rPr>
        <w:t>región</w:t>
      </w:r>
      <w:r w:rsidR="00D136BB">
        <w:rPr>
          <w:lang w:val="es-ES"/>
        </w:rPr>
        <w:t xml:space="preserve"> </w:t>
      </w:r>
      <w:r>
        <w:rPr>
          <w:lang w:val="es-ES"/>
        </w:rPr>
        <w:t>están</w:t>
      </w:r>
      <w:r w:rsidR="00D136BB">
        <w:rPr>
          <w:lang w:val="es-ES"/>
        </w:rPr>
        <w:t xml:space="preserve"> </w:t>
      </w:r>
      <w:r>
        <w:rPr>
          <w:lang w:val="es-ES"/>
        </w:rPr>
        <w:t>llegando</w:t>
      </w:r>
      <w:r w:rsidR="00D136BB">
        <w:rPr>
          <w:lang w:val="es-ES"/>
        </w:rPr>
        <w:t xml:space="preserve"> </w:t>
      </w:r>
      <w:r>
        <w:rPr>
          <w:lang w:val="es-ES"/>
        </w:rPr>
        <w:t>al</w:t>
      </w:r>
      <w:r w:rsidR="00D136BB">
        <w:rPr>
          <w:lang w:val="es-ES"/>
        </w:rPr>
        <w:t xml:space="preserve"> </w:t>
      </w:r>
      <w:r>
        <w:rPr>
          <w:lang w:val="es-ES"/>
        </w:rPr>
        <w:t>término</w:t>
      </w:r>
      <w:r w:rsidR="00D136BB">
        <w:rPr>
          <w:lang w:val="es-ES"/>
        </w:rPr>
        <w:t xml:space="preserve"> </w:t>
      </w:r>
      <w:r>
        <w:rPr>
          <w:lang w:val="es-ES"/>
        </w:rPr>
        <w:t>de</w:t>
      </w:r>
      <w:r w:rsidR="00D136BB">
        <w:rPr>
          <w:lang w:val="es-ES"/>
        </w:rPr>
        <w:t xml:space="preserve"> </w:t>
      </w:r>
      <w:r>
        <w:rPr>
          <w:lang w:val="es-ES"/>
        </w:rPr>
        <w:t>su</w:t>
      </w:r>
      <w:r w:rsidR="00D136BB">
        <w:rPr>
          <w:lang w:val="es-ES"/>
        </w:rPr>
        <w:t xml:space="preserve"> </w:t>
      </w:r>
      <w:r>
        <w:rPr>
          <w:lang w:val="es-ES"/>
        </w:rPr>
        <w:t>vida</w:t>
      </w:r>
      <w:r w:rsidR="00D136BB">
        <w:rPr>
          <w:lang w:val="es-ES"/>
        </w:rPr>
        <w:t xml:space="preserve"> </w:t>
      </w:r>
      <w:r>
        <w:rPr>
          <w:lang w:val="es-ES"/>
        </w:rPr>
        <w:t>útil</w:t>
      </w:r>
      <w:r w:rsidR="00D136BB">
        <w:rPr>
          <w:lang w:val="es-ES"/>
        </w:rPr>
        <w:t xml:space="preserve"> </w:t>
      </w:r>
      <w:r>
        <w:rPr>
          <w:lang w:val="es-ES"/>
        </w:rPr>
        <w:t>planificada,</w:t>
      </w:r>
      <w:r w:rsidR="00D136BB">
        <w:rPr>
          <w:lang w:val="es-ES"/>
        </w:rPr>
        <w:t xml:space="preserve"> </w:t>
      </w:r>
      <w:r>
        <w:rPr>
          <w:lang w:val="es-ES"/>
        </w:rPr>
        <w:t>por</w:t>
      </w:r>
      <w:r w:rsidR="00D136BB">
        <w:rPr>
          <w:lang w:val="es-ES"/>
        </w:rPr>
        <w:t xml:space="preserve"> </w:t>
      </w:r>
      <w:r>
        <w:rPr>
          <w:lang w:val="es-ES"/>
        </w:rPr>
        <w:t>lo</w:t>
      </w:r>
      <w:r w:rsidR="00D136BB">
        <w:rPr>
          <w:lang w:val="es-ES"/>
        </w:rPr>
        <w:t xml:space="preserve"> </w:t>
      </w:r>
      <w:r>
        <w:rPr>
          <w:lang w:val="es-ES"/>
        </w:rPr>
        <w:t>que</w:t>
      </w:r>
      <w:r w:rsidR="00D136BB">
        <w:rPr>
          <w:lang w:val="es-ES"/>
        </w:rPr>
        <w:t xml:space="preserve"> </w:t>
      </w:r>
      <w:r>
        <w:rPr>
          <w:lang w:val="es-ES"/>
        </w:rPr>
        <w:t>se</w:t>
      </w:r>
      <w:r w:rsidR="00D136BB">
        <w:rPr>
          <w:lang w:val="es-ES"/>
        </w:rPr>
        <w:t xml:space="preserve"> </w:t>
      </w:r>
      <w:r>
        <w:rPr>
          <w:lang w:val="es-ES"/>
        </w:rPr>
        <w:t>requiere</w:t>
      </w:r>
      <w:r w:rsidR="00D136BB">
        <w:rPr>
          <w:lang w:val="es-ES"/>
        </w:rPr>
        <w:t xml:space="preserve"> </w:t>
      </w:r>
      <w:r>
        <w:rPr>
          <w:lang w:val="es-ES"/>
        </w:rPr>
        <w:t>realizar</w:t>
      </w:r>
      <w:r w:rsidR="00D136BB">
        <w:rPr>
          <w:lang w:val="es-ES"/>
        </w:rPr>
        <w:t xml:space="preserve"> </w:t>
      </w:r>
      <w:r>
        <w:rPr>
          <w:lang w:val="es-ES"/>
        </w:rPr>
        <w:t>análisis</w:t>
      </w:r>
      <w:r w:rsidR="00D136BB">
        <w:rPr>
          <w:lang w:val="es-ES"/>
        </w:rPr>
        <w:t xml:space="preserve"> </w:t>
      </w:r>
      <w:r>
        <w:rPr>
          <w:lang w:val="es-ES"/>
        </w:rPr>
        <w:t>y</w:t>
      </w:r>
      <w:r w:rsidR="00D136BB">
        <w:rPr>
          <w:lang w:val="es-ES"/>
        </w:rPr>
        <w:t xml:space="preserve"> </w:t>
      </w:r>
      <w:r>
        <w:rPr>
          <w:lang w:val="es-ES"/>
        </w:rPr>
        <w:t>evaluación</w:t>
      </w:r>
      <w:r w:rsidR="00D136BB">
        <w:rPr>
          <w:lang w:val="es-ES"/>
        </w:rPr>
        <w:t xml:space="preserve"> </w:t>
      </w:r>
      <w:r>
        <w:rPr>
          <w:lang w:val="es-ES"/>
        </w:rPr>
        <w:t>de</w:t>
      </w:r>
      <w:r w:rsidR="00D136BB">
        <w:rPr>
          <w:lang w:val="es-ES"/>
        </w:rPr>
        <w:t xml:space="preserve"> </w:t>
      </w:r>
      <w:r>
        <w:rPr>
          <w:lang w:val="es-ES"/>
        </w:rPr>
        <w:t>extensión</w:t>
      </w:r>
      <w:r w:rsidR="00D136BB">
        <w:rPr>
          <w:lang w:val="es-ES"/>
        </w:rPr>
        <w:t xml:space="preserve"> </w:t>
      </w:r>
      <w:r>
        <w:rPr>
          <w:lang w:val="es-ES"/>
        </w:rPr>
        <w:t>de</w:t>
      </w:r>
      <w:r w:rsidR="00D136BB">
        <w:rPr>
          <w:lang w:val="es-ES"/>
        </w:rPr>
        <w:t xml:space="preserve"> </w:t>
      </w:r>
      <w:r>
        <w:rPr>
          <w:lang w:val="es-ES"/>
        </w:rPr>
        <w:t>su</w:t>
      </w:r>
      <w:r w:rsidR="00D136BB">
        <w:rPr>
          <w:lang w:val="es-ES"/>
        </w:rPr>
        <w:t xml:space="preserve"> </w:t>
      </w:r>
      <w:r>
        <w:rPr>
          <w:lang w:val="es-ES"/>
        </w:rPr>
        <w:t>vida</w:t>
      </w:r>
      <w:r w:rsidR="00D136BB">
        <w:rPr>
          <w:lang w:val="es-ES"/>
        </w:rPr>
        <w:t xml:space="preserve"> </w:t>
      </w:r>
      <w:r>
        <w:rPr>
          <w:lang w:val="es-ES"/>
        </w:rPr>
        <w:t>útil.</w:t>
      </w:r>
      <w:r w:rsidR="00D136BB">
        <w:rPr>
          <w:lang w:val="es-ES"/>
        </w:rPr>
        <w:t xml:space="preserve"> </w:t>
      </w:r>
    </w:p>
    <w:p w14:paraId="24B7F7A8" w14:textId="2561D26F" w:rsidR="00AA6E02" w:rsidRDefault="00AA6E02" w:rsidP="00AA6E02">
      <w:pPr>
        <w:pStyle w:val="BodyText"/>
        <w:rPr>
          <w:lang w:val="es-ES"/>
        </w:rPr>
      </w:pPr>
      <w:r>
        <w:rPr>
          <w:lang w:val="es-ES"/>
        </w:rPr>
        <w:t>Estos</w:t>
      </w:r>
      <w:r w:rsidR="00D136BB">
        <w:rPr>
          <w:lang w:val="es-ES"/>
        </w:rPr>
        <w:t xml:space="preserve"> </w:t>
      </w:r>
      <w:r>
        <w:rPr>
          <w:lang w:val="es-ES"/>
        </w:rPr>
        <w:t>son</w:t>
      </w:r>
      <w:r w:rsidR="00D136BB">
        <w:rPr>
          <w:lang w:val="es-ES"/>
        </w:rPr>
        <w:t xml:space="preserve"> </w:t>
      </w:r>
      <w:r>
        <w:rPr>
          <w:lang w:val="es-ES"/>
        </w:rPr>
        <w:t>factores</w:t>
      </w:r>
      <w:r w:rsidR="00D136BB">
        <w:rPr>
          <w:lang w:val="es-ES"/>
        </w:rPr>
        <w:t xml:space="preserve"> </w:t>
      </w:r>
      <w:r>
        <w:rPr>
          <w:lang w:val="es-ES"/>
        </w:rPr>
        <w:t>que</w:t>
      </w:r>
      <w:r w:rsidR="00D136BB">
        <w:rPr>
          <w:lang w:val="es-ES"/>
        </w:rPr>
        <w:t xml:space="preserve"> </w:t>
      </w:r>
      <w:r>
        <w:rPr>
          <w:lang w:val="es-ES"/>
        </w:rPr>
        <w:t>aceleran</w:t>
      </w:r>
      <w:r w:rsidR="00D136BB">
        <w:rPr>
          <w:lang w:val="es-ES"/>
        </w:rPr>
        <w:t xml:space="preserve"> </w:t>
      </w:r>
      <w:r>
        <w:rPr>
          <w:lang w:val="es-ES"/>
        </w:rPr>
        <w:t>la</w:t>
      </w:r>
      <w:r w:rsidR="00D136BB">
        <w:rPr>
          <w:lang w:val="es-ES"/>
        </w:rPr>
        <w:t xml:space="preserve"> </w:t>
      </w:r>
      <w:r>
        <w:rPr>
          <w:lang w:val="es-ES"/>
        </w:rPr>
        <w:t>necesidad</w:t>
      </w:r>
      <w:r w:rsidR="00D136BB">
        <w:rPr>
          <w:lang w:val="es-ES"/>
        </w:rPr>
        <w:t xml:space="preserve"> </w:t>
      </w:r>
      <w:r>
        <w:rPr>
          <w:lang w:val="es-ES"/>
        </w:rPr>
        <w:t>de</w:t>
      </w:r>
      <w:r w:rsidR="00D136BB">
        <w:rPr>
          <w:lang w:val="es-ES"/>
        </w:rPr>
        <w:t xml:space="preserve"> </w:t>
      </w:r>
      <w:r>
        <w:rPr>
          <w:lang w:val="es-ES"/>
        </w:rPr>
        <w:t>evaluar</w:t>
      </w:r>
      <w:r w:rsidR="00D136BB">
        <w:rPr>
          <w:lang w:val="es-ES"/>
        </w:rPr>
        <w:t xml:space="preserve"> </w:t>
      </w:r>
      <w:r>
        <w:rPr>
          <w:lang w:val="es-ES"/>
        </w:rPr>
        <w:t>la</w:t>
      </w:r>
      <w:r w:rsidR="00D136BB">
        <w:rPr>
          <w:lang w:val="es-ES"/>
        </w:rPr>
        <w:t xml:space="preserve"> </w:t>
      </w:r>
      <w:r>
        <w:rPr>
          <w:lang w:val="es-ES"/>
        </w:rPr>
        <w:t>opción</w:t>
      </w:r>
      <w:r w:rsidR="00D136BB">
        <w:rPr>
          <w:lang w:val="es-ES"/>
        </w:rPr>
        <w:t xml:space="preserve"> </w:t>
      </w:r>
      <w:r>
        <w:rPr>
          <w:lang w:val="es-ES"/>
        </w:rPr>
        <w:t>nuclear</w:t>
      </w:r>
      <w:r w:rsidR="00D136BB">
        <w:rPr>
          <w:lang w:val="es-ES"/>
        </w:rPr>
        <w:t xml:space="preserve"> </w:t>
      </w:r>
      <w:r>
        <w:rPr>
          <w:lang w:val="es-ES"/>
        </w:rPr>
        <w:t>de</w:t>
      </w:r>
      <w:r w:rsidR="00D136BB">
        <w:rPr>
          <w:lang w:val="es-ES"/>
        </w:rPr>
        <w:t xml:space="preserve"> </w:t>
      </w:r>
      <w:r>
        <w:rPr>
          <w:lang w:val="es-ES"/>
        </w:rPr>
        <w:t>una</w:t>
      </w:r>
      <w:r w:rsidR="00D136BB">
        <w:rPr>
          <w:lang w:val="es-ES"/>
        </w:rPr>
        <w:t xml:space="preserve"> </w:t>
      </w:r>
      <w:r>
        <w:rPr>
          <w:lang w:val="es-ES"/>
        </w:rPr>
        <w:t>manera</w:t>
      </w:r>
      <w:r w:rsidR="00D136BB">
        <w:rPr>
          <w:lang w:val="es-ES"/>
        </w:rPr>
        <w:t xml:space="preserve"> </w:t>
      </w:r>
      <w:r>
        <w:rPr>
          <w:lang w:val="es-ES"/>
        </w:rPr>
        <w:t>integral</w:t>
      </w:r>
      <w:r w:rsidR="00D136BB">
        <w:rPr>
          <w:lang w:val="es-ES"/>
        </w:rPr>
        <w:t xml:space="preserve"> </w:t>
      </w:r>
      <w:r>
        <w:rPr>
          <w:lang w:val="es-ES"/>
        </w:rPr>
        <w:t>dentro</w:t>
      </w:r>
      <w:r w:rsidR="00D136BB">
        <w:rPr>
          <w:lang w:val="es-ES"/>
        </w:rPr>
        <w:t xml:space="preserve"> </w:t>
      </w:r>
      <w:r>
        <w:rPr>
          <w:lang w:val="es-ES"/>
        </w:rPr>
        <w:t>de</w:t>
      </w:r>
      <w:r w:rsidR="00D136BB">
        <w:rPr>
          <w:lang w:val="es-ES"/>
        </w:rPr>
        <w:t xml:space="preserve"> </w:t>
      </w:r>
      <w:r>
        <w:rPr>
          <w:lang w:val="es-ES"/>
        </w:rPr>
        <w:t>los</w:t>
      </w:r>
      <w:r w:rsidR="00D136BB">
        <w:rPr>
          <w:lang w:val="es-ES"/>
        </w:rPr>
        <w:t xml:space="preserve"> </w:t>
      </w:r>
      <w:r>
        <w:rPr>
          <w:lang w:val="es-ES"/>
        </w:rPr>
        <w:t>sistemas</w:t>
      </w:r>
      <w:r w:rsidR="00D136BB">
        <w:rPr>
          <w:lang w:val="es-ES"/>
        </w:rPr>
        <w:t xml:space="preserve"> </w:t>
      </w:r>
      <w:r>
        <w:rPr>
          <w:lang w:val="es-ES"/>
        </w:rPr>
        <w:t>energéticos</w:t>
      </w:r>
      <w:r w:rsidR="00D136BB">
        <w:rPr>
          <w:lang w:val="es-ES"/>
        </w:rPr>
        <w:t xml:space="preserve"> </w:t>
      </w:r>
      <w:r>
        <w:rPr>
          <w:lang w:val="es-ES"/>
        </w:rPr>
        <w:t>para</w:t>
      </w:r>
      <w:r w:rsidR="00D136BB">
        <w:rPr>
          <w:lang w:val="es-ES"/>
        </w:rPr>
        <w:t xml:space="preserve"> </w:t>
      </w:r>
      <w:r>
        <w:rPr>
          <w:lang w:val="es-ES"/>
        </w:rPr>
        <w:t>definir</w:t>
      </w:r>
      <w:r w:rsidR="00D136BB">
        <w:rPr>
          <w:lang w:val="es-ES"/>
        </w:rPr>
        <w:t xml:space="preserve"> </w:t>
      </w:r>
      <w:r>
        <w:rPr>
          <w:lang w:val="es-ES"/>
        </w:rPr>
        <w:t>su</w:t>
      </w:r>
      <w:r w:rsidR="00D136BB">
        <w:rPr>
          <w:lang w:val="es-ES"/>
        </w:rPr>
        <w:t xml:space="preserve"> </w:t>
      </w:r>
      <w:r>
        <w:rPr>
          <w:lang w:val="es-ES"/>
        </w:rPr>
        <w:t>posible</w:t>
      </w:r>
      <w:r w:rsidR="00D136BB">
        <w:rPr>
          <w:lang w:val="es-ES"/>
        </w:rPr>
        <w:t xml:space="preserve"> </w:t>
      </w:r>
      <w:r>
        <w:rPr>
          <w:lang w:val="es-ES"/>
        </w:rPr>
        <w:t>rol</w:t>
      </w:r>
      <w:r w:rsidR="00D136BB">
        <w:rPr>
          <w:lang w:val="es-ES"/>
        </w:rPr>
        <w:t xml:space="preserve"> </w:t>
      </w:r>
      <w:r>
        <w:rPr>
          <w:lang w:val="es-ES"/>
        </w:rPr>
        <w:t>en</w:t>
      </w:r>
      <w:r w:rsidR="00D136BB">
        <w:rPr>
          <w:lang w:val="es-ES"/>
        </w:rPr>
        <w:t xml:space="preserve"> </w:t>
      </w:r>
      <w:r>
        <w:rPr>
          <w:lang w:val="es-ES"/>
        </w:rPr>
        <w:t>el</w:t>
      </w:r>
      <w:r w:rsidR="00D136BB">
        <w:rPr>
          <w:lang w:val="es-ES"/>
        </w:rPr>
        <w:t xml:space="preserve"> </w:t>
      </w:r>
      <w:r>
        <w:rPr>
          <w:lang w:val="es-ES"/>
        </w:rPr>
        <w:t>desarrollo</w:t>
      </w:r>
      <w:r w:rsidR="00D136BB">
        <w:rPr>
          <w:lang w:val="es-ES"/>
        </w:rPr>
        <w:t xml:space="preserve"> </w:t>
      </w:r>
      <w:r>
        <w:rPr>
          <w:lang w:val="es-ES"/>
        </w:rPr>
        <w:t>de</w:t>
      </w:r>
      <w:r w:rsidR="00D136BB">
        <w:rPr>
          <w:lang w:val="es-ES"/>
        </w:rPr>
        <w:t xml:space="preserve"> </w:t>
      </w:r>
      <w:r>
        <w:rPr>
          <w:lang w:val="es-ES"/>
        </w:rPr>
        <w:t>América</w:t>
      </w:r>
      <w:r w:rsidR="00D136BB">
        <w:rPr>
          <w:lang w:val="es-ES"/>
        </w:rPr>
        <w:t xml:space="preserve"> </w:t>
      </w:r>
      <w:r>
        <w:rPr>
          <w:lang w:val="es-ES"/>
        </w:rPr>
        <w:t>Latina</w:t>
      </w:r>
      <w:r w:rsidR="00D136BB">
        <w:rPr>
          <w:lang w:val="es-ES"/>
        </w:rPr>
        <w:t xml:space="preserve"> </w:t>
      </w:r>
      <w:r>
        <w:rPr>
          <w:lang w:val="es-ES"/>
        </w:rPr>
        <w:t>y</w:t>
      </w:r>
      <w:r w:rsidR="00D136BB">
        <w:rPr>
          <w:lang w:val="es-ES"/>
        </w:rPr>
        <w:t xml:space="preserve"> </w:t>
      </w:r>
      <w:r>
        <w:rPr>
          <w:lang w:val="es-ES"/>
        </w:rPr>
        <w:t>el</w:t>
      </w:r>
      <w:r w:rsidR="00D136BB">
        <w:rPr>
          <w:lang w:val="es-ES"/>
        </w:rPr>
        <w:t xml:space="preserve"> </w:t>
      </w:r>
      <w:r>
        <w:rPr>
          <w:lang w:val="es-ES"/>
        </w:rPr>
        <w:t>Caribe.</w:t>
      </w:r>
      <w:r w:rsidR="00D136BB">
        <w:rPr>
          <w:lang w:val="es-ES"/>
        </w:rPr>
        <w:t xml:space="preserve">    </w:t>
      </w:r>
    </w:p>
    <w:p w14:paraId="40A4A745" w14:textId="77777777" w:rsidR="00AA6E02" w:rsidRPr="006C45C9" w:rsidRDefault="00AA6E02" w:rsidP="00AA6E02">
      <w:pPr>
        <w:rPr>
          <w:lang w:val="es-419"/>
        </w:rPr>
      </w:pPr>
    </w:p>
    <w:p w14:paraId="07B1E799" w14:textId="550F15C5" w:rsidR="00AA6E02" w:rsidRDefault="00AA6E02" w:rsidP="00AA6E02">
      <w:pPr>
        <w:numPr>
          <w:ilvl w:val="0"/>
          <w:numId w:val="62"/>
        </w:numPr>
        <w:spacing w:after="240" w:line="240" w:lineRule="auto"/>
        <w:jc w:val="both"/>
        <w:rPr>
          <w:rFonts w:ascii="Times New Roman" w:eastAsia="Times New Roman" w:hAnsi="Times New Roman" w:cs="Times New Roman"/>
          <w:b/>
          <w:sz w:val="24"/>
          <w:szCs w:val="20"/>
          <w:lang w:val="es-ES"/>
        </w:rPr>
      </w:pPr>
      <w:r>
        <w:rPr>
          <w:rFonts w:ascii="Times New Roman" w:eastAsia="Times New Roman" w:hAnsi="Times New Roman" w:cs="Times New Roman"/>
          <w:b/>
          <w:sz w:val="24"/>
          <w:szCs w:val="20"/>
          <w:lang w:val="es-ES"/>
        </w:rPr>
        <w:lastRenderedPageBreak/>
        <w:t>Síntesis</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de</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la</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situación</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actual</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relacionada</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con</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los</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reactores</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de</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investigación</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en</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la</w:t>
      </w:r>
      <w:r w:rsidR="00D136BB">
        <w:rPr>
          <w:rFonts w:ascii="Times New Roman" w:eastAsia="Times New Roman" w:hAnsi="Times New Roman" w:cs="Times New Roman"/>
          <w:b/>
          <w:sz w:val="24"/>
          <w:szCs w:val="20"/>
          <w:lang w:val="es-ES"/>
        </w:rPr>
        <w:t xml:space="preserve"> </w:t>
      </w:r>
      <w:r>
        <w:rPr>
          <w:rFonts w:ascii="Times New Roman" w:eastAsia="Times New Roman" w:hAnsi="Times New Roman" w:cs="Times New Roman"/>
          <w:b/>
          <w:sz w:val="24"/>
          <w:szCs w:val="20"/>
          <w:lang w:val="es-ES"/>
        </w:rPr>
        <w:t>región</w:t>
      </w:r>
    </w:p>
    <w:p w14:paraId="4F0E90C7" w14:textId="406D1449"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investigación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son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más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simples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que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producción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energía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eléctrica,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operan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menores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presiones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temperaturas.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Están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constituidos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núcleo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formado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elementos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combustibles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uranio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enriquecido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w:t>
      </w:r>
      <w:r>
        <w:rPr>
          <w:rFonts w:ascii="Times New Roman" w:eastAsia="Times New Roman" w:hAnsi="Times New Roman" w:cs="Times New Roman"/>
          <w:sz w:val="24"/>
          <w:szCs w:val="20"/>
          <w:vertAlign w:val="superscript"/>
          <w:lang w:val="es-ES"/>
        </w:rPr>
        <w:t>235</w:t>
      </w:r>
      <w:r>
        <w:rPr>
          <w:rFonts w:ascii="Times New Roman" w:eastAsia="Times New Roman" w:hAnsi="Times New Roman" w:cs="Times New Roman"/>
          <w:sz w:val="24"/>
          <w:szCs w:val="20"/>
          <w:lang w:val="es-ES"/>
        </w:rPr>
        <w:t>U)</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hasta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20%.</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único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que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todavía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emplea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uranio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enriquecido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90%</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encuentra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avanzado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proceso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conversión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uranio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bajo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enriquecimiento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(ver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Tabla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4).</w:t>
      </w:r>
    </w:p>
    <w:p w14:paraId="7CD504F8" w14:textId="0AF8636A"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gama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aplicaciones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cuales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pueden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utilizados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estos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depende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nivel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potencia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flujo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neutrónico.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líneas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generales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puede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categorizar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baja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potencia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menores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250kW,</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alta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potencia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mayores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2MW.</w:t>
      </w:r>
    </w:p>
    <w:p w14:paraId="132CA6C4" w14:textId="1E6CD131"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América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Latina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Caribe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existen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7</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países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que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poseen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nucleares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experimentales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distinto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tipo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potencia,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según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muestra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Tabla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Tabla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aprecia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información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experimentales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construcción.</w:t>
      </w:r>
    </w:p>
    <w:p w14:paraId="33066CAB" w14:textId="63DED495" w:rsidR="00AA6E02" w:rsidRDefault="00AA6E02" w:rsidP="00AA6E02">
      <w:pPr>
        <w:keepNext/>
        <w:keepLines/>
        <w:spacing w:after="120" w:line="240" w:lineRule="auto"/>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Tabla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investigación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instalados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región</w:t>
      </w:r>
    </w:p>
    <w:tbl>
      <w:tblPr>
        <w:tblW w:w="975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76"/>
        <w:gridCol w:w="1418"/>
        <w:gridCol w:w="1083"/>
        <w:gridCol w:w="1134"/>
        <w:gridCol w:w="1600"/>
        <w:gridCol w:w="1113"/>
        <w:gridCol w:w="1930"/>
      </w:tblGrid>
      <w:tr w:rsidR="00AA6E02" w14:paraId="4A032817" w14:textId="77777777" w:rsidTr="00AA6E02">
        <w:trPr>
          <w:trHeight w:val="625"/>
          <w:jc w:val="center"/>
        </w:trPr>
        <w:tc>
          <w:tcPr>
            <w:tcW w:w="1476" w:type="dxa"/>
            <w:tcBorders>
              <w:top w:val="single" w:sz="8" w:space="0" w:color="auto"/>
              <w:left w:val="single" w:sz="8" w:space="0" w:color="auto"/>
              <w:bottom w:val="single" w:sz="4" w:space="0" w:color="auto"/>
              <w:right w:val="single" w:sz="4" w:space="0" w:color="auto"/>
            </w:tcBorders>
            <w:shd w:val="clear" w:color="auto" w:fill="C2D69B"/>
            <w:noWrap/>
            <w:vAlign w:val="center"/>
          </w:tcPr>
          <w:p w14:paraId="1883B032"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País</w:t>
            </w:r>
          </w:p>
          <w:p w14:paraId="0F0B1A00" w14:textId="77777777" w:rsidR="00AA6E02" w:rsidRDefault="00AA6E02">
            <w:pPr>
              <w:spacing w:after="0"/>
              <w:jc w:val="center"/>
              <w:rPr>
                <w:rFonts w:ascii="Times New Roman" w:eastAsia="@Arial Unicode MS" w:hAnsi="Times New Roman" w:cs="Times New Roman"/>
                <w:bCs/>
                <w:i/>
                <w:iCs/>
                <w:sz w:val="20"/>
                <w:szCs w:val="20"/>
                <w:lang w:val="es-ES" w:eastAsia="pt-BR"/>
              </w:rPr>
            </w:pPr>
          </w:p>
        </w:tc>
        <w:tc>
          <w:tcPr>
            <w:tcW w:w="1418" w:type="dxa"/>
            <w:tcBorders>
              <w:top w:val="single" w:sz="8" w:space="0" w:color="auto"/>
              <w:left w:val="single" w:sz="4" w:space="0" w:color="auto"/>
              <w:bottom w:val="single" w:sz="4" w:space="0" w:color="auto"/>
              <w:right w:val="single" w:sz="4" w:space="0" w:color="auto"/>
            </w:tcBorders>
            <w:shd w:val="clear" w:color="auto" w:fill="C2D69B"/>
            <w:noWrap/>
            <w:vAlign w:val="center"/>
          </w:tcPr>
          <w:p w14:paraId="37F12F71"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Reactor</w:t>
            </w:r>
          </w:p>
          <w:p w14:paraId="3AB5D9CB" w14:textId="77777777" w:rsidR="00AA6E02" w:rsidRDefault="00AA6E02">
            <w:pPr>
              <w:spacing w:after="0"/>
              <w:jc w:val="center"/>
              <w:rPr>
                <w:rFonts w:ascii="Times New Roman" w:eastAsia="@Arial Unicode MS" w:hAnsi="Times New Roman" w:cs="Times New Roman"/>
                <w:bCs/>
                <w:i/>
                <w:iCs/>
                <w:sz w:val="20"/>
                <w:szCs w:val="20"/>
                <w:lang w:val="es-ES" w:eastAsia="pt-BR"/>
              </w:rPr>
            </w:pPr>
          </w:p>
        </w:tc>
        <w:tc>
          <w:tcPr>
            <w:tcW w:w="1083" w:type="dxa"/>
            <w:tcBorders>
              <w:top w:val="single" w:sz="8" w:space="0" w:color="auto"/>
              <w:left w:val="single" w:sz="4" w:space="0" w:color="auto"/>
              <w:bottom w:val="single" w:sz="4" w:space="0" w:color="auto"/>
              <w:right w:val="single" w:sz="4" w:space="0" w:color="auto"/>
            </w:tcBorders>
            <w:shd w:val="clear" w:color="auto" w:fill="C2D69B"/>
            <w:noWrap/>
            <w:vAlign w:val="center"/>
          </w:tcPr>
          <w:p w14:paraId="6D710F1E"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Tipo</w:t>
            </w:r>
          </w:p>
          <w:p w14:paraId="255DF1F4" w14:textId="77777777" w:rsidR="00AA6E02" w:rsidRDefault="00AA6E02">
            <w:pPr>
              <w:spacing w:after="0"/>
              <w:jc w:val="center"/>
              <w:rPr>
                <w:rFonts w:ascii="Times New Roman" w:eastAsia="@Arial Unicode MS" w:hAnsi="Times New Roman" w:cs="Times New Roman"/>
                <w:bCs/>
                <w:i/>
                <w:iCs/>
                <w:sz w:val="20"/>
                <w:szCs w:val="20"/>
                <w:lang w:val="es-ES" w:eastAsia="pt-BR"/>
              </w:rPr>
            </w:pPr>
          </w:p>
        </w:tc>
        <w:tc>
          <w:tcPr>
            <w:tcW w:w="1134" w:type="dxa"/>
            <w:tcBorders>
              <w:top w:val="single" w:sz="8" w:space="0" w:color="auto"/>
              <w:left w:val="single" w:sz="4" w:space="0" w:color="auto"/>
              <w:bottom w:val="single" w:sz="4" w:space="0" w:color="auto"/>
              <w:right w:val="single" w:sz="4" w:space="0" w:color="auto"/>
            </w:tcBorders>
            <w:shd w:val="clear" w:color="auto" w:fill="C2D69B"/>
            <w:noWrap/>
            <w:vAlign w:val="center"/>
            <w:hideMark/>
          </w:tcPr>
          <w:p w14:paraId="2017E174"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Potencia</w:t>
            </w:r>
          </w:p>
          <w:p w14:paraId="4F30E160"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kW</w:t>
            </w:r>
          </w:p>
        </w:tc>
        <w:tc>
          <w:tcPr>
            <w:tcW w:w="1600" w:type="dxa"/>
            <w:tcBorders>
              <w:top w:val="single" w:sz="8" w:space="0" w:color="auto"/>
              <w:left w:val="single" w:sz="4" w:space="0" w:color="auto"/>
              <w:bottom w:val="single" w:sz="4" w:space="0" w:color="auto"/>
              <w:right w:val="single" w:sz="4" w:space="0" w:color="auto"/>
            </w:tcBorders>
            <w:shd w:val="clear" w:color="auto" w:fill="C2D69B"/>
            <w:noWrap/>
            <w:vAlign w:val="center"/>
            <w:hideMark/>
          </w:tcPr>
          <w:p w14:paraId="21430F98"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Enriquecimiento.</w:t>
            </w:r>
          </w:p>
          <w:p w14:paraId="24BA0D64"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w:t>
            </w:r>
          </w:p>
        </w:tc>
        <w:tc>
          <w:tcPr>
            <w:tcW w:w="1113" w:type="dxa"/>
            <w:tcBorders>
              <w:top w:val="single" w:sz="8" w:space="0" w:color="auto"/>
              <w:left w:val="single" w:sz="4" w:space="0" w:color="auto"/>
              <w:bottom w:val="single" w:sz="4" w:space="0" w:color="auto"/>
              <w:right w:val="single" w:sz="4" w:space="0" w:color="auto"/>
            </w:tcBorders>
            <w:shd w:val="clear" w:color="auto" w:fill="C2D69B"/>
            <w:noWrap/>
            <w:vAlign w:val="center"/>
            <w:hideMark/>
          </w:tcPr>
          <w:p w14:paraId="10A080A2"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Régimen</w:t>
            </w:r>
          </w:p>
          <w:p w14:paraId="78738F61"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h/mes</w:t>
            </w:r>
          </w:p>
        </w:tc>
        <w:tc>
          <w:tcPr>
            <w:tcW w:w="1930" w:type="dxa"/>
            <w:tcBorders>
              <w:top w:val="single" w:sz="8" w:space="0" w:color="auto"/>
              <w:left w:val="single" w:sz="4" w:space="0" w:color="auto"/>
              <w:bottom w:val="single" w:sz="4" w:space="0" w:color="auto"/>
              <w:right w:val="single" w:sz="8" w:space="0" w:color="auto"/>
            </w:tcBorders>
            <w:shd w:val="clear" w:color="auto" w:fill="C2D69B"/>
            <w:noWrap/>
            <w:vAlign w:val="center"/>
          </w:tcPr>
          <w:p w14:paraId="045075DA" w14:textId="77777777" w:rsidR="00AA6E02" w:rsidRDefault="00AA6E02">
            <w:pPr>
              <w:spacing w:after="0"/>
              <w:jc w:val="center"/>
              <w:rPr>
                <w:rFonts w:ascii="Times New Roman" w:eastAsia="@Arial Unicode MS" w:hAnsi="Times New Roman" w:cs="Times New Roman"/>
                <w:bCs/>
                <w:i/>
                <w:iCs/>
                <w:sz w:val="20"/>
                <w:szCs w:val="20"/>
                <w:lang w:val="es-ES" w:eastAsia="pt-BR"/>
              </w:rPr>
            </w:pPr>
            <w:r>
              <w:rPr>
                <w:rFonts w:ascii="Times New Roman" w:eastAsia="@Arial Unicode MS" w:hAnsi="Times New Roman" w:cs="Times New Roman"/>
                <w:bCs/>
                <w:i/>
                <w:iCs/>
                <w:sz w:val="20"/>
                <w:szCs w:val="20"/>
                <w:lang w:val="es-ES" w:eastAsia="pt-BR"/>
              </w:rPr>
              <w:t>Propietario</w:t>
            </w:r>
          </w:p>
          <w:p w14:paraId="1DC5D82E" w14:textId="77777777" w:rsidR="00AA6E02" w:rsidRDefault="00AA6E02">
            <w:pPr>
              <w:spacing w:after="0"/>
              <w:jc w:val="center"/>
              <w:rPr>
                <w:rFonts w:ascii="Times New Roman" w:eastAsia="@Arial Unicode MS" w:hAnsi="Times New Roman" w:cs="Times New Roman"/>
                <w:bCs/>
                <w:i/>
                <w:iCs/>
                <w:sz w:val="20"/>
                <w:szCs w:val="20"/>
                <w:lang w:val="es-ES" w:eastAsia="pt-BR"/>
              </w:rPr>
            </w:pPr>
          </w:p>
        </w:tc>
      </w:tr>
      <w:tr w:rsidR="00AA6E02" w14:paraId="72639629" w14:textId="77777777" w:rsidTr="00AA6E02">
        <w:trPr>
          <w:trHeight w:val="533"/>
          <w:jc w:val="center"/>
        </w:trPr>
        <w:tc>
          <w:tcPr>
            <w:tcW w:w="1476" w:type="dxa"/>
            <w:vMerge w:val="restart"/>
            <w:tcBorders>
              <w:top w:val="single" w:sz="4" w:space="0" w:color="auto"/>
              <w:left w:val="single" w:sz="8" w:space="0" w:color="auto"/>
              <w:bottom w:val="single" w:sz="4" w:space="0" w:color="auto"/>
              <w:right w:val="single" w:sz="4" w:space="0" w:color="999999"/>
            </w:tcBorders>
            <w:shd w:val="clear" w:color="auto" w:fill="C2D69B"/>
            <w:noWrap/>
            <w:vAlign w:val="center"/>
          </w:tcPr>
          <w:p w14:paraId="7625C9DA" w14:textId="77777777"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ARGENTINA</w:t>
            </w:r>
          </w:p>
          <w:p w14:paraId="22BDA5AF" w14:textId="77777777" w:rsidR="00AA6E02" w:rsidRDefault="00AA6E02">
            <w:pPr>
              <w:spacing w:after="0"/>
              <w:jc w:val="center"/>
              <w:rPr>
                <w:rFonts w:ascii="Times New Roman" w:eastAsia="Calibri" w:hAnsi="Times New Roman" w:cs="Times New Roman"/>
                <w:bCs/>
                <w:iCs/>
                <w:sz w:val="20"/>
                <w:szCs w:val="20"/>
                <w:lang w:val="es-ES" w:eastAsia="pt-BR"/>
              </w:rPr>
            </w:pPr>
          </w:p>
          <w:p w14:paraId="6089FD38" w14:textId="77777777" w:rsidR="00AA6E02" w:rsidRDefault="00AA6E02">
            <w:pPr>
              <w:spacing w:after="0"/>
              <w:jc w:val="center"/>
              <w:rPr>
                <w:rFonts w:ascii="Times New Roman" w:eastAsia="Calibri" w:hAnsi="Times New Roman" w:cs="Times New Roman"/>
                <w:bCs/>
                <w:iCs/>
                <w:sz w:val="20"/>
                <w:szCs w:val="20"/>
                <w:lang w:val="es-ES" w:eastAsia="pt-BR"/>
              </w:rPr>
            </w:pPr>
          </w:p>
          <w:p w14:paraId="28C43499" w14:textId="77777777" w:rsidR="00AA6E02" w:rsidRDefault="00AA6E02">
            <w:pPr>
              <w:spacing w:after="0"/>
              <w:jc w:val="center"/>
              <w:rPr>
                <w:rFonts w:ascii="Times New Roman" w:eastAsia="Calibri" w:hAnsi="Times New Roman" w:cs="Times New Roman"/>
                <w:bCs/>
                <w:iCs/>
                <w:sz w:val="20"/>
                <w:szCs w:val="20"/>
                <w:lang w:val="es-ES" w:eastAsia="pt-BR"/>
              </w:rPr>
            </w:pPr>
          </w:p>
          <w:p w14:paraId="0A22909A" w14:textId="77777777" w:rsidR="00AA6E02" w:rsidRDefault="00AA6E02">
            <w:pPr>
              <w:spacing w:after="0"/>
              <w:jc w:val="center"/>
              <w:rPr>
                <w:rFonts w:ascii="Times New Roman" w:eastAsia="Calibri" w:hAnsi="Times New Roman" w:cs="Times New Roman"/>
                <w:bCs/>
                <w:iCs/>
                <w:sz w:val="20"/>
                <w:szCs w:val="20"/>
                <w:lang w:val="es-ES" w:eastAsia="pt-BR"/>
              </w:rPr>
            </w:pPr>
          </w:p>
        </w:tc>
        <w:tc>
          <w:tcPr>
            <w:tcW w:w="1418"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6B120E34"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RA-0</w:t>
            </w:r>
          </w:p>
        </w:tc>
        <w:tc>
          <w:tcPr>
            <w:tcW w:w="1083"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2EB7CBD1"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5C12CC31"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0,001</w:t>
            </w:r>
          </w:p>
        </w:tc>
        <w:tc>
          <w:tcPr>
            <w:tcW w:w="1600"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583067A4"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19,8</w:t>
            </w:r>
          </w:p>
        </w:tc>
        <w:tc>
          <w:tcPr>
            <w:tcW w:w="1113"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5404D15F"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16</w:t>
            </w:r>
          </w:p>
        </w:tc>
        <w:tc>
          <w:tcPr>
            <w:tcW w:w="1930" w:type="dxa"/>
            <w:tcBorders>
              <w:top w:val="single" w:sz="4" w:space="0" w:color="auto"/>
              <w:left w:val="single" w:sz="4" w:space="0" w:color="999999"/>
              <w:bottom w:val="single" w:sz="4" w:space="0" w:color="999999"/>
              <w:right w:val="single" w:sz="8" w:space="0" w:color="auto"/>
            </w:tcBorders>
            <w:shd w:val="clear" w:color="auto" w:fill="FFFFFF"/>
            <w:noWrap/>
            <w:vAlign w:val="center"/>
            <w:hideMark/>
          </w:tcPr>
          <w:p w14:paraId="57E11EB3" w14:textId="31B0478C"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Universidad</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de</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Córdoba</w:t>
            </w:r>
          </w:p>
        </w:tc>
      </w:tr>
      <w:tr w:rsidR="00AA6E02" w14:paraId="424AB45D" w14:textId="77777777" w:rsidTr="00AA6E02">
        <w:trPr>
          <w:trHeight w:val="529"/>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71849AA1"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072CF685"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RA-1</w:t>
            </w:r>
          </w:p>
        </w:tc>
        <w:tc>
          <w:tcPr>
            <w:tcW w:w="1083"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62FA12AC"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2EAB3FD4"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40</w:t>
            </w:r>
          </w:p>
        </w:tc>
        <w:tc>
          <w:tcPr>
            <w:tcW w:w="1600"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7ABC7EB4"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19,8</w:t>
            </w:r>
          </w:p>
        </w:tc>
        <w:tc>
          <w:tcPr>
            <w:tcW w:w="1113"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2C55C5AA"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N/D</w:t>
            </w:r>
          </w:p>
        </w:tc>
        <w:tc>
          <w:tcPr>
            <w:tcW w:w="1930" w:type="dxa"/>
            <w:tcBorders>
              <w:top w:val="single" w:sz="4" w:space="0" w:color="999999"/>
              <w:left w:val="single" w:sz="4" w:space="0" w:color="999999"/>
              <w:bottom w:val="single" w:sz="4" w:space="0" w:color="999999"/>
              <w:right w:val="single" w:sz="8" w:space="0" w:color="auto"/>
            </w:tcBorders>
            <w:shd w:val="clear" w:color="auto" w:fill="FFFFFF"/>
            <w:noWrap/>
            <w:vAlign w:val="center"/>
            <w:hideMark/>
          </w:tcPr>
          <w:p w14:paraId="718CD16A" w14:textId="2B187FD0"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CNEA,</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Buenos</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Aires</w:t>
            </w:r>
          </w:p>
        </w:tc>
      </w:tr>
      <w:tr w:rsidR="00AA6E02" w14:paraId="584AAB99" w14:textId="77777777" w:rsidTr="00AA6E02">
        <w:trPr>
          <w:trHeight w:val="234"/>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46F61A25"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6A55C66B"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RA-3</w:t>
            </w:r>
          </w:p>
        </w:tc>
        <w:tc>
          <w:tcPr>
            <w:tcW w:w="1083"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77A9F3EC"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4DFFAB01"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10000</w:t>
            </w:r>
          </w:p>
        </w:tc>
        <w:tc>
          <w:tcPr>
            <w:tcW w:w="1600"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64503262"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19,7</w:t>
            </w:r>
          </w:p>
        </w:tc>
        <w:tc>
          <w:tcPr>
            <w:tcW w:w="1113"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73A9BE74"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266</w:t>
            </w:r>
          </w:p>
        </w:tc>
        <w:tc>
          <w:tcPr>
            <w:tcW w:w="1930" w:type="dxa"/>
            <w:tcBorders>
              <w:top w:val="single" w:sz="4" w:space="0" w:color="999999"/>
              <w:left w:val="single" w:sz="4" w:space="0" w:color="999999"/>
              <w:bottom w:val="single" w:sz="4" w:space="0" w:color="999999"/>
              <w:right w:val="single" w:sz="8" w:space="0" w:color="auto"/>
            </w:tcBorders>
            <w:shd w:val="clear" w:color="auto" w:fill="FFFFFF"/>
            <w:noWrap/>
            <w:vAlign w:val="center"/>
            <w:hideMark/>
          </w:tcPr>
          <w:p w14:paraId="51FC54B6" w14:textId="68B1A46E"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CNEA,</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Ezeiza</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Buenos</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Aires</w:t>
            </w:r>
          </w:p>
        </w:tc>
      </w:tr>
      <w:tr w:rsidR="00AA6E02" w14:paraId="4F8328E2" w14:textId="77777777" w:rsidTr="00AA6E02">
        <w:trPr>
          <w:trHeight w:val="234"/>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43A5F27C"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50545A16"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RA-4</w:t>
            </w:r>
          </w:p>
        </w:tc>
        <w:tc>
          <w:tcPr>
            <w:tcW w:w="1083"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4F10CC11"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52718C5B"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0,001</w:t>
            </w:r>
          </w:p>
        </w:tc>
        <w:tc>
          <w:tcPr>
            <w:tcW w:w="1600"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69225347"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19,8</w:t>
            </w:r>
          </w:p>
        </w:tc>
        <w:tc>
          <w:tcPr>
            <w:tcW w:w="1113"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64E1AAED"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16</w:t>
            </w:r>
          </w:p>
        </w:tc>
        <w:tc>
          <w:tcPr>
            <w:tcW w:w="1930" w:type="dxa"/>
            <w:tcBorders>
              <w:top w:val="single" w:sz="4" w:space="0" w:color="999999"/>
              <w:left w:val="single" w:sz="4" w:space="0" w:color="999999"/>
              <w:bottom w:val="single" w:sz="4" w:space="0" w:color="999999"/>
              <w:right w:val="single" w:sz="8" w:space="0" w:color="auto"/>
            </w:tcBorders>
            <w:shd w:val="clear" w:color="auto" w:fill="FFFFFF"/>
            <w:noWrap/>
            <w:vAlign w:val="center"/>
            <w:hideMark/>
          </w:tcPr>
          <w:p w14:paraId="406721A9" w14:textId="648230DE"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Universidad</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de</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Rosario</w:t>
            </w:r>
          </w:p>
        </w:tc>
      </w:tr>
      <w:tr w:rsidR="00AA6E02" w14:paraId="1FE50EB5" w14:textId="77777777" w:rsidTr="00AA6E02">
        <w:trPr>
          <w:trHeight w:val="234"/>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75C453CB"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07CF8FF4"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RA-6</w:t>
            </w:r>
          </w:p>
        </w:tc>
        <w:tc>
          <w:tcPr>
            <w:tcW w:w="1083"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40D24B33"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5E9BA8E9"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500</w:t>
            </w:r>
          </w:p>
        </w:tc>
        <w:tc>
          <w:tcPr>
            <w:tcW w:w="1600"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14ABD421"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19,75</w:t>
            </w:r>
          </w:p>
        </w:tc>
        <w:tc>
          <w:tcPr>
            <w:tcW w:w="1113" w:type="dxa"/>
            <w:tcBorders>
              <w:top w:val="single" w:sz="4" w:space="0" w:color="999999"/>
              <w:left w:val="single" w:sz="4" w:space="0" w:color="999999"/>
              <w:bottom w:val="single" w:sz="4" w:space="0" w:color="999999"/>
              <w:right w:val="single" w:sz="4" w:space="0" w:color="999999"/>
            </w:tcBorders>
            <w:shd w:val="clear" w:color="auto" w:fill="FFFFFF"/>
            <w:noWrap/>
            <w:vAlign w:val="center"/>
            <w:hideMark/>
          </w:tcPr>
          <w:p w14:paraId="1EF5B588"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180</w:t>
            </w:r>
          </w:p>
        </w:tc>
        <w:tc>
          <w:tcPr>
            <w:tcW w:w="1930" w:type="dxa"/>
            <w:tcBorders>
              <w:top w:val="single" w:sz="4" w:space="0" w:color="999999"/>
              <w:left w:val="single" w:sz="4" w:space="0" w:color="999999"/>
              <w:bottom w:val="single" w:sz="4" w:space="0" w:color="999999"/>
              <w:right w:val="single" w:sz="8" w:space="0" w:color="auto"/>
            </w:tcBorders>
            <w:shd w:val="clear" w:color="auto" w:fill="FFFFFF"/>
            <w:noWrap/>
            <w:vAlign w:val="center"/>
            <w:hideMark/>
          </w:tcPr>
          <w:p w14:paraId="5341D714" w14:textId="633B8A83"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CNEA,</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S.</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Carlos</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de</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Bariloche</w:t>
            </w:r>
          </w:p>
        </w:tc>
      </w:tr>
      <w:tr w:rsidR="00AA6E02" w14:paraId="1CD59301" w14:textId="77777777" w:rsidTr="00AA6E02">
        <w:trPr>
          <w:trHeight w:val="385"/>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3171F392"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4" w:space="0" w:color="auto"/>
              <w:right w:val="single" w:sz="4" w:space="0" w:color="999999"/>
            </w:tcBorders>
            <w:shd w:val="clear" w:color="auto" w:fill="FFFFFF"/>
            <w:noWrap/>
            <w:vAlign w:val="center"/>
            <w:hideMark/>
          </w:tcPr>
          <w:p w14:paraId="7B99FC41"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RA-8</w:t>
            </w:r>
          </w:p>
        </w:tc>
        <w:tc>
          <w:tcPr>
            <w:tcW w:w="1083" w:type="dxa"/>
            <w:tcBorders>
              <w:top w:val="single" w:sz="4" w:space="0" w:color="999999"/>
              <w:left w:val="single" w:sz="4" w:space="0" w:color="999999"/>
              <w:bottom w:val="single" w:sz="4" w:space="0" w:color="auto"/>
              <w:right w:val="single" w:sz="4" w:space="0" w:color="999999"/>
            </w:tcBorders>
            <w:shd w:val="clear" w:color="auto" w:fill="FFFFFF"/>
            <w:noWrap/>
            <w:vAlign w:val="center"/>
            <w:hideMark/>
          </w:tcPr>
          <w:p w14:paraId="5D6F501C"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auto"/>
              <w:right w:val="single" w:sz="4" w:space="0" w:color="999999"/>
            </w:tcBorders>
            <w:shd w:val="clear" w:color="auto" w:fill="FFFFFF"/>
            <w:noWrap/>
            <w:vAlign w:val="center"/>
            <w:hideMark/>
          </w:tcPr>
          <w:p w14:paraId="12611DD0"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0.01-0.1</w:t>
            </w:r>
          </w:p>
        </w:tc>
        <w:tc>
          <w:tcPr>
            <w:tcW w:w="1600" w:type="dxa"/>
            <w:tcBorders>
              <w:top w:val="single" w:sz="4" w:space="0" w:color="999999"/>
              <w:left w:val="single" w:sz="4" w:space="0" w:color="999999"/>
              <w:bottom w:val="single" w:sz="4" w:space="0" w:color="auto"/>
              <w:right w:val="single" w:sz="4" w:space="0" w:color="999999"/>
            </w:tcBorders>
            <w:shd w:val="clear" w:color="auto" w:fill="FFFFFF"/>
            <w:noWrap/>
            <w:vAlign w:val="center"/>
            <w:hideMark/>
          </w:tcPr>
          <w:p w14:paraId="32C16DA9"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1,8-4,3</w:t>
            </w:r>
          </w:p>
        </w:tc>
        <w:tc>
          <w:tcPr>
            <w:tcW w:w="1113" w:type="dxa"/>
            <w:tcBorders>
              <w:top w:val="single" w:sz="4" w:space="0" w:color="999999"/>
              <w:left w:val="single" w:sz="4" w:space="0" w:color="999999"/>
              <w:bottom w:val="single" w:sz="4" w:space="0" w:color="auto"/>
              <w:right w:val="single" w:sz="4" w:space="0" w:color="999999"/>
            </w:tcBorders>
            <w:shd w:val="clear" w:color="auto" w:fill="FFFFFF"/>
            <w:noWrap/>
            <w:vAlign w:val="center"/>
            <w:hideMark/>
          </w:tcPr>
          <w:p w14:paraId="4198AF9B"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w:t>
            </w:r>
          </w:p>
        </w:tc>
        <w:tc>
          <w:tcPr>
            <w:tcW w:w="1930" w:type="dxa"/>
            <w:tcBorders>
              <w:top w:val="single" w:sz="4" w:space="0" w:color="999999"/>
              <w:left w:val="single" w:sz="4" w:space="0" w:color="999999"/>
              <w:bottom w:val="single" w:sz="4" w:space="0" w:color="auto"/>
              <w:right w:val="single" w:sz="8" w:space="0" w:color="auto"/>
            </w:tcBorders>
            <w:shd w:val="clear" w:color="auto" w:fill="FFFFFF"/>
            <w:noWrap/>
            <w:vAlign w:val="center"/>
            <w:hideMark/>
          </w:tcPr>
          <w:p w14:paraId="1995A487" w14:textId="7B67A3B6"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CNEA,</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Pilcaniyeu,</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Río</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Negro</w:t>
            </w:r>
          </w:p>
        </w:tc>
      </w:tr>
      <w:tr w:rsidR="00AA6E02" w:rsidRPr="00851F36" w14:paraId="1D328FBE" w14:textId="77777777" w:rsidTr="00AA6E02">
        <w:trPr>
          <w:trHeight w:val="234"/>
          <w:jc w:val="center"/>
        </w:trPr>
        <w:tc>
          <w:tcPr>
            <w:tcW w:w="1476" w:type="dxa"/>
            <w:vMerge w:val="restart"/>
            <w:tcBorders>
              <w:top w:val="single" w:sz="4" w:space="0" w:color="auto"/>
              <w:left w:val="single" w:sz="8" w:space="0" w:color="auto"/>
              <w:bottom w:val="single" w:sz="4" w:space="0" w:color="auto"/>
              <w:right w:val="single" w:sz="4" w:space="0" w:color="999999"/>
            </w:tcBorders>
            <w:shd w:val="clear" w:color="auto" w:fill="C2D69B"/>
            <w:noWrap/>
            <w:vAlign w:val="center"/>
          </w:tcPr>
          <w:p w14:paraId="48755D89" w14:textId="77777777"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BRASIL</w:t>
            </w:r>
          </w:p>
          <w:p w14:paraId="5992383F" w14:textId="77777777" w:rsidR="00AA6E02" w:rsidRDefault="00AA6E02">
            <w:pPr>
              <w:spacing w:after="0"/>
              <w:jc w:val="center"/>
              <w:rPr>
                <w:rFonts w:ascii="Times New Roman" w:eastAsia="Calibri" w:hAnsi="Times New Roman" w:cs="Times New Roman"/>
                <w:bCs/>
                <w:iCs/>
                <w:sz w:val="20"/>
                <w:szCs w:val="20"/>
                <w:lang w:val="es-ES" w:eastAsia="pt-BR"/>
              </w:rPr>
            </w:pPr>
          </w:p>
          <w:p w14:paraId="59849CCE" w14:textId="77777777" w:rsidR="00AA6E02" w:rsidRDefault="00AA6E02">
            <w:pPr>
              <w:spacing w:after="0"/>
              <w:jc w:val="center"/>
              <w:rPr>
                <w:rFonts w:ascii="Times New Roman" w:eastAsia="Calibri" w:hAnsi="Times New Roman" w:cs="Times New Roman"/>
                <w:bCs/>
                <w:iCs/>
                <w:sz w:val="20"/>
                <w:szCs w:val="20"/>
                <w:lang w:val="es-ES" w:eastAsia="pt-BR"/>
              </w:rPr>
            </w:pPr>
          </w:p>
        </w:tc>
        <w:tc>
          <w:tcPr>
            <w:tcW w:w="1418" w:type="dxa"/>
            <w:tcBorders>
              <w:top w:val="single" w:sz="4" w:space="0" w:color="auto"/>
              <w:left w:val="single" w:sz="4" w:space="0" w:color="999999"/>
              <w:bottom w:val="single" w:sz="4" w:space="0" w:color="999999"/>
              <w:right w:val="single" w:sz="4" w:space="0" w:color="999999"/>
            </w:tcBorders>
            <w:noWrap/>
            <w:vAlign w:val="center"/>
            <w:hideMark/>
          </w:tcPr>
          <w:p w14:paraId="4F807575"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ARGONAUTA</w:t>
            </w:r>
          </w:p>
        </w:tc>
        <w:tc>
          <w:tcPr>
            <w:tcW w:w="1083" w:type="dxa"/>
            <w:tcBorders>
              <w:top w:val="single" w:sz="4" w:space="0" w:color="auto"/>
              <w:left w:val="single" w:sz="4" w:space="0" w:color="999999"/>
              <w:bottom w:val="single" w:sz="4" w:space="0" w:color="999999"/>
              <w:right w:val="single" w:sz="4" w:space="0" w:color="999999"/>
            </w:tcBorders>
            <w:noWrap/>
            <w:vAlign w:val="center"/>
            <w:hideMark/>
          </w:tcPr>
          <w:p w14:paraId="0E26F58E"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auto"/>
              <w:left w:val="single" w:sz="4" w:space="0" w:color="999999"/>
              <w:bottom w:val="single" w:sz="4" w:space="0" w:color="999999"/>
              <w:right w:val="single" w:sz="4" w:space="0" w:color="999999"/>
            </w:tcBorders>
            <w:noWrap/>
            <w:vAlign w:val="center"/>
            <w:hideMark/>
          </w:tcPr>
          <w:p w14:paraId="07A6F938" w14:textId="106E06BC"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0,5</w:t>
            </w:r>
            <w:r w:rsidR="00D136BB">
              <w:rPr>
                <w:rFonts w:ascii="Times New Roman" w:eastAsia="Calibri" w:hAnsi="Times New Roman" w:cs="Times New Roman"/>
                <w:bCs/>
                <w:sz w:val="20"/>
                <w:szCs w:val="20"/>
                <w:lang w:val="es-ES" w:eastAsia="pt-BR"/>
              </w:rPr>
              <w:t xml:space="preserve"> </w:t>
            </w:r>
            <w:r>
              <w:rPr>
                <w:rFonts w:ascii="Times New Roman" w:eastAsia="Calibri" w:hAnsi="Times New Roman" w:cs="Times New Roman"/>
                <w:bCs/>
                <w:sz w:val="20"/>
                <w:szCs w:val="20"/>
                <w:lang w:val="es-ES" w:eastAsia="pt-BR"/>
              </w:rPr>
              <w:t>-</w:t>
            </w:r>
            <w:r w:rsidR="00D136BB">
              <w:rPr>
                <w:rFonts w:ascii="Times New Roman" w:eastAsia="Calibri" w:hAnsi="Times New Roman" w:cs="Times New Roman"/>
                <w:bCs/>
                <w:sz w:val="20"/>
                <w:szCs w:val="20"/>
                <w:lang w:val="es-ES" w:eastAsia="pt-BR"/>
              </w:rPr>
              <w:t xml:space="preserve"> </w:t>
            </w:r>
            <w:r>
              <w:rPr>
                <w:rFonts w:ascii="Times New Roman" w:eastAsia="Calibri" w:hAnsi="Times New Roman" w:cs="Times New Roman"/>
                <w:bCs/>
                <w:sz w:val="20"/>
                <w:szCs w:val="20"/>
                <w:lang w:val="es-ES" w:eastAsia="pt-BR"/>
              </w:rPr>
              <w:t>5</w:t>
            </w:r>
          </w:p>
        </w:tc>
        <w:tc>
          <w:tcPr>
            <w:tcW w:w="1600" w:type="dxa"/>
            <w:tcBorders>
              <w:top w:val="single" w:sz="4" w:space="0" w:color="auto"/>
              <w:left w:val="single" w:sz="4" w:space="0" w:color="999999"/>
              <w:bottom w:val="single" w:sz="4" w:space="0" w:color="999999"/>
              <w:right w:val="single" w:sz="4" w:space="0" w:color="999999"/>
            </w:tcBorders>
            <w:noWrap/>
            <w:vAlign w:val="center"/>
            <w:hideMark/>
          </w:tcPr>
          <w:p w14:paraId="2BB38866"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19,9</w:t>
            </w:r>
          </w:p>
        </w:tc>
        <w:tc>
          <w:tcPr>
            <w:tcW w:w="1113" w:type="dxa"/>
            <w:tcBorders>
              <w:top w:val="single" w:sz="4" w:space="0" w:color="auto"/>
              <w:left w:val="single" w:sz="4" w:space="0" w:color="999999"/>
              <w:bottom w:val="single" w:sz="4" w:space="0" w:color="999999"/>
              <w:right w:val="single" w:sz="4" w:space="0" w:color="999999"/>
            </w:tcBorders>
            <w:noWrap/>
            <w:vAlign w:val="center"/>
            <w:hideMark/>
          </w:tcPr>
          <w:p w14:paraId="21848D98"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N/D</w:t>
            </w:r>
          </w:p>
        </w:tc>
        <w:tc>
          <w:tcPr>
            <w:tcW w:w="1930" w:type="dxa"/>
            <w:tcBorders>
              <w:top w:val="single" w:sz="4" w:space="0" w:color="auto"/>
              <w:left w:val="single" w:sz="4" w:space="0" w:color="999999"/>
              <w:bottom w:val="single" w:sz="4" w:space="0" w:color="999999"/>
              <w:right w:val="single" w:sz="8" w:space="0" w:color="auto"/>
            </w:tcBorders>
            <w:noWrap/>
            <w:vAlign w:val="center"/>
            <w:hideMark/>
          </w:tcPr>
          <w:p w14:paraId="7538C034" w14:textId="3D70C2AF" w:rsidR="00AA6E02" w:rsidRDefault="00AA6E02">
            <w:pPr>
              <w:spacing w:after="0"/>
              <w:jc w:val="center"/>
              <w:rPr>
                <w:rFonts w:ascii="Times New Roman" w:eastAsia="Calibri" w:hAnsi="Times New Roman" w:cs="Times New Roman"/>
                <w:bCs/>
                <w:iCs/>
                <w:sz w:val="20"/>
                <w:szCs w:val="20"/>
                <w:lang w:val="pt-BR" w:eastAsia="pt-BR"/>
              </w:rPr>
            </w:pPr>
            <w:r>
              <w:rPr>
                <w:rFonts w:ascii="Times New Roman" w:eastAsia="Calibri" w:hAnsi="Times New Roman" w:cs="Times New Roman"/>
                <w:bCs/>
                <w:iCs/>
                <w:sz w:val="20"/>
                <w:szCs w:val="20"/>
                <w:lang w:val="pt-BR" w:eastAsia="pt-BR"/>
              </w:rPr>
              <w:t>IEN-CNEN,</w:t>
            </w:r>
            <w:r w:rsidR="00D136BB">
              <w:rPr>
                <w:rFonts w:ascii="Times New Roman" w:eastAsia="Calibri" w:hAnsi="Times New Roman" w:cs="Times New Roman"/>
                <w:bCs/>
                <w:iCs/>
                <w:sz w:val="20"/>
                <w:szCs w:val="20"/>
                <w:lang w:val="pt-BR" w:eastAsia="pt-BR"/>
              </w:rPr>
              <w:t xml:space="preserve"> </w:t>
            </w:r>
            <w:r>
              <w:rPr>
                <w:rFonts w:ascii="Times New Roman" w:eastAsia="Calibri" w:hAnsi="Times New Roman" w:cs="Times New Roman"/>
                <w:bCs/>
                <w:iCs/>
                <w:sz w:val="20"/>
                <w:szCs w:val="20"/>
                <w:lang w:val="pt-BR" w:eastAsia="pt-BR"/>
              </w:rPr>
              <w:t>Rio</w:t>
            </w:r>
            <w:r w:rsidR="00D136BB">
              <w:rPr>
                <w:rFonts w:ascii="Times New Roman" w:eastAsia="Calibri" w:hAnsi="Times New Roman" w:cs="Times New Roman"/>
                <w:bCs/>
                <w:iCs/>
                <w:sz w:val="20"/>
                <w:szCs w:val="20"/>
                <w:lang w:val="pt-BR" w:eastAsia="pt-BR"/>
              </w:rPr>
              <w:t xml:space="preserve"> </w:t>
            </w:r>
            <w:r>
              <w:rPr>
                <w:rFonts w:ascii="Times New Roman" w:eastAsia="Calibri" w:hAnsi="Times New Roman" w:cs="Times New Roman"/>
                <w:bCs/>
                <w:iCs/>
                <w:sz w:val="20"/>
                <w:szCs w:val="20"/>
                <w:lang w:val="pt-BR" w:eastAsia="pt-BR"/>
              </w:rPr>
              <w:t>de</w:t>
            </w:r>
            <w:r w:rsidR="00D136BB">
              <w:rPr>
                <w:rFonts w:ascii="Times New Roman" w:eastAsia="Calibri" w:hAnsi="Times New Roman" w:cs="Times New Roman"/>
                <w:bCs/>
                <w:iCs/>
                <w:sz w:val="20"/>
                <w:szCs w:val="20"/>
                <w:lang w:val="pt-BR" w:eastAsia="pt-BR"/>
              </w:rPr>
              <w:t xml:space="preserve"> </w:t>
            </w:r>
            <w:r>
              <w:rPr>
                <w:rFonts w:ascii="Times New Roman" w:eastAsia="Calibri" w:hAnsi="Times New Roman" w:cs="Times New Roman"/>
                <w:bCs/>
                <w:iCs/>
                <w:sz w:val="20"/>
                <w:szCs w:val="20"/>
                <w:lang w:val="pt-BR" w:eastAsia="pt-BR"/>
              </w:rPr>
              <w:t>Janeiro</w:t>
            </w:r>
          </w:p>
        </w:tc>
      </w:tr>
      <w:tr w:rsidR="00AA6E02" w14:paraId="6517D2E8" w14:textId="77777777" w:rsidTr="00AA6E02">
        <w:trPr>
          <w:trHeight w:val="234"/>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37C12173" w14:textId="77777777" w:rsidR="00AA6E02" w:rsidRPr="006C45C9" w:rsidRDefault="00AA6E02">
            <w:pPr>
              <w:spacing w:after="0" w:line="256" w:lineRule="auto"/>
              <w:rPr>
                <w:rFonts w:ascii="Times New Roman" w:eastAsia="Calibri" w:hAnsi="Times New Roman" w:cs="Times New Roman"/>
                <w:bCs/>
                <w:iCs/>
                <w:sz w:val="20"/>
                <w:szCs w:val="20"/>
                <w:lang w:val="pt-BR" w:eastAsia="pt-BR"/>
              </w:rPr>
            </w:pPr>
          </w:p>
        </w:tc>
        <w:tc>
          <w:tcPr>
            <w:tcW w:w="1418" w:type="dxa"/>
            <w:tcBorders>
              <w:top w:val="single" w:sz="4" w:space="0" w:color="999999"/>
              <w:left w:val="single" w:sz="4" w:space="0" w:color="999999"/>
              <w:bottom w:val="single" w:sz="4" w:space="0" w:color="999999"/>
              <w:right w:val="single" w:sz="4" w:space="0" w:color="999999"/>
            </w:tcBorders>
            <w:noWrap/>
            <w:vAlign w:val="center"/>
            <w:hideMark/>
          </w:tcPr>
          <w:p w14:paraId="072CFFD0"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IEA-R1</w:t>
            </w:r>
          </w:p>
        </w:tc>
        <w:tc>
          <w:tcPr>
            <w:tcW w:w="1083" w:type="dxa"/>
            <w:tcBorders>
              <w:top w:val="single" w:sz="4" w:space="0" w:color="999999"/>
              <w:left w:val="single" w:sz="4" w:space="0" w:color="999999"/>
              <w:bottom w:val="single" w:sz="4" w:space="0" w:color="999999"/>
              <w:right w:val="single" w:sz="4" w:space="0" w:color="999999"/>
            </w:tcBorders>
            <w:noWrap/>
            <w:vAlign w:val="center"/>
            <w:hideMark/>
          </w:tcPr>
          <w:p w14:paraId="645E8987"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999999"/>
              <w:right w:val="single" w:sz="4" w:space="0" w:color="999999"/>
            </w:tcBorders>
            <w:noWrap/>
            <w:vAlign w:val="center"/>
            <w:hideMark/>
          </w:tcPr>
          <w:p w14:paraId="19CEFE60"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2000-5000</w:t>
            </w:r>
          </w:p>
        </w:tc>
        <w:tc>
          <w:tcPr>
            <w:tcW w:w="1600" w:type="dxa"/>
            <w:tcBorders>
              <w:top w:val="single" w:sz="4" w:space="0" w:color="999999"/>
              <w:left w:val="single" w:sz="4" w:space="0" w:color="999999"/>
              <w:bottom w:val="single" w:sz="4" w:space="0" w:color="999999"/>
              <w:right w:val="single" w:sz="4" w:space="0" w:color="999999"/>
            </w:tcBorders>
            <w:noWrap/>
            <w:vAlign w:val="center"/>
            <w:hideMark/>
          </w:tcPr>
          <w:p w14:paraId="350165CB"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19,9</w:t>
            </w:r>
          </w:p>
        </w:tc>
        <w:tc>
          <w:tcPr>
            <w:tcW w:w="1113" w:type="dxa"/>
            <w:tcBorders>
              <w:top w:val="single" w:sz="4" w:space="0" w:color="999999"/>
              <w:left w:val="single" w:sz="4" w:space="0" w:color="999999"/>
              <w:bottom w:val="single" w:sz="4" w:space="0" w:color="999999"/>
              <w:right w:val="single" w:sz="4" w:space="0" w:color="999999"/>
            </w:tcBorders>
            <w:noWrap/>
            <w:vAlign w:val="center"/>
            <w:hideMark/>
          </w:tcPr>
          <w:p w14:paraId="11AAEA13"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256</w:t>
            </w:r>
          </w:p>
        </w:tc>
        <w:tc>
          <w:tcPr>
            <w:tcW w:w="1930" w:type="dxa"/>
            <w:tcBorders>
              <w:top w:val="single" w:sz="4" w:space="0" w:color="999999"/>
              <w:left w:val="single" w:sz="4" w:space="0" w:color="999999"/>
              <w:bottom w:val="single" w:sz="4" w:space="0" w:color="999999"/>
              <w:right w:val="single" w:sz="8" w:space="0" w:color="auto"/>
            </w:tcBorders>
            <w:noWrap/>
            <w:vAlign w:val="center"/>
            <w:hideMark/>
          </w:tcPr>
          <w:p w14:paraId="64E29FC2" w14:textId="5F2801C0"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IPEN-CNEN,</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Sao</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Paulo</w:t>
            </w:r>
          </w:p>
        </w:tc>
      </w:tr>
      <w:tr w:rsidR="00AA6E02" w14:paraId="7463C055" w14:textId="77777777" w:rsidTr="00AA6E02">
        <w:trPr>
          <w:trHeight w:val="234"/>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5E02EAAB"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4" w:space="0" w:color="999999"/>
              <w:right w:val="single" w:sz="4" w:space="0" w:color="999999"/>
            </w:tcBorders>
            <w:noWrap/>
            <w:vAlign w:val="center"/>
            <w:hideMark/>
          </w:tcPr>
          <w:p w14:paraId="30F17A8A"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MB-01</w:t>
            </w:r>
          </w:p>
        </w:tc>
        <w:tc>
          <w:tcPr>
            <w:tcW w:w="1083" w:type="dxa"/>
            <w:tcBorders>
              <w:top w:val="single" w:sz="4" w:space="0" w:color="999999"/>
              <w:left w:val="single" w:sz="4" w:space="0" w:color="999999"/>
              <w:bottom w:val="single" w:sz="4" w:space="0" w:color="999999"/>
              <w:right w:val="single" w:sz="4" w:space="0" w:color="999999"/>
            </w:tcBorders>
            <w:noWrap/>
            <w:vAlign w:val="center"/>
            <w:hideMark/>
          </w:tcPr>
          <w:p w14:paraId="3AF6C07F"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999999"/>
              <w:right w:val="single" w:sz="4" w:space="0" w:color="999999"/>
            </w:tcBorders>
            <w:noWrap/>
            <w:vAlign w:val="center"/>
            <w:hideMark/>
          </w:tcPr>
          <w:p w14:paraId="2743A31A"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0.1</w:t>
            </w:r>
          </w:p>
        </w:tc>
        <w:tc>
          <w:tcPr>
            <w:tcW w:w="1600" w:type="dxa"/>
            <w:tcBorders>
              <w:top w:val="single" w:sz="4" w:space="0" w:color="999999"/>
              <w:left w:val="single" w:sz="4" w:space="0" w:color="999999"/>
              <w:bottom w:val="single" w:sz="4" w:space="0" w:color="999999"/>
              <w:right w:val="single" w:sz="4" w:space="0" w:color="999999"/>
            </w:tcBorders>
            <w:noWrap/>
            <w:vAlign w:val="center"/>
            <w:hideMark/>
          </w:tcPr>
          <w:p w14:paraId="68D4E38D"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4.3</w:t>
            </w:r>
          </w:p>
        </w:tc>
        <w:tc>
          <w:tcPr>
            <w:tcW w:w="1113" w:type="dxa"/>
            <w:tcBorders>
              <w:top w:val="single" w:sz="4" w:space="0" w:color="999999"/>
              <w:left w:val="single" w:sz="4" w:space="0" w:color="999999"/>
              <w:bottom w:val="single" w:sz="4" w:space="0" w:color="999999"/>
              <w:right w:val="single" w:sz="4" w:space="0" w:color="999999"/>
            </w:tcBorders>
            <w:noWrap/>
            <w:vAlign w:val="center"/>
            <w:hideMark/>
          </w:tcPr>
          <w:p w14:paraId="4A2A8086"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N/D</w:t>
            </w:r>
          </w:p>
        </w:tc>
        <w:tc>
          <w:tcPr>
            <w:tcW w:w="1930" w:type="dxa"/>
            <w:tcBorders>
              <w:top w:val="single" w:sz="4" w:space="0" w:color="999999"/>
              <w:left w:val="single" w:sz="4" w:space="0" w:color="999999"/>
              <w:bottom w:val="single" w:sz="4" w:space="0" w:color="999999"/>
              <w:right w:val="single" w:sz="8" w:space="0" w:color="auto"/>
            </w:tcBorders>
            <w:noWrap/>
            <w:vAlign w:val="center"/>
            <w:hideMark/>
          </w:tcPr>
          <w:p w14:paraId="5B916886" w14:textId="39D8870C"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IPEN-CNEN,</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Sao</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Paulo</w:t>
            </w:r>
          </w:p>
        </w:tc>
      </w:tr>
      <w:tr w:rsidR="00AA6E02" w14:paraId="449C1DBD" w14:textId="77777777" w:rsidTr="00AA6E02">
        <w:trPr>
          <w:trHeight w:val="455"/>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31D66D0C"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4" w:space="0" w:color="auto"/>
              <w:right w:val="single" w:sz="4" w:space="0" w:color="999999"/>
            </w:tcBorders>
            <w:noWrap/>
            <w:vAlign w:val="center"/>
            <w:hideMark/>
          </w:tcPr>
          <w:p w14:paraId="0A223C0E"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IPR-R1</w:t>
            </w:r>
          </w:p>
        </w:tc>
        <w:tc>
          <w:tcPr>
            <w:tcW w:w="1083" w:type="dxa"/>
            <w:tcBorders>
              <w:top w:val="single" w:sz="4" w:space="0" w:color="999999"/>
              <w:left w:val="single" w:sz="4" w:space="0" w:color="999999"/>
              <w:bottom w:val="single" w:sz="4" w:space="0" w:color="auto"/>
              <w:right w:val="single" w:sz="4" w:space="0" w:color="999999"/>
            </w:tcBorders>
            <w:noWrap/>
            <w:vAlign w:val="center"/>
            <w:hideMark/>
          </w:tcPr>
          <w:p w14:paraId="5E669EA1"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auto"/>
              <w:right w:val="single" w:sz="4" w:space="0" w:color="999999"/>
            </w:tcBorders>
            <w:noWrap/>
            <w:vAlign w:val="center"/>
            <w:hideMark/>
          </w:tcPr>
          <w:p w14:paraId="21E07383"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250</w:t>
            </w:r>
          </w:p>
        </w:tc>
        <w:tc>
          <w:tcPr>
            <w:tcW w:w="1600" w:type="dxa"/>
            <w:tcBorders>
              <w:top w:val="single" w:sz="4" w:space="0" w:color="999999"/>
              <w:left w:val="single" w:sz="4" w:space="0" w:color="999999"/>
              <w:bottom w:val="single" w:sz="4" w:space="0" w:color="auto"/>
              <w:right w:val="single" w:sz="4" w:space="0" w:color="999999"/>
            </w:tcBorders>
            <w:noWrap/>
            <w:vAlign w:val="center"/>
            <w:hideMark/>
          </w:tcPr>
          <w:p w14:paraId="3ABC2715" w14:textId="1C58BBF6"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Triga</w:t>
            </w:r>
            <w:r w:rsidR="00D136BB">
              <w:rPr>
                <w:rFonts w:ascii="Times New Roman" w:eastAsia="Calibri" w:hAnsi="Times New Roman" w:cs="Times New Roman"/>
                <w:bCs/>
                <w:sz w:val="20"/>
                <w:szCs w:val="20"/>
                <w:lang w:val="es-ES" w:eastAsia="pt-BR"/>
              </w:rPr>
              <w:t xml:space="preserve"> </w:t>
            </w:r>
            <w:r>
              <w:rPr>
                <w:rFonts w:ascii="Times New Roman" w:eastAsia="Calibri" w:hAnsi="Times New Roman" w:cs="Times New Roman"/>
                <w:bCs/>
                <w:sz w:val="20"/>
                <w:szCs w:val="20"/>
                <w:lang w:val="es-ES" w:eastAsia="pt-BR"/>
              </w:rPr>
              <w:t>19,</w:t>
            </w:r>
            <w:r>
              <w:rPr>
                <w:rFonts w:ascii="Times New Roman" w:eastAsia="Calibri" w:hAnsi="Times New Roman" w:cs="Times New Roman"/>
                <w:bCs/>
                <w:i/>
                <w:iCs/>
                <w:sz w:val="20"/>
                <w:szCs w:val="20"/>
                <w:lang w:val="es-ES" w:eastAsia="pt-BR"/>
              </w:rPr>
              <w:t>9</w:t>
            </w:r>
          </w:p>
        </w:tc>
        <w:tc>
          <w:tcPr>
            <w:tcW w:w="1113" w:type="dxa"/>
            <w:tcBorders>
              <w:top w:val="single" w:sz="4" w:space="0" w:color="999999"/>
              <w:left w:val="single" w:sz="4" w:space="0" w:color="999999"/>
              <w:bottom w:val="single" w:sz="4" w:space="0" w:color="auto"/>
              <w:right w:val="single" w:sz="4" w:space="0" w:color="999999"/>
            </w:tcBorders>
            <w:noWrap/>
            <w:vAlign w:val="center"/>
            <w:hideMark/>
          </w:tcPr>
          <w:p w14:paraId="5F3416D6"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N/D</w:t>
            </w:r>
          </w:p>
        </w:tc>
        <w:tc>
          <w:tcPr>
            <w:tcW w:w="1930" w:type="dxa"/>
            <w:tcBorders>
              <w:top w:val="single" w:sz="4" w:space="0" w:color="999999"/>
              <w:left w:val="single" w:sz="4" w:space="0" w:color="999999"/>
              <w:bottom w:val="single" w:sz="4" w:space="0" w:color="auto"/>
              <w:right w:val="single" w:sz="8" w:space="0" w:color="auto"/>
            </w:tcBorders>
            <w:noWrap/>
            <w:vAlign w:val="center"/>
            <w:hideMark/>
          </w:tcPr>
          <w:p w14:paraId="6C5CF126" w14:textId="22D717FB"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CDTN-CNEN,</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Belo</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Horizonte</w:t>
            </w:r>
          </w:p>
        </w:tc>
      </w:tr>
      <w:tr w:rsidR="00AA6E02" w14:paraId="201E3F06" w14:textId="77777777" w:rsidTr="00AA6E02">
        <w:trPr>
          <w:trHeight w:val="234"/>
          <w:jc w:val="center"/>
        </w:trPr>
        <w:tc>
          <w:tcPr>
            <w:tcW w:w="1476" w:type="dxa"/>
            <w:vMerge w:val="restart"/>
            <w:tcBorders>
              <w:top w:val="single" w:sz="4" w:space="0" w:color="auto"/>
              <w:left w:val="single" w:sz="8" w:space="0" w:color="auto"/>
              <w:bottom w:val="single" w:sz="4" w:space="0" w:color="auto"/>
              <w:right w:val="single" w:sz="4" w:space="0" w:color="999999"/>
            </w:tcBorders>
            <w:shd w:val="clear" w:color="auto" w:fill="C2D69B"/>
            <w:noWrap/>
            <w:vAlign w:val="center"/>
          </w:tcPr>
          <w:p w14:paraId="342DBAE5" w14:textId="77777777"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CHILE</w:t>
            </w:r>
          </w:p>
          <w:p w14:paraId="5967B7DC" w14:textId="77777777" w:rsidR="00AA6E02" w:rsidRDefault="00AA6E02">
            <w:pPr>
              <w:jc w:val="center"/>
              <w:rPr>
                <w:rFonts w:ascii="Times New Roman" w:eastAsia="Calibri" w:hAnsi="Times New Roman" w:cs="Times New Roman"/>
                <w:bCs/>
                <w:iCs/>
                <w:sz w:val="20"/>
                <w:szCs w:val="20"/>
                <w:lang w:val="es-ES" w:eastAsia="pt-BR"/>
              </w:rPr>
            </w:pPr>
          </w:p>
        </w:tc>
        <w:tc>
          <w:tcPr>
            <w:tcW w:w="1418" w:type="dxa"/>
            <w:tcBorders>
              <w:top w:val="single" w:sz="4" w:space="0" w:color="auto"/>
              <w:left w:val="single" w:sz="4" w:space="0" w:color="999999"/>
              <w:bottom w:val="single" w:sz="4" w:space="0" w:color="999999"/>
              <w:right w:val="single" w:sz="4" w:space="0" w:color="999999"/>
            </w:tcBorders>
            <w:noWrap/>
            <w:vAlign w:val="center"/>
            <w:hideMark/>
          </w:tcPr>
          <w:p w14:paraId="7B055680"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RECH-1</w:t>
            </w:r>
          </w:p>
        </w:tc>
        <w:tc>
          <w:tcPr>
            <w:tcW w:w="1083" w:type="dxa"/>
            <w:tcBorders>
              <w:top w:val="single" w:sz="4" w:space="0" w:color="auto"/>
              <w:left w:val="single" w:sz="4" w:space="0" w:color="999999"/>
              <w:bottom w:val="single" w:sz="4" w:space="0" w:color="999999"/>
              <w:right w:val="single" w:sz="4" w:space="0" w:color="999999"/>
            </w:tcBorders>
            <w:noWrap/>
            <w:vAlign w:val="center"/>
            <w:hideMark/>
          </w:tcPr>
          <w:p w14:paraId="16D455B4"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auto"/>
              <w:left w:val="single" w:sz="4" w:space="0" w:color="999999"/>
              <w:bottom w:val="single" w:sz="4" w:space="0" w:color="999999"/>
              <w:right w:val="single" w:sz="4" w:space="0" w:color="999999"/>
            </w:tcBorders>
            <w:noWrap/>
            <w:vAlign w:val="center"/>
            <w:hideMark/>
          </w:tcPr>
          <w:p w14:paraId="6AE88EC3"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5000</w:t>
            </w:r>
          </w:p>
        </w:tc>
        <w:tc>
          <w:tcPr>
            <w:tcW w:w="1600" w:type="dxa"/>
            <w:tcBorders>
              <w:top w:val="single" w:sz="4" w:space="0" w:color="auto"/>
              <w:left w:val="single" w:sz="4" w:space="0" w:color="999999"/>
              <w:bottom w:val="single" w:sz="4" w:space="0" w:color="999999"/>
              <w:right w:val="single" w:sz="4" w:space="0" w:color="999999"/>
            </w:tcBorders>
            <w:noWrap/>
            <w:vAlign w:val="center"/>
            <w:hideMark/>
          </w:tcPr>
          <w:p w14:paraId="76B9CDC4"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19,75</w:t>
            </w:r>
          </w:p>
        </w:tc>
        <w:tc>
          <w:tcPr>
            <w:tcW w:w="1113" w:type="dxa"/>
            <w:tcBorders>
              <w:top w:val="single" w:sz="4" w:space="0" w:color="auto"/>
              <w:left w:val="single" w:sz="4" w:space="0" w:color="999999"/>
              <w:bottom w:val="single" w:sz="4" w:space="0" w:color="999999"/>
              <w:right w:val="single" w:sz="4" w:space="0" w:color="999999"/>
            </w:tcBorders>
            <w:noWrap/>
            <w:vAlign w:val="center"/>
            <w:hideMark/>
          </w:tcPr>
          <w:p w14:paraId="5117CD04"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96</w:t>
            </w:r>
          </w:p>
        </w:tc>
        <w:tc>
          <w:tcPr>
            <w:tcW w:w="1930" w:type="dxa"/>
            <w:tcBorders>
              <w:top w:val="single" w:sz="4" w:space="0" w:color="auto"/>
              <w:left w:val="single" w:sz="4" w:space="0" w:color="999999"/>
              <w:bottom w:val="single" w:sz="4" w:space="0" w:color="999999"/>
              <w:right w:val="single" w:sz="8" w:space="0" w:color="auto"/>
            </w:tcBorders>
            <w:noWrap/>
            <w:vAlign w:val="center"/>
            <w:hideMark/>
          </w:tcPr>
          <w:p w14:paraId="1920F330" w14:textId="49704748"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CCHEN-La</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Reina-Santiago</w:t>
            </w:r>
          </w:p>
        </w:tc>
      </w:tr>
      <w:tr w:rsidR="00AA6E02" w14:paraId="5F236226" w14:textId="77777777" w:rsidTr="00AA6E02">
        <w:trPr>
          <w:trHeight w:val="488"/>
          <w:jc w:val="center"/>
        </w:trPr>
        <w:tc>
          <w:tcPr>
            <w:tcW w:w="0" w:type="auto"/>
            <w:vMerge/>
            <w:tcBorders>
              <w:top w:val="single" w:sz="4" w:space="0" w:color="auto"/>
              <w:left w:val="single" w:sz="8" w:space="0" w:color="auto"/>
              <w:bottom w:val="single" w:sz="4" w:space="0" w:color="auto"/>
              <w:right w:val="single" w:sz="4" w:space="0" w:color="999999"/>
            </w:tcBorders>
            <w:vAlign w:val="center"/>
            <w:hideMark/>
          </w:tcPr>
          <w:p w14:paraId="436480B4"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4" w:space="0" w:color="auto"/>
              <w:right w:val="single" w:sz="4" w:space="0" w:color="999999"/>
            </w:tcBorders>
            <w:noWrap/>
            <w:vAlign w:val="center"/>
            <w:hideMark/>
          </w:tcPr>
          <w:p w14:paraId="01AA43B9"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RECH-2</w:t>
            </w:r>
          </w:p>
        </w:tc>
        <w:tc>
          <w:tcPr>
            <w:tcW w:w="1083" w:type="dxa"/>
            <w:tcBorders>
              <w:top w:val="single" w:sz="4" w:space="0" w:color="999999"/>
              <w:left w:val="single" w:sz="4" w:space="0" w:color="999999"/>
              <w:bottom w:val="single" w:sz="4" w:space="0" w:color="auto"/>
              <w:right w:val="single" w:sz="4" w:space="0" w:color="999999"/>
            </w:tcBorders>
            <w:noWrap/>
            <w:vAlign w:val="center"/>
            <w:hideMark/>
          </w:tcPr>
          <w:p w14:paraId="7BF4CADF"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4" w:space="0" w:color="auto"/>
              <w:right w:val="single" w:sz="4" w:space="0" w:color="999999"/>
            </w:tcBorders>
            <w:noWrap/>
            <w:vAlign w:val="center"/>
            <w:hideMark/>
          </w:tcPr>
          <w:p w14:paraId="7917D5D4"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10000-15000</w:t>
            </w:r>
          </w:p>
        </w:tc>
        <w:tc>
          <w:tcPr>
            <w:tcW w:w="1600" w:type="dxa"/>
            <w:tcBorders>
              <w:top w:val="single" w:sz="4" w:space="0" w:color="999999"/>
              <w:left w:val="single" w:sz="4" w:space="0" w:color="999999"/>
              <w:bottom w:val="single" w:sz="4" w:space="0" w:color="auto"/>
              <w:right w:val="single" w:sz="4" w:space="0" w:color="999999"/>
            </w:tcBorders>
            <w:noWrap/>
            <w:vAlign w:val="center"/>
            <w:hideMark/>
          </w:tcPr>
          <w:p w14:paraId="22732552"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19,75</w:t>
            </w:r>
          </w:p>
        </w:tc>
        <w:tc>
          <w:tcPr>
            <w:tcW w:w="1113" w:type="dxa"/>
            <w:tcBorders>
              <w:top w:val="single" w:sz="4" w:space="0" w:color="999999"/>
              <w:left w:val="single" w:sz="4" w:space="0" w:color="999999"/>
              <w:bottom w:val="single" w:sz="4" w:space="0" w:color="auto"/>
              <w:right w:val="single" w:sz="4" w:space="0" w:color="999999"/>
            </w:tcBorders>
            <w:noWrap/>
            <w:vAlign w:val="center"/>
            <w:hideMark/>
          </w:tcPr>
          <w:p w14:paraId="366B85A5"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w:t>
            </w:r>
          </w:p>
        </w:tc>
        <w:tc>
          <w:tcPr>
            <w:tcW w:w="1930" w:type="dxa"/>
            <w:tcBorders>
              <w:top w:val="single" w:sz="4" w:space="0" w:color="999999"/>
              <w:left w:val="single" w:sz="4" w:space="0" w:color="999999"/>
              <w:bottom w:val="single" w:sz="4" w:space="0" w:color="auto"/>
              <w:right w:val="single" w:sz="8" w:space="0" w:color="auto"/>
            </w:tcBorders>
            <w:noWrap/>
            <w:vAlign w:val="center"/>
            <w:hideMark/>
          </w:tcPr>
          <w:p w14:paraId="55F2D006" w14:textId="7E6DDD33"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CCHEN-Lo</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Aguirre-Santiago</w:t>
            </w:r>
          </w:p>
        </w:tc>
      </w:tr>
      <w:tr w:rsidR="00AA6E02" w14:paraId="5A53C9BA" w14:textId="77777777" w:rsidTr="00AA6E02">
        <w:trPr>
          <w:trHeight w:val="601"/>
          <w:jc w:val="center"/>
        </w:trPr>
        <w:tc>
          <w:tcPr>
            <w:tcW w:w="1476" w:type="dxa"/>
            <w:tcBorders>
              <w:top w:val="single" w:sz="4" w:space="0" w:color="auto"/>
              <w:left w:val="single" w:sz="8" w:space="0" w:color="auto"/>
              <w:bottom w:val="single" w:sz="4" w:space="0" w:color="auto"/>
              <w:right w:val="single" w:sz="4" w:space="0" w:color="999999"/>
            </w:tcBorders>
            <w:shd w:val="clear" w:color="auto" w:fill="C2D69B"/>
            <w:noWrap/>
            <w:vAlign w:val="center"/>
          </w:tcPr>
          <w:p w14:paraId="6B794230" w14:textId="77777777"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COLOMBIA</w:t>
            </w:r>
          </w:p>
          <w:p w14:paraId="25ED2B58" w14:textId="77777777" w:rsidR="00AA6E02" w:rsidRDefault="00AA6E02">
            <w:pPr>
              <w:spacing w:after="0"/>
              <w:jc w:val="center"/>
              <w:rPr>
                <w:rFonts w:ascii="Times New Roman" w:eastAsia="Calibri" w:hAnsi="Times New Roman" w:cs="Times New Roman"/>
                <w:bCs/>
                <w:iCs/>
                <w:sz w:val="20"/>
                <w:szCs w:val="20"/>
                <w:lang w:val="es-ES" w:eastAsia="pt-BR"/>
              </w:rPr>
            </w:pPr>
          </w:p>
        </w:tc>
        <w:tc>
          <w:tcPr>
            <w:tcW w:w="1418" w:type="dxa"/>
            <w:tcBorders>
              <w:top w:val="single" w:sz="4" w:space="0" w:color="auto"/>
              <w:left w:val="single" w:sz="4" w:space="0" w:color="999999"/>
              <w:bottom w:val="single" w:sz="4" w:space="0" w:color="auto"/>
              <w:right w:val="single" w:sz="4" w:space="0" w:color="999999"/>
            </w:tcBorders>
            <w:noWrap/>
            <w:vAlign w:val="center"/>
          </w:tcPr>
          <w:p w14:paraId="16A484D8"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IAN-R1</w:t>
            </w:r>
          </w:p>
          <w:p w14:paraId="40891CF3" w14:textId="77777777" w:rsidR="00AA6E02" w:rsidRDefault="00AA6E02">
            <w:pPr>
              <w:spacing w:after="0"/>
              <w:jc w:val="center"/>
              <w:rPr>
                <w:rFonts w:ascii="Times New Roman" w:eastAsia="Calibri" w:hAnsi="Times New Roman" w:cs="Times New Roman"/>
                <w:bCs/>
                <w:i/>
                <w:iCs/>
                <w:sz w:val="20"/>
                <w:szCs w:val="20"/>
                <w:lang w:val="es-ES" w:eastAsia="pt-BR"/>
              </w:rPr>
            </w:pPr>
          </w:p>
        </w:tc>
        <w:tc>
          <w:tcPr>
            <w:tcW w:w="1083" w:type="dxa"/>
            <w:tcBorders>
              <w:top w:val="single" w:sz="4" w:space="0" w:color="auto"/>
              <w:left w:val="single" w:sz="4" w:space="0" w:color="999999"/>
              <w:bottom w:val="single" w:sz="4" w:space="0" w:color="auto"/>
              <w:right w:val="single" w:sz="4" w:space="0" w:color="999999"/>
            </w:tcBorders>
            <w:noWrap/>
            <w:vAlign w:val="center"/>
          </w:tcPr>
          <w:p w14:paraId="67285EE1"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p w14:paraId="12CCDE51" w14:textId="77777777" w:rsidR="00AA6E02" w:rsidRDefault="00AA6E02">
            <w:pPr>
              <w:spacing w:after="0"/>
              <w:jc w:val="center"/>
              <w:rPr>
                <w:rFonts w:ascii="Times New Roman" w:eastAsia="Calibri" w:hAnsi="Times New Roman" w:cs="Times New Roman"/>
                <w:bCs/>
                <w:i/>
                <w:iCs/>
                <w:sz w:val="20"/>
                <w:szCs w:val="20"/>
                <w:lang w:val="es-ES" w:eastAsia="pt-BR"/>
              </w:rPr>
            </w:pPr>
          </w:p>
        </w:tc>
        <w:tc>
          <w:tcPr>
            <w:tcW w:w="1134" w:type="dxa"/>
            <w:tcBorders>
              <w:top w:val="single" w:sz="4" w:space="0" w:color="auto"/>
              <w:left w:val="single" w:sz="4" w:space="0" w:color="999999"/>
              <w:bottom w:val="single" w:sz="4" w:space="0" w:color="auto"/>
              <w:right w:val="single" w:sz="4" w:space="0" w:color="999999"/>
            </w:tcBorders>
            <w:noWrap/>
            <w:vAlign w:val="center"/>
          </w:tcPr>
          <w:p w14:paraId="58799793"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100</w:t>
            </w:r>
          </w:p>
          <w:p w14:paraId="4BB8CD8D" w14:textId="77777777" w:rsidR="00AA6E02" w:rsidRDefault="00AA6E02">
            <w:pPr>
              <w:spacing w:after="0"/>
              <w:jc w:val="center"/>
              <w:rPr>
                <w:rFonts w:ascii="Times New Roman" w:eastAsia="Calibri" w:hAnsi="Times New Roman" w:cs="Times New Roman"/>
                <w:bCs/>
                <w:sz w:val="20"/>
                <w:szCs w:val="20"/>
                <w:lang w:val="es-ES" w:eastAsia="pt-BR"/>
              </w:rPr>
            </w:pPr>
          </w:p>
        </w:tc>
        <w:tc>
          <w:tcPr>
            <w:tcW w:w="1600" w:type="dxa"/>
            <w:tcBorders>
              <w:top w:val="single" w:sz="4" w:space="0" w:color="auto"/>
              <w:left w:val="single" w:sz="4" w:space="0" w:color="999999"/>
              <w:bottom w:val="single" w:sz="4" w:space="0" w:color="auto"/>
              <w:right w:val="single" w:sz="4" w:space="0" w:color="999999"/>
            </w:tcBorders>
            <w:noWrap/>
            <w:vAlign w:val="center"/>
          </w:tcPr>
          <w:p w14:paraId="0BB26A53" w14:textId="4280924E"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Triga</w:t>
            </w:r>
            <w:r w:rsidR="00D136BB">
              <w:rPr>
                <w:rFonts w:ascii="Times New Roman" w:eastAsia="Calibri" w:hAnsi="Times New Roman" w:cs="Times New Roman"/>
                <w:bCs/>
                <w:sz w:val="20"/>
                <w:szCs w:val="20"/>
                <w:lang w:val="es-ES" w:eastAsia="pt-BR"/>
              </w:rPr>
              <w:t xml:space="preserve"> </w:t>
            </w:r>
            <w:r>
              <w:rPr>
                <w:rFonts w:ascii="Times New Roman" w:eastAsia="Calibri" w:hAnsi="Times New Roman" w:cs="Times New Roman"/>
                <w:bCs/>
                <w:sz w:val="20"/>
                <w:szCs w:val="20"/>
                <w:lang w:val="es-ES" w:eastAsia="pt-BR"/>
              </w:rPr>
              <w:t>19,9</w:t>
            </w:r>
          </w:p>
          <w:p w14:paraId="56A5AC4C" w14:textId="77777777" w:rsidR="00AA6E02" w:rsidRDefault="00AA6E02">
            <w:pPr>
              <w:spacing w:after="0"/>
              <w:jc w:val="center"/>
              <w:rPr>
                <w:rFonts w:ascii="Times New Roman" w:eastAsia="Calibri" w:hAnsi="Times New Roman" w:cs="Times New Roman"/>
                <w:bCs/>
                <w:i/>
                <w:iCs/>
                <w:sz w:val="20"/>
                <w:szCs w:val="20"/>
                <w:lang w:val="es-ES" w:eastAsia="pt-BR"/>
              </w:rPr>
            </w:pPr>
          </w:p>
        </w:tc>
        <w:tc>
          <w:tcPr>
            <w:tcW w:w="1113" w:type="dxa"/>
            <w:tcBorders>
              <w:top w:val="single" w:sz="4" w:space="0" w:color="auto"/>
              <w:left w:val="single" w:sz="4" w:space="0" w:color="999999"/>
              <w:bottom w:val="single" w:sz="4" w:space="0" w:color="auto"/>
              <w:right w:val="single" w:sz="4" w:space="0" w:color="999999"/>
            </w:tcBorders>
            <w:noWrap/>
            <w:vAlign w:val="center"/>
          </w:tcPr>
          <w:p w14:paraId="2CCFB7A7"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w:t>
            </w:r>
          </w:p>
          <w:p w14:paraId="37C5458E" w14:textId="77777777" w:rsidR="00AA6E02" w:rsidRDefault="00AA6E02">
            <w:pPr>
              <w:spacing w:after="0"/>
              <w:jc w:val="center"/>
              <w:rPr>
                <w:rFonts w:ascii="Times New Roman" w:eastAsia="Calibri" w:hAnsi="Times New Roman" w:cs="Times New Roman"/>
                <w:bCs/>
                <w:sz w:val="20"/>
                <w:szCs w:val="20"/>
                <w:lang w:val="es-ES" w:eastAsia="pt-BR"/>
              </w:rPr>
            </w:pPr>
          </w:p>
        </w:tc>
        <w:tc>
          <w:tcPr>
            <w:tcW w:w="1930" w:type="dxa"/>
            <w:tcBorders>
              <w:top w:val="single" w:sz="4" w:space="0" w:color="auto"/>
              <w:left w:val="single" w:sz="4" w:space="0" w:color="999999"/>
              <w:bottom w:val="single" w:sz="4" w:space="0" w:color="auto"/>
              <w:right w:val="single" w:sz="8" w:space="0" w:color="auto"/>
            </w:tcBorders>
            <w:noWrap/>
            <w:vAlign w:val="center"/>
          </w:tcPr>
          <w:p w14:paraId="260A21CB" w14:textId="28C8ED6D"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INGEOMINAS,</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Bogotá</w:t>
            </w:r>
          </w:p>
          <w:p w14:paraId="6DBF2DFA" w14:textId="77777777" w:rsidR="00AA6E02" w:rsidRDefault="00AA6E02">
            <w:pPr>
              <w:spacing w:after="0"/>
              <w:jc w:val="center"/>
              <w:rPr>
                <w:rFonts w:ascii="Times New Roman" w:eastAsia="Calibri" w:hAnsi="Times New Roman" w:cs="Times New Roman"/>
                <w:bCs/>
                <w:iCs/>
                <w:sz w:val="20"/>
                <w:szCs w:val="20"/>
                <w:lang w:val="es-ES" w:eastAsia="pt-BR"/>
              </w:rPr>
            </w:pPr>
          </w:p>
        </w:tc>
      </w:tr>
      <w:tr w:rsidR="00AA6E02" w14:paraId="36D129BB" w14:textId="77777777" w:rsidTr="00AA6E02">
        <w:trPr>
          <w:trHeight w:val="799"/>
          <w:jc w:val="center"/>
        </w:trPr>
        <w:tc>
          <w:tcPr>
            <w:tcW w:w="1476" w:type="dxa"/>
            <w:tcBorders>
              <w:top w:val="single" w:sz="4" w:space="0" w:color="auto"/>
              <w:left w:val="single" w:sz="8" w:space="0" w:color="auto"/>
              <w:bottom w:val="single" w:sz="4" w:space="0" w:color="auto"/>
              <w:right w:val="single" w:sz="4" w:space="0" w:color="999999"/>
            </w:tcBorders>
            <w:shd w:val="clear" w:color="auto" w:fill="C2D69B"/>
            <w:noWrap/>
            <w:vAlign w:val="center"/>
          </w:tcPr>
          <w:p w14:paraId="5B6ED2CA" w14:textId="77777777"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lastRenderedPageBreak/>
              <w:t>JAMAICA</w:t>
            </w:r>
          </w:p>
          <w:p w14:paraId="459970A4" w14:textId="77777777" w:rsidR="00AA6E02" w:rsidRDefault="00AA6E02">
            <w:pPr>
              <w:spacing w:after="0"/>
              <w:jc w:val="center"/>
              <w:rPr>
                <w:rFonts w:ascii="Times New Roman" w:eastAsia="Calibri" w:hAnsi="Times New Roman" w:cs="Times New Roman"/>
                <w:bCs/>
                <w:iCs/>
                <w:sz w:val="20"/>
                <w:szCs w:val="20"/>
                <w:lang w:val="es-ES" w:eastAsia="pt-BR"/>
              </w:rPr>
            </w:pPr>
          </w:p>
          <w:p w14:paraId="2A831494" w14:textId="77777777" w:rsidR="00AA6E02" w:rsidRDefault="00AA6E02">
            <w:pPr>
              <w:spacing w:after="0"/>
              <w:jc w:val="center"/>
              <w:rPr>
                <w:rFonts w:ascii="Times New Roman" w:eastAsia="Calibri" w:hAnsi="Times New Roman" w:cs="Times New Roman"/>
                <w:bCs/>
                <w:iCs/>
                <w:sz w:val="20"/>
                <w:szCs w:val="20"/>
                <w:lang w:val="es-ES" w:eastAsia="pt-BR"/>
              </w:rPr>
            </w:pPr>
          </w:p>
        </w:tc>
        <w:tc>
          <w:tcPr>
            <w:tcW w:w="1418" w:type="dxa"/>
            <w:tcBorders>
              <w:top w:val="single" w:sz="4" w:space="0" w:color="auto"/>
              <w:left w:val="single" w:sz="4" w:space="0" w:color="999999"/>
              <w:bottom w:val="single" w:sz="4" w:space="0" w:color="auto"/>
              <w:right w:val="single" w:sz="4" w:space="0" w:color="999999"/>
            </w:tcBorders>
            <w:noWrap/>
            <w:vAlign w:val="center"/>
          </w:tcPr>
          <w:p w14:paraId="01B932CF"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SLOWPOKE</w:t>
            </w:r>
          </w:p>
          <w:p w14:paraId="38DED5CA" w14:textId="77777777" w:rsidR="00AA6E02" w:rsidRDefault="00AA6E02">
            <w:pPr>
              <w:spacing w:after="0"/>
              <w:jc w:val="center"/>
              <w:rPr>
                <w:rFonts w:ascii="Times New Roman" w:eastAsia="Calibri" w:hAnsi="Times New Roman" w:cs="Times New Roman"/>
                <w:bCs/>
                <w:i/>
                <w:iCs/>
                <w:sz w:val="20"/>
                <w:szCs w:val="20"/>
                <w:lang w:val="es-ES" w:eastAsia="pt-BR"/>
              </w:rPr>
            </w:pPr>
          </w:p>
          <w:p w14:paraId="57BC6EC4" w14:textId="77777777" w:rsidR="00AA6E02" w:rsidRDefault="00AA6E02">
            <w:pPr>
              <w:spacing w:after="0"/>
              <w:jc w:val="center"/>
              <w:rPr>
                <w:rFonts w:ascii="Times New Roman" w:eastAsia="Calibri" w:hAnsi="Times New Roman" w:cs="Times New Roman"/>
                <w:bCs/>
                <w:i/>
                <w:iCs/>
                <w:sz w:val="20"/>
                <w:szCs w:val="20"/>
                <w:lang w:val="es-ES" w:eastAsia="pt-BR"/>
              </w:rPr>
            </w:pPr>
          </w:p>
        </w:tc>
        <w:tc>
          <w:tcPr>
            <w:tcW w:w="1083" w:type="dxa"/>
            <w:tcBorders>
              <w:top w:val="single" w:sz="4" w:space="0" w:color="auto"/>
              <w:left w:val="single" w:sz="4" w:space="0" w:color="999999"/>
              <w:bottom w:val="single" w:sz="4" w:space="0" w:color="auto"/>
              <w:right w:val="single" w:sz="4" w:space="0" w:color="999999"/>
            </w:tcBorders>
            <w:noWrap/>
            <w:vAlign w:val="center"/>
          </w:tcPr>
          <w:p w14:paraId="72F23183"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p w14:paraId="50626666" w14:textId="77777777" w:rsidR="00AA6E02" w:rsidRDefault="00AA6E02">
            <w:pPr>
              <w:jc w:val="center"/>
              <w:rPr>
                <w:rFonts w:ascii="Times New Roman" w:eastAsia="Calibri" w:hAnsi="Times New Roman" w:cs="Times New Roman"/>
                <w:bCs/>
                <w:i/>
                <w:iCs/>
                <w:sz w:val="20"/>
                <w:szCs w:val="20"/>
                <w:lang w:val="es-ES" w:eastAsia="pt-BR"/>
              </w:rPr>
            </w:pPr>
          </w:p>
        </w:tc>
        <w:tc>
          <w:tcPr>
            <w:tcW w:w="1134" w:type="dxa"/>
            <w:tcBorders>
              <w:top w:val="single" w:sz="4" w:space="0" w:color="auto"/>
              <w:left w:val="single" w:sz="4" w:space="0" w:color="999999"/>
              <w:bottom w:val="single" w:sz="4" w:space="0" w:color="auto"/>
              <w:right w:val="single" w:sz="4" w:space="0" w:color="999999"/>
            </w:tcBorders>
            <w:noWrap/>
            <w:vAlign w:val="center"/>
          </w:tcPr>
          <w:p w14:paraId="69FF41FA"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20</w:t>
            </w:r>
          </w:p>
          <w:p w14:paraId="0092F562" w14:textId="77777777" w:rsidR="00AA6E02" w:rsidRDefault="00AA6E02">
            <w:pPr>
              <w:jc w:val="center"/>
              <w:rPr>
                <w:rFonts w:ascii="Times New Roman" w:eastAsia="Calibri" w:hAnsi="Times New Roman" w:cs="Times New Roman"/>
                <w:bCs/>
                <w:sz w:val="20"/>
                <w:szCs w:val="20"/>
                <w:lang w:val="es-ES" w:eastAsia="pt-BR"/>
              </w:rPr>
            </w:pPr>
          </w:p>
        </w:tc>
        <w:tc>
          <w:tcPr>
            <w:tcW w:w="1600" w:type="dxa"/>
            <w:tcBorders>
              <w:top w:val="single" w:sz="4" w:space="0" w:color="auto"/>
              <w:left w:val="single" w:sz="4" w:space="0" w:color="999999"/>
              <w:bottom w:val="single" w:sz="4" w:space="0" w:color="auto"/>
              <w:right w:val="single" w:sz="4" w:space="0" w:color="999999"/>
            </w:tcBorders>
            <w:noWrap/>
            <w:vAlign w:val="center"/>
            <w:hideMark/>
          </w:tcPr>
          <w:p w14:paraId="20DC50BF" w14:textId="224ACC5F"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90</w:t>
            </w:r>
            <w:r>
              <w:rPr>
                <w:rFonts w:ascii="Times New Roman" w:eastAsia="Calibri" w:hAnsi="Times New Roman" w:cs="Times New Roman"/>
                <w:bCs/>
                <w:i/>
                <w:sz w:val="20"/>
                <w:szCs w:val="20"/>
                <w:lang w:val="es-ES" w:eastAsia="pt-BR"/>
              </w:rPr>
              <w:t>(en</w:t>
            </w:r>
            <w:r w:rsidR="00D136BB">
              <w:rPr>
                <w:rFonts w:ascii="Times New Roman" w:eastAsia="Calibri" w:hAnsi="Times New Roman" w:cs="Times New Roman"/>
                <w:bCs/>
                <w:i/>
                <w:sz w:val="20"/>
                <w:szCs w:val="20"/>
                <w:lang w:val="es-ES" w:eastAsia="pt-BR"/>
              </w:rPr>
              <w:t xml:space="preserve"> </w:t>
            </w:r>
            <w:r>
              <w:rPr>
                <w:rFonts w:ascii="Times New Roman" w:eastAsia="Calibri" w:hAnsi="Times New Roman" w:cs="Times New Roman"/>
                <w:bCs/>
                <w:i/>
                <w:sz w:val="20"/>
                <w:szCs w:val="20"/>
                <w:lang w:val="es-ES" w:eastAsia="pt-BR"/>
              </w:rPr>
              <w:t>proceso</w:t>
            </w:r>
            <w:r w:rsidR="00D136BB">
              <w:rPr>
                <w:rFonts w:ascii="Times New Roman" w:eastAsia="Calibri" w:hAnsi="Times New Roman" w:cs="Times New Roman"/>
                <w:bCs/>
                <w:i/>
                <w:sz w:val="20"/>
                <w:szCs w:val="20"/>
                <w:lang w:val="es-ES" w:eastAsia="pt-BR"/>
              </w:rPr>
              <w:t xml:space="preserve"> </w:t>
            </w:r>
            <w:r>
              <w:rPr>
                <w:rFonts w:ascii="Times New Roman" w:eastAsia="Calibri" w:hAnsi="Times New Roman" w:cs="Times New Roman"/>
                <w:bCs/>
                <w:i/>
                <w:sz w:val="20"/>
                <w:szCs w:val="20"/>
                <w:lang w:val="es-ES" w:eastAsia="pt-BR"/>
              </w:rPr>
              <w:t>de</w:t>
            </w:r>
            <w:r w:rsidR="00D136BB">
              <w:rPr>
                <w:rFonts w:ascii="Times New Roman" w:eastAsia="Calibri" w:hAnsi="Times New Roman" w:cs="Times New Roman"/>
                <w:bCs/>
                <w:i/>
                <w:sz w:val="20"/>
                <w:szCs w:val="20"/>
                <w:lang w:val="es-ES" w:eastAsia="pt-BR"/>
              </w:rPr>
              <w:t xml:space="preserve"> </w:t>
            </w:r>
            <w:r>
              <w:rPr>
                <w:rFonts w:ascii="Times New Roman" w:eastAsia="Calibri" w:hAnsi="Times New Roman" w:cs="Times New Roman"/>
                <w:bCs/>
                <w:i/>
                <w:sz w:val="20"/>
                <w:szCs w:val="20"/>
                <w:lang w:val="es-ES" w:eastAsia="pt-BR"/>
              </w:rPr>
              <w:t>conversión</w:t>
            </w:r>
            <w:r w:rsidR="00D136BB">
              <w:rPr>
                <w:rFonts w:ascii="Times New Roman" w:eastAsia="Calibri" w:hAnsi="Times New Roman" w:cs="Times New Roman"/>
                <w:bCs/>
                <w:i/>
                <w:sz w:val="20"/>
                <w:szCs w:val="20"/>
                <w:lang w:val="es-ES" w:eastAsia="pt-BR"/>
              </w:rPr>
              <w:t xml:space="preserve"> </w:t>
            </w:r>
            <w:r>
              <w:rPr>
                <w:rFonts w:ascii="Times New Roman" w:eastAsia="Calibri" w:hAnsi="Times New Roman" w:cs="Times New Roman"/>
                <w:bCs/>
                <w:i/>
                <w:sz w:val="20"/>
                <w:szCs w:val="20"/>
                <w:lang w:val="es-ES" w:eastAsia="pt-BR"/>
              </w:rPr>
              <w:t>a</w:t>
            </w:r>
            <w:r w:rsidR="00D136BB">
              <w:rPr>
                <w:rFonts w:ascii="Times New Roman" w:eastAsia="Calibri" w:hAnsi="Times New Roman" w:cs="Times New Roman"/>
                <w:bCs/>
                <w:i/>
                <w:sz w:val="20"/>
                <w:szCs w:val="20"/>
                <w:lang w:val="es-ES" w:eastAsia="pt-BR"/>
              </w:rPr>
              <w:t xml:space="preserve"> </w:t>
            </w:r>
            <w:r>
              <w:rPr>
                <w:rFonts w:ascii="Times New Roman" w:eastAsia="Calibri" w:hAnsi="Times New Roman" w:cs="Times New Roman"/>
                <w:bCs/>
                <w:i/>
                <w:sz w:val="20"/>
                <w:szCs w:val="20"/>
                <w:lang w:val="es-ES" w:eastAsia="pt-BR"/>
              </w:rPr>
              <w:t>bajo</w:t>
            </w:r>
            <w:r w:rsidR="00D136BB">
              <w:rPr>
                <w:rFonts w:ascii="Times New Roman" w:eastAsia="Calibri" w:hAnsi="Times New Roman" w:cs="Times New Roman"/>
                <w:bCs/>
                <w:i/>
                <w:sz w:val="20"/>
                <w:szCs w:val="20"/>
                <w:lang w:val="es-ES" w:eastAsia="pt-BR"/>
              </w:rPr>
              <w:t xml:space="preserve"> </w:t>
            </w:r>
            <w:r>
              <w:rPr>
                <w:rFonts w:ascii="Times New Roman" w:eastAsia="Calibri" w:hAnsi="Times New Roman" w:cs="Times New Roman"/>
                <w:bCs/>
                <w:i/>
                <w:sz w:val="20"/>
                <w:szCs w:val="20"/>
                <w:lang w:val="es-ES" w:eastAsia="pt-BR"/>
              </w:rPr>
              <w:t>enriquecimiento)</w:t>
            </w:r>
          </w:p>
        </w:tc>
        <w:tc>
          <w:tcPr>
            <w:tcW w:w="1113" w:type="dxa"/>
            <w:tcBorders>
              <w:top w:val="single" w:sz="4" w:space="0" w:color="auto"/>
              <w:left w:val="single" w:sz="4" w:space="0" w:color="999999"/>
              <w:bottom w:val="single" w:sz="4" w:space="0" w:color="auto"/>
              <w:right w:val="single" w:sz="4" w:space="0" w:color="999999"/>
            </w:tcBorders>
            <w:noWrap/>
            <w:vAlign w:val="center"/>
          </w:tcPr>
          <w:p w14:paraId="3F12864E"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N/D</w:t>
            </w:r>
          </w:p>
          <w:p w14:paraId="44B7384A" w14:textId="77777777" w:rsidR="00AA6E02" w:rsidRDefault="00AA6E02">
            <w:pPr>
              <w:jc w:val="center"/>
              <w:rPr>
                <w:rFonts w:ascii="Times New Roman" w:eastAsia="Calibri" w:hAnsi="Times New Roman" w:cs="Times New Roman"/>
                <w:bCs/>
                <w:sz w:val="20"/>
                <w:szCs w:val="20"/>
                <w:lang w:val="es-ES" w:eastAsia="pt-BR"/>
              </w:rPr>
            </w:pPr>
          </w:p>
        </w:tc>
        <w:tc>
          <w:tcPr>
            <w:tcW w:w="1930" w:type="dxa"/>
            <w:tcBorders>
              <w:top w:val="single" w:sz="4" w:space="0" w:color="auto"/>
              <w:left w:val="single" w:sz="4" w:space="0" w:color="999999"/>
              <w:bottom w:val="single" w:sz="4" w:space="0" w:color="auto"/>
              <w:right w:val="single" w:sz="8" w:space="0" w:color="auto"/>
            </w:tcBorders>
            <w:noWrap/>
            <w:vAlign w:val="center"/>
          </w:tcPr>
          <w:p w14:paraId="43F737DD" w14:textId="51270867"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ICENS,</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Kingston</w:t>
            </w:r>
          </w:p>
          <w:p w14:paraId="7E26EFF9" w14:textId="77777777" w:rsidR="00AA6E02" w:rsidRDefault="00AA6E02">
            <w:pPr>
              <w:jc w:val="center"/>
              <w:rPr>
                <w:rFonts w:ascii="Times New Roman" w:eastAsia="Calibri" w:hAnsi="Times New Roman" w:cs="Times New Roman"/>
                <w:bCs/>
                <w:iCs/>
                <w:sz w:val="20"/>
                <w:szCs w:val="20"/>
                <w:lang w:val="es-ES" w:eastAsia="pt-BR"/>
              </w:rPr>
            </w:pPr>
          </w:p>
        </w:tc>
      </w:tr>
      <w:tr w:rsidR="00AA6E02" w14:paraId="5F1E0D03" w14:textId="77777777" w:rsidTr="00AA6E02">
        <w:trPr>
          <w:trHeight w:val="571"/>
          <w:jc w:val="center"/>
        </w:trPr>
        <w:tc>
          <w:tcPr>
            <w:tcW w:w="1476" w:type="dxa"/>
            <w:tcBorders>
              <w:top w:val="single" w:sz="4" w:space="0" w:color="auto"/>
              <w:left w:val="single" w:sz="8" w:space="0" w:color="auto"/>
              <w:bottom w:val="single" w:sz="4" w:space="0" w:color="auto"/>
              <w:right w:val="single" w:sz="4" w:space="0" w:color="999999"/>
            </w:tcBorders>
            <w:shd w:val="clear" w:color="auto" w:fill="C2D69B"/>
            <w:noWrap/>
            <w:vAlign w:val="center"/>
          </w:tcPr>
          <w:p w14:paraId="113AB198" w14:textId="77777777"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MÉXICO</w:t>
            </w:r>
          </w:p>
          <w:p w14:paraId="13BBD2B6" w14:textId="77777777" w:rsidR="00AA6E02" w:rsidRDefault="00AA6E02">
            <w:pPr>
              <w:spacing w:after="0"/>
              <w:jc w:val="center"/>
              <w:rPr>
                <w:rFonts w:ascii="Times New Roman" w:eastAsia="Calibri" w:hAnsi="Times New Roman" w:cs="Times New Roman"/>
                <w:bCs/>
                <w:iCs/>
                <w:sz w:val="20"/>
                <w:szCs w:val="20"/>
                <w:lang w:val="es-ES" w:eastAsia="pt-BR"/>
              </w:rPr>
            </w:pPr>
          </w:p>
        </w:tc>
        <w:tc>
          <w:tcPr>
            <w:tcW w:w="1418" w:type="dxa"/>
            <w:tcBorders>
              <w:top w:val="single" w:sz="4" w:space="0" w:color="auto"/>
              <w:left w:val="single" w:sz="4" w:space="0" w:color="999999"/>
              <w:bottom w:val="single" w:sz="4" w:space="0" w:color="auto"/>
              <w:right w:val="single" w:sz="4" w:space="0" w:color="999999"/>
            </w:tcBorders>
            <w:noWrap/>
            <w:vAlign w:val="center"/>
          </w:tcPr>
          <w:p w14:paraId="278F5654"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TRIGA</w:t>
            </w:r>
          </w:p>
          <w:p w14:paraId="40EF8F8F" w14:textId="77777777" w:rsidR="00AA6E02" w:rsidRDefault="00AA6E02">
            <w:pPr>
              <w:spacing w:after="0"/>
              <w:jc w:val="center"/>
              <w:rPr>
                <w:rFonts w:ascii="Times New Roman" w:eastAsia="Calibri" w:hAnsi="Times New Roman" w:cs="Times New Roman"/>
                <w:bCs/>
                <w:i/>
                <w:iCs/>
                <w:sz w:val="20"/>
                <w:szCs w:val="20"/>
                <w:lang w:val="es-ES" w:eastAsia="pt-BR"/>
              </w:rPr>
            </w:pPr>
          </w:p>
        </w:tc>
        <w:tc>
          <w:tcPr>
            <w:tcW w:w="1083" w:type="dxa"/>
            <w:tcBorders>
              <w:top w:val="single" w:sz="4" w:space="0" w:color="auto"/>
              <w:left w:val="single" w:sz="4" w:space="0" w:color="999999"/>
              <w:bottom w:val="single" w:sz="4" w:space="0" w:color="auto"/>
              <w:right w:val="single" w:sz="4" w:space="0" w:color="999999"/>
            </w:tcBorders>
            <w:noWrap/>
            <w:vAlign w:val="center"/>
          </w:tcPr>
          <w:p w14:paraId="41633FE2"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p w14:paraId="1796A043" w14:textId="77777777" w:rsidR="00AA6E02" w:rsidRDefault="00AA6E02">
            <w:pPr>
              <w:spacing w:after="0"/>
              <w:jc w:val="center"/>
              <w:rPr>
                <w:rFonts w:ascii="Times New Roman" w:eastAsia="Calibri" w:hAnsi="Times New Roman" w:cs="Times New Roman"/>
                <w:bCs/>
                <w:i/>
                <w:iCs/>
                <w:sz w:val="20"/>
                <w:szCs w:val="20"/>
                <w:lang w:val="es-ES" w:eastAsia="pt-BR"/>
              </w:rPr>
            </w:pPr>
          </w:p>
        </w:tc>
        <w:tc>
          <w:tcPr>
            <w:tcW w:w="1134" w:type="dxa"/>
            <w:tcBorders>
              <w:top w:val="single" w:sz="4" w:space="0" w:color="auto"/>
              <w:left w:val="single" w:sz="4" w:space="0" w:color="999999"/>
              <w:bottom w:val="single" w:sz="4" w:space="0" w:color="auto"/>
              <w:right w:val="single" w:sz="4" w:space="0" w:color="999999"/>
            </w:tcBorders>
            <w:noWrap/>
            <w:vAlign w:val="center"/>
          </w:tcPr>
          <w:p w14:paraId="088EF80B"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1000-2000</w:t>
            </w:r>
          </w:p>
          <w:p w14:paraId="6FCE7F55" w14:textId="77777777" w:rsidR="00AA6E02" w:rsidRDefault="00AA6E02">
            <w:pPr>
              <w:spacing w:after="0"/>
              <w:jc w:val="center"/>
              <w:rPr>
                <w:rFonts w:ascii="Times New Roman" w:eastAsia="Calibri" w:hAnsi="Times New Roman" w:cs="Times New Roman"/>
                <w:bCs/>
                <w:sz w:val="20"/>
                <w:szCs w:val="20"/>
                <w:lang w:val="es-ES" w:eastAsia="pt-BR"/>
              </w:rPr>
            </w:pPr>
          </w:p>
        </w:tc>
        <w:tc>
          <w:tcPr>
            <w:tcW w:w="1600" w:type="dxa"/>
            <w:tcBorders>
              <w:top w:val="single" w:sz="4" w:space="0" w:color="auto"/>
              <w:left w:val="single" w:sz="4" w:space="0" w:color="999999"/>
              <w:bottom w:val="single" w:sz="4" w:space="0" w:color="auto"/>
              <w:right w:val="single" w:sz="4" w:space="0" w:color="999999"/>
            </w:tcBorders>
            <w:noWrap/>
            <w:vAlign w:val="center"/>
          </w:tcPr>
          <w:p w14:paraId="5FF7C8B4" w14:textId="2986AE3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Triga</w:t>
            </w:r>
            <w:r w:rsidR="00D136BB">
              <w:rPr>
                <w:rFonts w:ascii="Times New Roman" w:eastAsia="Calibri" w:hAnsi="Times New Roman" w:cs="Times New Roman"/>
                <w:bCs/>
                <w:sz w:val="20"/>
                <w:szCs w:val="20"/>
                <w:lang w:val="es-ES" w:eastAsia="pt-BR"/>
              </w:rPr>
              <w:t xml:space="preserve"> </w:t>
            </w:r>
            <w:r>
              <w:rPr>
                <w:rFonts w:ascii="Times New Roman" w:eastAsia="Calibri" w:hAnsi="Times New Roman" w:cs="Times New Roman"/>
                <w:bCs/>
                <w:sz w:val="20"/>
                <w:szCs w:val="20"/>
                <w:lang w:val="es-ES" w:eastAsia="pt-BR"/>
              </w:rPr>
              <w:t>19,9</w:t>
            </w:r>
          </w:p>
          <w:p w14:paraId="3FDB7FBA" w14:textId="77777777" w:rsidR="00AA6E02" w:rsidRDefault="00AA6E02">
            <w:pPr>
              <w:spacing w:after="0"/>
              <w:jc w:val="center"/>
              <w:rPr>
                <w:rFonts w:ascii="Times New Roman" w:eastAsia="Calibri" w:hAnsi="Times New Roman" w:cs="Times New Roman"/>
                <w:bCs/>
                <w:i/>
                <w:iCs/>
                <w:sz w:val="20"/>
                <w:szCs w:val="20"/>
                <w:lang w:val="es-ES" w:eastAsia="pt-BR"/>
              </w:rPr>
            </w:pPr>
          </w:p>
        </w:tc>
        <w:tc>
          <w:tcPr>
            <w:tcW w:w="1113" w:type="dxa"/>
            <w:tcBorders>
              <w:top w:val="single" w:sz="4" w:space="0" w:color="auto"/>
              <w:left w:val="single" w:sz="4" w:space="0" w:color="999999"/>
              <w:bottom w:val="single" w:sz="4" w:space="0" w:color="auto"/>
              <w:right w:val="single" w:sz="4" w:space="0" w:color="999999"/>
            </w:tcBorders>
            <w:noWrap/>
            <w:vAlign w:val="center"/>
          </w:tcPr>
          <w:p w14:paraId="62BFD058"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60</w:t>
            </w:r>
          </w:p>
          <w:p w14:paraId="73A8AEA3" w14:textId="77777777" w:rsidR="00AA6E02" w:rsidRDefault="00AA6E02">
            <w:pPr>
              <w:spacing w:after="0"/>
              <w:jc w:val="center"/>
              <w:rPr>
                <w:rFonts w:ascii="Times New Roman" w:eastAsia="Calibri" w:hAnsi="Times New Roman" w:cs="Times New Roman"/>
                <w:bCs/>
                <w:sz w:val="20"/>
                <w:szCs w:val="20"/>
                <w:lang w:val="es-ES" w:eastAsia="pt-BR"/>
              </w:rPr>
            </w:pPr>
          </w:p>
        </w:tc>
        <w:tc>
          <w:tcPr>
            <w:tcW w:w="1930" w:type="dxa"/>
            <w:tcBorders>
              <w:top w:val="single" w:sz="4" w:space="0" w:color="auto"/>
              <w:left w:val="single" w:sz="4" w:space="0" w:color="999999"/>
              <w:bottom w:val="single" w:sz="4" w:space="0" w:color="auto"/>
              <w:right w:val="single" w:sz="8" w:space="0" w:color="auto"/>
            </w:tcBorders>
            <w:noWrap/>
            <w:vAlign w:val="center"/>
          </w:tcPr>
          <w:p w14:paraId="294087EC" w14:textId="43A15266"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ININ,</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México</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DF</w:t>
            </w:r>
          </w:p>
          <w:p w14:paraId="2BAB2102" w14:textId="77777777" w:rsidR="00AA6E02" w:rsidRDefault="00AA6E02">
            <w:pPr>
              <w:spacing w:after="0"/>
              <w:jc w:val="center"/>
              <w:rPr>
                <w:rFonts w:ascii="Times New Roman" w:eastAsia="Calibri" w:hAnsi="Times New Roman" w:cs="Times New Roman"/>
                <w:bCs/>
                <w:iCs/>
                <w:sz w:val="20"/>
                <w:szCs w:val="20"/>
                <w:lang w:val="es-ES" w:eastAsia="pt-BR"/>
              </w:rPr>
            </w:pPr>
          </w:p>
        </w:tc>
      </w:tr>
      <w:tr w:rsidR="00AA6E02" w14:paraId="6D66BACD" w14:textId="77777777" w:rsidTr="00AA6E02">
        <w:trPr>
          <w:trHeight w:val="234"/>
          <w:jc w:val="center"/>
        </w:trPr>
        <w:tc>
          <w:tcPr>
            <w:tcW w:w="1476" w:type="dxa"/>
            <w:vMerge w:val="restart"/>
            <w:tcBorders>
              <w:top w:val="single" w:sz="4" w:space="0" w:color="auto"/>
              <w:left w:val="single" w:sz="8" w:space="0" w:color="auto"/>
              <w:bottom w:val="single" w:sz="8" w:space="0" w:color="auto"/>
              <w:right w:val="single" w:sz="4" w:space="0" w:color="999999"/>
            </w:tcBorders>
            <w:shd w:val="clear" w:color="auto" w:fill="C2D69B"/>
            <w:noWrap/>
            <w:vAlign w:val="center"/>
            <w:hideMark/>
          </w:tcPr>
          <w:p w14:paraId="1EE60A47" w14:textId="77777777" w:rsidR="00AA6E02" w:rsidRDefault="00AA6E02">
            <w:pPr>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PERÚ</w:t>
            </w:r>
          </w:p>
        </w:tc>
        <w:tc>
          <w:tcPr>
            <w:tcW w:w="1418"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7A2505A1" w14:textId="031F9970" w:rsidR="00AA6E02" w:rsidRDefault="00AA6E02">
            <w:pPr>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RP</w:t>
            </w:r>
            <w:r w:rsidR="00D136BB">
              <w:rPr>
                <w:rFonts w:ascii="Times New Roman" w:eastAsia="Calibri" w:hAnsi="Times New Roman" w:cs="Times New Roman"/>
                <w:bCs/>
                <w:i/>
                <w:iCs/>
                <w:sz w:val="20"/>
                <w:szCs w:val="20"/>
                <w:lang w:val="es-ES" w:eastAsia="pt-BR"/>
              </w:rPr>
              <w:t xml:space="preserve"> </w:t>
            </w:r>
            <w:r>
              <w:rPr>
                <w:rFonts w:ascii="Times New Roman" w:eastAsia="Calibri" w:hAnsi="Times New Roman" w:cs="Times New Roman"/>
                <w:bCs/>
                <w:i/>
                <w:iCs/>
                <w:sz w:val="20"/>
                <w:szCs w:val="20"/>
                <w:lang w:val="es-ES" w:eastAsia="pt-BR"/>
              </w:rPr>
              <w:t>0</w:t>
            </w:r>
          </w:p>
        </w:tc>
        <w:tc>
          <w:tcPr>
            <w:tcW w:w="1083"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7955E865" w14:textId="77777777" w:rsidR="00AA6E02" w:rsidRDefault="00AA6E02">
            <w:pPr>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6FC17515" w14:textId="77777777" w:rsidR="00AA6E02" w:rsidRDefault="00AA6E02">
            <w:pPr>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0,001</w:t>
            </w:r>
          </w:p>
        </w:tc>
        <w:tc>
          <w:tcPr>
            <w:tcW w:w="1600"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6BB59359" w14:textId="77777777" w:rsidR="00AA6E02" w:rsidRDefault="00AA6E02">
            <w:pPr>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19,75</w:t>
            </w:r>
          </w:p>
        </w:tc>
        <w:tc>
          <w:tcPr>
            <w:tcW w:w="1113" w:type="dxa"/>
            <w:tcBorders>
              <w:top w:val="single" w:sz="4" w:space="0" w:color="auto"/>
              <w:left w:val="single" w:sz="4" w:space="0" w:color="999999"/>
              <w:bottom w:val="single" w:sz="4" w:space="0" w:color="999999"/>
              <w:right w:val="single" w:sz="4" w:space="0" w:color="999999"/>
            </w:tcBorders>
            <w:shd w:val="clear" w:color="auto" w:fill="FFFFFF"/>
            <w:noWrap/>
            <w:vAlign w:val="center"/>
            <w:hideMark/>
          </w:tcPr>
          <w:p w14:paraId="2FE2ACC0" w14:textId="77777777" w:rsidR="00AA6E02" w:rsidRDefault="00AA6E02">
            <w:pPr>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96</w:t>
            </w:r>
          </w:p>
        </w:tc>
        <w:tc>
          <w:tcPr>
            <w:tcW w:w="1930" w:type="dxa"/>
            <w:tcBorders>
              <w:top w:val="single" w:sz="4" w:space="0" w:color="auto"/>
              <w:left w:val="single" w:sz="4" w:space="0" w:color="999999"/>
              <w:bottom w:val="single" w:sz="4" w:space="0" w:color="999999"/>
              <w:right w:val="single" w:sz="8" w:space="0" w:color="auto"/>
            </w:tcBorders>
            <w:shd w:val="clear" w:color="auto" w:fill="FFFFFF"/>
            <w:noWrap/>
            <w:vAlign w:val="center"/>
            <w:hideMark/>
          </w:tcPr>
          <w:p w14:paraId="260A1F7D" w14:textId="40F2EC97" w:rsidR="00AA6E02" w:rsidRDefault="00AA6E02">
            <w:pPr>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IPEN-Sede,</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Lima</w:t>
            </w:r>
          </w:p>
        </w:tc>
      </w:tr>
      <w:tr w:rsidR="00AA6E02" w14:paraId="08330E7D" w14:textId="77777777" w:rsidTr="00AA6E02">
        <w:trPr>
          <w:trHeight w:val="234"/>
          <w:jc w:val="center"/>
        </w:trPr>
        <w:tc>
          <w:tcPr>
            <w:tcW w:w="0" w:type="auto"/>
            <w:vMerge/>
            <w:tcBorders>
              <w:top w:val="single" w:sz="4" w:space="0" w:color="auto"/>
              <w:left w:val="single" w:sz="8" w:space="0" w:color="auto"/>
              <w:bottom w:val="single" w:sz="8" w:space="0" w:color="auto"/>
              <w:right w:val="single" w:sz="4" w:space="0" w:color="999999"/>
            </w:tcBorders>
            <w:vAlign w:val="center"/>
            <w:hideMark/>
          </w:tcPr>
          <w:p w14:paraId="191933C0" w14:textId="77777777" w:rsidR="00AA6E02" w:rsidRDefault="00AA6E02">
            <w:pPr>
              <w:spacing w:after="0" w:line="256" w:lineRule="auto"/>
              <w:rPr>
                <w:rFonts w:ascii="Times New Roman" w:eastAsia="Calibri" w:hAnsi="Times New Roman" w:cs="Times New Roman"/>
                <w:bCs/>
                <w:iCs/>
                <w:sz w:val="20"/>
                <w:szCs w:val="20"/>
                <w:lang w:val="es-ES" w:eastAsia="pt-BR"/>
              </w:rPr>
            </w:pPr>
          </w:p>
        </w:tc>
        <w:tc>
          <w:tcPr>
            <w:tcW w:w="1418" w:type="dxa"/>
            <w:tcBorders>
              <w:top w:val="single" w:sz="4" w:space="0" w:color="999999"/>
              <w:left w:val="single" w:sz="4" w:space="0" w:color="999999"/>
              <w:bottom w:val="single" w:sz="8" w:space="0" w:color="auto"/>
              <w:right w:val="single" w:sz="4" w:space="0" w:color="999999"/>
            </w:tcBorders>
            <w:shd w:val="clear" w:color="auto" w:fill="FFFFFF"/>
            <w:noWrap/>
            <w:vAlign w:val="center"/>
            <w:hideMark/>
          </w:tcPr>
          <w:p w14:paraId="76E3082A" w14:textId="284BC340"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RP</w:t>
            </w:r>
            <w:r w:rsidR="00D136BB">
              <w:rPr>
                <w:rFonts w:ascii="Times New Roman" w:eastAsia="Calibri" w:hAnsi="Times New Roman" w:cs="Times New Roman"/>
                <w:bCs/>
                <w:i/>
                <w:iCs/>
                <w:sz w:val="20"/>
                <w:szCs w:val="20"/>
                <w:lang w:val="es-ES" w:eastAsia="pt-BR"/>
              </w:rPr>
              <w:t xml:space="preserve"> </w:t>
            </w:r>
            <w:r>
              <w:rPr>
                <w:rFonts w:ascii="Times New Roman" w:eastAsia="Calibri" w:hAnsi="Times New Roman" w:cs="Times New Roman"/>
                <w:bCs/>
                <w:i/>
                <w:iCs/>
                <w:sz w:val="20"/>
                <w:szCs w:val="20"/>
                <w:lang w:val="es-ES" w:eastAsia="pt-BR"/>
              </w:rPr>
              <w:t>10</w:t>
            </w:r>
          </w:p>
        </w:tc>
        <w:tc>
          <w:tcPr>
            <w:tcW w:w="1083" w:type="dxa"/>
            <w:tcBorders>
              <w:top w:val="single" w:sz="4" w:space="0" w:color="999999"/>
              <w:left w:val="single" w:sz="4" w:space="0" w:color="999999"/>
              <w:bottom w:val="single" w:sz="8" w:space="0" w:color="auto"/>
              <w:right w:val="single" w:sz="4" w:space="0" w:color="999999"/>
            </w:tcBorders>
            <w:shd w:val="clear" w:color="auto" w:fill="FFFFFF"/>
            <w:noWrap/>
            <w:vAlign w:val="center"/>
            <w:hideMark/>
          </w:tcPr>
          <w:p w14:paraId="7EBD3508" w14:textId="77777777" w:rsidR="00AA6E02" w:rsidRDefault="00AA6E02">
            <w:pPr>
              <w:spacing w:after="0"/>
              <w:jc w:val="center"/>
              <w:rPr>
                <w:rFonts w:ascii="Times New Roman" w:eastAsia="Calibri" w:hAnsi="Times New Roman" w:cs="Times New Roman"/>
                <w:bCs/>
                <w:i/>
                <w:iCs/>
                <w:sz w:val="20"/>
                <w:szCs w:val="20"/>
                <w:lang w:val="es-ES" w:eastAsia="pt-BR"/>
              </w:rPr>
            </w:pPr>
            <w:r>
              <w:rPr>
                <w:rFonts w:ascii="Times New Roman" w:eastAsia="Calibri" w:hAnsi="Times New Roman" w:cs="Times New Roman"/>
                <w:bCs/>
                <w:i/>
                <w:iCs/>
                <w:sz w:val="20"/>
                <w:szCs w:val="20"/>
                <w:lang w:val="es-ES" w:eastAsia="pt-BR"/>
              </w:rPr>
              <w:t>Piscina</w:t>
            </w:r>
          </w:p>
        </w:tc>
        <w:tc>
          <w:tcPr>
            <w:tcW w:w="1134" w:type="dxa"/>
            <w:tcBorders>
              <w:top w:val="single" w:sz="4" w:space="0" w:color="999999"/>
              <w:left w:val="single" w:sz="4" w:space="0" w:color="999999"/>
              <w:bottom w:val="single" w:sz="8" w:space="0" w:color="auto"/>
              <w:right w:val="single" w:sz="4" w:space="0" w:color="999999"/>
            </w:tcBorders>
            <w:shd w:val="clear" w:color="auto" w:fill="FFFFFF"/>
            <w:noWrap/>
            <w:vAlign w:val="center"/>
            <w:hideMark/>
          </w:tcPr>
          <w:p w14:paraId="3BA864D3"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10000</w:t>
            </w:r>
          </w:p>
        </w:tc>
        <w:tc>
          <w:tcPr>
            <w:tcW w:w="1600" w:type="dxa"/>
            <w:tcBorders>
              <w:top w:val="single" w:sz="4" w:space="0" w:color="999999"/>
              <w:left w:val="single" w:sz="4" w:space="0" w:color="999999"/>
              <w:bottom w:val="single" w:sz="8" w:space="0" w:color="auto"/>
              <w:right w:val="single" w:sz="4" w:space="0" w:color="999999"/>
            </w:tcBorders>
            <w:shd w:val="clear" w:color="auto" w:fill="FFFFFF"/>
            <w:noWrap/>
            <w:vAlign w:val="center"/>
            <w:hideMark/>
          </w:tcPr>
          <w:p w14:paraId="4630C24D"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19,75</w:t>
            </w:r>
          </w:p>
        </w:tc>
        <w:tc>
          <w:tcPr>
            <w:tcW w:w="1113" w:type="dxa"/>
            <w:tcBorders>
              <w:top w:val="single" w:sz="4" w:space="0" w:color="999999"/>
              <w:left w:val="single" w:sz="4" w:space="0" w:color="999999"/>
              <w:bottom w:val="single" w:sz="8" w:space="0" w:color="auto"/>
              <w:right w:val="single" w:sz="4" w:space="0" w:color="999999"/>
            </w:tcBorders>
            <w:shd w:val="clear" w:color="auto" w:fill="FFFFFF"/>
            <w:noWrap/>
            <w:vAlign w:val="center"/>
            <w:hideMark/>
          </w:tcPr>
          <w:p w14:paraId="579AE108" w14:textId="77777777" w:rsidR="00AA6E02" w:rsidRDefault="00AA6E02">
            <w:pPr>
              <w:spacing w:after="0"/>
              <w:jc w:val="center"/>
              <w:rPr>
                <w:rFonts w:ascii="Times New Roman" w:eastAsia="Calibri" w:hAnsi="Times New Roman" w:cs="Times New Roman"/>
                <w:bCs/>
                <w:sz w:val="20"/>
                <w:szCs w:val="20"/>
                <w:lang w:val="es-ES" w:eastAsia="pt-BR"/>
              </w:rPr>
            </w:pPr>
            <w:r>
              <w:rPr>
                <w:rFonts w:ascii="Times New Roman" w:eastAsia="Calibri" w:hAnsi="Times New Roman" w:cs="Times New Roman"/>
                <w:bCs/>
                <w:sz w:val="20"/>
                <w:szCs w:val="20"/>
                <w:lang w:val="es-ES" w:eastAsia="pt-BR"/>
              </w:rPr>
              <w:t>30</w:t>
            </w:r>
          </w:p>
        </w:tc>
        <w:tc>
          <w:tcPr>
            <w:tcW w:w="1930" w:type="dxa"/>
            <w:tcBorders>
              <w:top w:val="single" w:sz="4" w:space="0" w:color="999999"/>
              <w:left w:val="single" w:sz="4" w:space="0" w:color="999999"/>
              <w:bottom w:val="single" w:sz="8" w:space="0" w:color="auto"/>
              <w:right w:val="single" w:sz="8" w:space="0" w:color="auto"/>
            </w:tcBorders>
            <w:shd w:val="clear" w:color="auto" w:fill="FFFFFF"/>
            <w:noWrap/>
            <w:vAlign w:val="center"/>
            <w:hideMark/>
          </w:tcPr>
          <w:p w14:paraId="6BB7E0AC" w14:textId="518B246A" w:rsidR="00AA6E02" w:rsidRDefault="00AA6E02">
            <w:pPr>
              <w:spacing w:after="0"/>
              <w:jc w:val="center"/>
              <w:rPr>
                <w:rFonts w:ascii="Times New Roman" w:eastAsia="Calibri" w:hAnsi="Times New Roman" w:cs="Times New Roman"/>
                <w:bCs/>
                <w:iCs/>
                <w:sz w:val="20"/>
                <w:szCs w:val="20"/>
                <w:lang w:val="es-ES" w:eastAsia="pt-BR"/>
              </w:rPr>
            </w:pPr>
            <w:r>
              <w:rPr>
                <w:rFonts w:ascii="Times New Roman" w:eastAsia="Calibri" w:hAnsi="Times New Roman" w:cs="Times New Roman"/>
                <w:bCs/>
                <w:iCs/>
                <w:sz w:val="20"/>
                <w:szCs w:val="20"/>
                <w:lang w:val="es-ES" w:eastAsia="pt-BR"/>
              </w:rPr>
              <w:t>IPEN-Huarangal,</w:t>
            </w:r>
            <w:r w:rsidR="00D136BB">
              <w:rPr>
                <w:rFonts w:ascii="Times New Roman" w:eastAsia="Calibri" w:hAnsi="Times New Roman" w:cs="Times New Roman"/>
                <w:bCs/>
                <w:iCs/>
                <w:sz w:val="20"/>
                <w:szCs w:val="20"/>
                <w:lang w:val="es-ES" w:eastAsia="pt-BR"/>
              </w:rPr>
              <w:t xml:space="preserve"> </w:t>
            </w:r>
            <w:r>
              <w:rPr>
                <w:rFonts w:ascii="Times New Roman" w:eastAsia="Calibri" w:hAnsi="Times New Roman" w:cs="Times New Roman"/>
                <w:bCs/>
                <w:iCs/>
                <w:sz w:val="20"/>
                <w:szCs w:val="20"/>
                <w:lang w:val="es-ES" w:eastAsia="pt-BR"/>
              </w:rPr>
              <w:t>Lima</w:t>
            </w:r>
          </w:p>
        </w:tc>
      </w:tr>
    </w:tbl>
    <w:p w14:paraId="29BF8962" w14:textId="77777777" w:rsidR="00AA6E02" w:rsidRDefault="00AA6E02" w:rsidP="00AA6E02">
      <w:pPr>
        <w:spacing w:after="240" w:line="240" w:lineRule="auto"/>
        <w:jc w:val="both"/>
        <w:rPr>
          <w:rFonts w:ascii="Times New Roman" w:eastAsia="Times New Roman" w:hAnsi="Times New Roman" w:cs="Times New Roman"/>
          <w:sz w:val="24"/>
          <w:szCs w:val="20"/>
          <w:lang w:val="es-ES"/>
        </w:rPr>
      </w:pPr>
    </w:p>
    <w:p w14:paraId="34064261" w14:textId="091B3689" w:rsidR="00AA6E02" w:rsidRDefault="00AA6E02" w:rsidP="00AA6E02">
      <w:pPr>
        <w:keepNext/>
        <w:keepLines/>
        <w:spacing w:after="120" w:line="240" w:lineRule="auto"/>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Tabla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investigación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construcción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región</w:t>
      </w:r>
    </w:p>
    <w:tbl>
      <w:tblPr>
        <w:tblW w:w="864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76"/>
        <w:gridCol w:w="1418"/>
        <w:gridCol w:w="1083"/>
        <w:gridCol w:w="1134"/>
        <w:gridCol w:w="1600"/>
        <w:gridCol w:w="1930"/>
      </w:tblGrid>
      <w:tr w:rsidR="00AA6E02" w14:paraId="182371C9" w14:textId="77777777" w:rsidTr="00AA6E02">
        <w:trPr>
          <w:trHeight w:val="625"/>
          <w:jc w:val="center"/>
        </w:trPr>
        <w:tc>
          <w:tcPr>
            <w:tcW w:w="1476" w:type="dxa"/>
            <w:tcBorders>
              <w:top w:val="single" w:sz="8" w:space="0" w:color="auto"/>
              <w:left w:val="single" w:sz="8" w:space="0" w:color="auto"/>
              <w:bottom w:val="single" w:sz="4" w:space="0" w:color="auto"/>
              <w:right w:val="single" w:sz="4" w:space="0" w:color="auto"/>
            </w:tcBorders>
            <w:shd w:val="clear" w:color="auto" w:fill="C2D69B"/>
            <w:noWrap/>
            <w:vAlign w:val="center"/>
          </w:tcPr>
          <w:p w14:paraId="6F2D4B8B" w14:textId="77777777" w:rsidR="00AA6E02" w:rsidRDefault="00AA6E02">
            <w:pPr>
              <w:spacing w:after="0"/>
              <w:jc w:val="center"/>
              <w:rPr>
                <w:rFonts w:ascii="Calibri" w:eastAsia="@Arial Unicode MS" w:hAnsi="Calibri" w:cs="Times New Roman"/>
                <w:bCs/>
                <w:i/>
                <w:iCs/>
                <w:sz w:val="20"/>
                <w:lang w:val="es-ES" w:eastAsia="pt-BR"/>
              </w:rPr>
            </w:pPr>
            <w:r>
              <w:rPr>
                <w:rFonts w:ascii="Calibri" w:eastAsia="@Arial Unicode MS" w:hAnsi="Calibri" w:cs="Times New Roman"/>
                <w:bCs/>
                <w:i/>
                <w:iCs/>
                <w:sz w:val="20"/>
                <w:lang w:val="es-ES" w:eastAsia="pt-BR"/>
              </w:rPr>
              <w:t>País</w:t>
            </w:r>
          </w:p>
          <w:p w14:paraId="37B7F833" w14:textId="77777777" w:rsidR="00AA6E02" w:rsidRDefault="00AA6E02">
            <w:pPr>
              <w:spacing w:after="0"/>
              <w:jc w:val="center"/>
              <w:rPr>
                <w:rFonts w:ascii="Calibri" w:eastAsia="@Arial Unicode MS" w:hAnsi="Calibri" w:cs="Times New Roman"/>
                <w:bCs/>
                <w:i/>
                <w:iCs/>
                <w:sz w:val="20"/>
                <w:lang w:val="es-ES" w:eastAsia="pt-BR"/>
              </w:rPr>
            </w:pPr>
          </w:p>
        </w:tc>
        <w:tc>
          <w:tcPr>
            <w:tcW w:w="1418" w:type="dxa"/>
            <w:tcBorders>
              <w:top w:val="single" w:sz="8" w:space="0" w:color="auto"/>
              <w:left w:val="single" w:sz="4" w:space="0" w:color="auto"/>
              <w:bottom w:val="single" w:sz="4" w:space="0" w:color="auto"/>
              <w:right w:val="single" w:sz="4" w:space="0" w:color="auto"/>
            </w:tcBorders>
            <w:shd w:val="clear" w:color="auto" w:fill="C2D69B"/>
            <w:noWrap/>
            <w:vAlign w:val="center"/>
          </w:tcPr>
          <w:p w14:paraId="27B99B2A" w14:textId="77777777" w:rsidR="00AA6E02" w:rsidRDefault="00AA6E02">
            <w:pPr>
              <w:spacing w:after="0"/>
              <w:jc w:val="center"/>
              <w:rPr>
                <w:rFonts w:ascii="Calibri" w:eastAsia="@Arial Unicode MS" w:hAnsi="Calibri" w:cs="Times New Roman"/>
                <w:bCs/>
                <w:i/>
                <w:iCs/>
                <w:sz w:val="20"/>
                <w:lang w:val="es-ES" w:eastAsia="pt-BR"/>
              </w:rPr>
            </w:pPr>
            <w:r>
              <w:rPr>
                <w:rFonts w:ascii="Calibri" w:eastAsia="@Arial Unicode MS" w:hAnsi="Calibri" w:cs="Times New Roman"/>
                <w:bCs/>
                <w:i/>
                <w:iCs/>
                <w:sz w:val="20"/>
                <w:lang w:val="es-ES" w:eastAsia="pt-BR"/>
              </w:rPr>
              <w:t>Reactor</w:t>
            </w:r>
          </w:p>
          <w:p w14:paraId="16825D8C" w14:textId="77777777" w:rsidR="00AA6E02" w:rsidRDefault="00AA6E02">
            <w:pPr>
              <w:spacing w:after="0"/>
              <w:jc w:val="center"/>
              <w:rPr>
                <w:rFonts w:ascii="Calibri" w:eastAsia="@Arial Unicode MS" w:hAnsi="Calibri" w:cs="Times New Roman"/>
                <w:bCs/>
                <w:i/>
                <w:iCs/>
                <w:sz w:val="20"/>
                <w:lang w:val="es-ES" w:eastAsia="pt-BR"/>
              </w:rPr>
            </w:pPr>
          </w:p>
        </w:tc>
        <w:tc>
          <w:tcPr>
            <w:tcW w:w="1083" w:type="dxa"/>
            <w:tcBorders>
              <w:top w:val="single" w:sz="8" w:space="0" w:color="auto"/>
              <w:left w:val="single" w:sz="4" w:space="0" w:color="auto"/>
              <w:bottom w:val="single" w:sz="4" w:space="0" w:color="auto"/>
              <w:right w:val="single" w:sz="4" w:space="0" w:color="auto"/>
            </w:tcBorders>
            <w:shd w:val="clear" w:color="auto" w:fill="C2D69B"/>
            <w:noWrap/>
            <w:vAlign w:val="center"/>
          </w:tcPr>
          <w:p w14:paraId="224B7BAF" w14:textId="77777777" w:rsidR="00AA6E02" w:rsidRDefault="00AA6E02">
            <w:pPr>
              <w:spacing w:after="0"/>
              <w:jc w:val="center"/>
              <w:rPr>
                <w:rFonts w:ascii="Calibri" w:eastAsia="@Arial Unicode MS" w:hAnsi="Calibri" w:cs="Times New Roman"/>
                <w:bCs/>
                <w:i/>
                <w:iCs/>
                <w:sz w:val="20"/>
                <w:lang w:val="es-ES" w:eastAsia="pt-BR"/>
              </w:rPr>
            </w:pPr>
            <w:r>
              <w:rPr>
                <w:rFonts w:ascii="Calibri" w:eastAsia="@Arial Unicode MS" w:hAnsi="Calibri" w:cs="Times New Roman"/>
                <w:bCs/>
                <w:i/>
                <w:iCs/>
                <w:sz w:val="20"/>
                <w:lang w:val="es-ES" w:eastAsia="pt-BR"/>
              </w:rPr>
              <w:t>Tipo</w:t>
            </w:r>
          </w:p>
          <w:p w14:paraId="44D4A86A" w14:textId="77777777" w:rsidR="00AA6E02" w:rsidRDefault="00AA6E02">
            <w:pPr>
              <w:spacing w:after="0"/>
              <w:jc w:val="center"/>
              <w:rPr>
                <w:rFonts w:ascii="Calibri" w:eastAsia="@Arial Unicode MS" w:hAnsi="Calibri" w:cs="Times New Roman"/>
                <w:bCs/>
                <w:i/>
                <w:iCs/>
                <w:sz w:val="20"/>
                <w:lang w:val="es-ES" w:eastAsia="pt-BR"/>
              </w:rPr>
            </w:pPr>
          </w:p>
        </w:tc>
        <w:tc>
          <w:tcPr>
            <w:tcW w:w="1134" w:type="dxa"/>
            <w:tcBorders>
              <w:top w:val="single" w:sz="8" w:space="0" w:color="auto"/>
              <w:left w:val="single" w:sz="4" w:space="0" w:color="auto"/>
              <w:bottom w:val="single" w:sz="4" w:space="0" w:color="auto"/>
              <w:right w:val="single" w:sz="4" w:space="0" w:color="auto"/>
            </w:tcBorders>
            <w:shd w:val="clear" w:color="auto" w:fill="C2D69B"/>
            <w:noWrap/>
            <w:vAlign w:val="center"/>
            <w:hideMark/>
          </w:tcPr>
          <w:p w14:paraId="2D4DBB0F" w14:textId="77777777" w:rsidR="00AA6E02" w:rsidRDefault="00AA6E02">
            <w:pPr>
              <w:spacing w:after="0"/>
              <w:jc w:val="center"/>
              <w:rPr>
                <w:rFonts w:ascii="Calibri" w:eastAsia="@Arial Unicode MS" w:hAnsi="Calibri" w:cs="Times New Roman"/>
                <w:bCs/>
                <w:i/>
                <w:iCs/>
                <w:sz w:val="20"/>
                <w:lang w:val="es-ES" w:eastAsia="pt-BR"/>
              </w:rPr>
            </w:pPr>
            <w:r>
              <w:rPr>
                <w:rFonts w:ascii="Calibri" w:eastAsia="@Arial Unicode MS" w:hAnsi="Calibri" w:cs="Times New Roman"/>
                <w:bCs/>
                <w:i/>
                <w:iCs/>
                <w:sz w:val="20"/>
                <w:lang w:val="es-ES" w:eastAsia="pt-BR"/>
              </w:rPr>
              <w:t>Potencia</w:t>
            </w:r>
          </w:p>
          <w:p w14:paraId="1A0DEC0B" w14:textId="77777777" w:rsidR="00AA6E02" w:rsidRDefault="00AA6E02">
            <w:pPr>
              <w:spacing w:after="0"/>
              <w:jc w:val="center"/>
              <w:rPr>
                <w:rFonts w:ascii="Calibri" w:eastAsia="@Arial Unicode MS" w:hAnsi="Calibri" w:cs="Times New Roman"/>
                <w:bCs/>
                <w:i/>
                <w:iCs/>
                <w:sz w:val="20"/>
                <w:lang w:val="es-ES" w:eastAsia="pt-BR"/>
              </w:rPr>
            </w:pPr>
            <w:r>
              <w:rPr>
                <w:rFonts w:ascii="Calibri" w:eastAsia="@Arial Unicode MS" w:hAnsi="Calibri" w:cs="Times New Roman"/>
                <w:bCs/>
                <w:i/>
                <w:iCs/>
                <w:sz w:val="20"/>
                <w:lang w:val="es-ES" w:eastAsia="pt-BR"/>
              </w:rPr>
              <w:t>kW</w:t>
            </w:r>
          </w:p>
        </w:tc>
        <w:tc>
          <w:tcPr>
            <w:tcW w:w="1600" w:type="dxa"/>
            <w:tcBorders>
              <w:top w:val="single" w:sz="8" w:space="0" w:color="auto"/>
              <w:left w:val="single" w:sz="4" w:space="0" w:color="auto"/>
              <w:bottom w:val="single" w:sz="4" w:space="0" w:color="auto"/>
              <w:right w:val="single" w:sz="4" w:space="0" w:color="auto"/>
            </w:tcBorders>
            <w:shd w:val="clear" w:color="auto" w:fill="C2D69B"/>
            <w:noWrap/>
            <w:vAlign w:val="center"/>
            <w:hideMark/>
          </w:tcPr>
          <w:p w14:paraId="23252150" w14:textId="77777777" w:rsidR="00AA6E02" w:rsidRDefault="00AA6E02">
            <w:pPr>
              <w:spacing w:after="0"/>
              <w:jc w:val="center"/>
              <w:rPr>
                <w:rFonts w:ascii="Calibri" w:eastAsia="@Arial Unicode MS" w:hAnsi="Calibri" w:cs="Times New Roman"/>
                <w:bCs/>
                <w:i/>
                <w:iCs/>
                <w:sz w:val="20"/>
                <w:lang w:val="es-ES" w:eastAsia="pt-BR"/>
              </w:rPr>
            </w:pPr>
            <w:r>
              <w:rPr>
                <w:rFonts w:ascii="Calibri" w:eastAsia="@Arial Unicode MS" w:hAnsi="Calibri" w:cs="Times New Roman"/>
                <w:bCs/>
                <w:i/>
                <w:iCs/>
                <w:sz w:val="20"/>
                <w:lang w:val="es-ES" w:eastAsia="pt-BR"/>
              </w:rPr>
              <w:t>Enriquecimiento.</w:t>
            </w:r>
          </w:p>
          <w:p w14:paraId="627BC032" w14:textId="77777777" w:rsidR="00AA6E02" w:rsidRDefault="00AA6E02">
            <w:pPr>
              <w:spacing w:after="0"/>
              <w:jc w:val="center"/>
              <w:rPr>
                <w:rFonts w:ascii="Calibri" w:eastAsia="@Arial Unicode MS" w:hAnsi="Calibri" w:cs="Times New Roman"/>
                <w:bCs/>
                <w:i/>
                <w:iCs/>
                <w:sz w:val="20"/>
                <w:lang w:val="es-ES" w:eastAsia="pt-BR"/>
              </w:rPr>
            </w:pPr>
            <w:r>
              <w:rPr>
                <w:rFonts w:ascii="Calibri" w:eastAsia="@Arial Unicode MS" w:hAnsi="Calibri" w:cs="Times New Roman"/>
                <w:bCs/>
                <w:i/>
                <w:iCs/>
                <w:sz w:val="20"/>
                <w:lang w:val="es-ES" w:eastAsia="pt-BR"/>
              </w:rPr>
              <w:t>%</w:t>
            </w:r>
          </w:p>
        </w:tc>
        <w:tc>
          <w:tcPr>
            <w:tcW w:w="1930" w:type="dxa"/>
            <w:tcBorders>
              <w:top w:val="single" w:sz="8" w:space="0" w:color="auto"/>
              <w:left w:val="single" w:sz="4" w:space="0" w:color="auto"/>
              <w:bottom w:val="single" w:sz="4" w:space="0" w:color="auto"/>
              <w:right w:val="single" w:sz="8" w:space="0" w:color="auto"/>
            </w:tcBorders>
            <w:shd w:val="clear" w:color="auto" w:fill="C2D69B"/>
            <w:noWrap/>
            <w:vAlign w:val="center"/>
          </w:tcPr>
          <w:p w14:paraId="4089189A" w14:textId="77777777" w:rsidR="00AA6E02" w:rsidRDefault="00AA6E02">
            <w:pPr>
              <w:spacing w:after="0"/>
              <w:jc w:val="center"/>
              <w:rPr>
                <w:rFonts w:ascii="Calibri" w:eastAsia="@Arial Unicode MS" w:hAnsi="Calibri" w:cs="Times New Roman"/>
                <w:bCs/>
                <w:i/>
                <w:iCs/>
                <w:sz w:val="20"/>
                <w:lang w:val="es-ES" w:eastAsia="pt-BR"/>
              </w:rPr>
            </w:pPr>
            <w:r>
              <w:rPr>
                <w:rFonts w:ascii="Calibri" w:eastAsia="@Arial Unicode MS" w:hAnsi="Calibri" w:cs="Times New Roman"/>
                <w:bCs/>
                <w:i/>
                <w:iCs/>
                <w:sz w:val="20"/>
                <w:lang w:val="es-ES" w:eastAsia="pt-BR"/>
              </w:rPr>
              <w:t>Propietario</w:t>
            </w:r>
          </w:p>
          <w:p w14:paraId="6681AF00" w14:textId="77777777" w:rsidR="00AA6E02" w:rsidRDefault="00AA6E02">
            <w:pPr>
              <w:spacing w:after="0"/>
              <w:jc w:val="center"/>
              <w:rPr>
                <w:rFonts w:ascii="Calibri" w:eastAsia="@Arial Unicode MS" w:hAnsi="Calibri" w:cs="Times New Roman"/>
                <w:bCs/>
                <w:i/>
                <w:iCs/>
                <w:sz w:val="20"/>
                <w:lang w:val="es-ES" w:eastAsia="pt-BR"/>
              </w:rPr>
            </w:pPr>
          </w:p>
        </w:tc>
      </w:tr>
      <w:tr w:rsidR="00AA6E02" w14:paraId="12AB3585" w14:textId="77777777" w:rsidTr="00AA6E02">
        <w:trPr>
          <w:trHeight w:val="571"/>
          <w:jc w:val="center"/>
        </w:trPr>
        <w:tc>
          <w:tcPr>
            <w:tcW w:w="1476" w:type="dxa"/>
            <w:tcBorders>
              <w:top w:val="single" w:sz="4" w:space="0" w:color="auto"/>
              <w:left w:val="single" w:sz="8" w:space="0" w:color="auto"/>
              <w:bottom w:val="single" w:sz="4" w:space="0" w:color="auto"/>
              <w:right w:val="single" w:sz="4" w:space="0" w:color="999999"/>
            </w:tcBorders>
            <w:shd w:val="clear" w:color="auto" w:fill="C2D69B"/>
            <w:noWrap/>
            <w:vAlign w:val="center"/>
          </w:tcPr>
          <w:p w14:paraId="22D0FD3E" w14:textId="77777777" w:rsidR="00AA6E02" w:rsidRDefault="00AA6E02">
            <w:pPr>
              <w:spacing w:after="0"/>
              <w:jc w:val="center"/>
              <w:rPr>
                <w:rFonts w:ascii="Calibri" w:eastAsia="Calibri" w:hAnsi="Calibri" w:cs="Times New Roman"/>
                <w:bCs/>
                <w:iCs/>
                <w:sz w:val="20"/>
                <w:lang w:val="es-ES" w:eastAsia="pt-BR"/>
              </w:rPr>
            </w:pPr>
            <w:r>
              <w:rPr>
                <w:rFonts w:ascii="Calibri" w:eastAsia="Calibri" w:hAnsi="Calibri" w:cs="Times New Roman"/>
                <w:bCs/>
                <w:iCs/>
                <w:sz w:val="20"/>
                <w:lang w:val="es-ES" w:eastAsia="pt-BR"/>
              </w:rPr>
              <w:t>ARGENTINA</w:t>
            </w:r>
          </w:p>
          <w:p w14:paraId="46900977" w14:textId="77777777" w:rsidR="00AA6E02" w:rsidRDefault="00AA6E02">
            <w:pPr>
              <w:spacing w:after="0"/>
              <w:jc w:val="center"/>
              <w:rPr>
                <w:rFonts w:ascii="Calibri" w:eastAsia="Calibri" w:hAnsi="Calibri" w:cs="Times New Roman"/>
                <w:bCs/>
                <w:iCs/>
                <w:sz w:val="20"/>
                <w:lang w:val="es-ES" w:eastAsia="pt-BR"/>
              </w:rPr>
            </w:pPr>
          </w:p>
        </w:tc>
        <w:tc>
          <w:tcPr>
            <w:tcW w:w="1418" w:type="dxa"/>
            <w:tcBorders>
              <w:top w:val="single" w:sz="4" w:space="0" w:color="auto"/>
              <w:left w:val="single" w:sz="4" w:space="0" w:color="999999"/>
              <w:bottom w:val="single" w:sz="4" w:space="0" w:color="auto"/>
              <w:right w:val="single" w:sz="4" w:space="0" w:color="999999"/>
            </w:tcBorders>
            <w:noWrap/>
            <w:vAlign w:val="center"/>
          </w:tcPr>
          <w:p w14:paraId="1EC8012F"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RA-10</w:t>
            </w:r>
          </w:p>
          <w:p w14:paraId="79E23193" w14:textId="77777777" w:rsidR="00AA6E02" w:rsidRDefault="00AA6E02">
            <w:pPr>
              <w:spacing w:after="0"/>
              <w:jc w:val="center"/>
              <w:rPr>
                <w:rFonts w:ascii="Calibri" w:eastAsia="Calibri" w:hAnsi="Calibri" w:cs="Times New Roman"/>
                <w:bCs/>
                <w:i/>
                <w:iCs/>
                <w:sz w:val="20"/>
                <w:lang w:val="es-ES" w:eastAsia="pt-BR"/>
              </w:rPr>
            </w:pPr>
          </w:p>
        </w:tc>
        <w:tc>
          <w:tcPr>
            <w:tcW w:w="1083" w:type="dxa"/>
            <w:tcBorders>
              <w:top w:val="single" w:sz="4" w:space="0" w:color="auto"/>
              <w:left w:val="single" w:sz="4" w:space="0" w:color="999999"/>
              <w:bottom w:val="single" w:sz="4" w:space="0" w:color="auto"/>
              <w:right w:val="single" w:sz="4" w:space="0" w:color="999999"/>
            </w:tcBorders>
            <w:noWrap/>
            <w:vAlign w:val="center"/>
          </w:tcPr>
          <w:p w14:paraId="7594DBDF"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Piscina</w:t>
            </w:r>
          </w:p>
          <w:p w14:paraId="6AC3E36F" w14:textId="77777777" w:rsidR="00AA6E02" w:rsidRDefault="00AA6E02">
            <w:pPr>
              <w:spacing w:after="0"/>
              <w:jc w:val="center"/>
              <w:rPr>
                <w:rFonts w:ascii="Calibri" w:eastAsia="Calibri" w:hAnsi="Calibri" w:cs="Times New Roman"/>
                <w:bCs/>
                <w:i/>
                <w:iCs/>
                <w:sz w:val="20"/>
                <w:lang w:val="es-ES" w:eastAsia="pt-BR"/>
              </w:rPr>
            </w:pPr>
          </w:p>
        </w:tc>
        <w:tc>
          <w:tcPr>
            <w:tcW w:w="1134" w:type="dxa"/>
            <w:tcBorders>
              <w:top w:val="single" w:sz="4" w:space="0" w:color="auto"/>
              <w:left w:val="single" w:sz="4" w:space="0" w:color="999999"/>
              <w:bottom w:val="single" w:sz="4" w:space="0" w:color="auto"/>
              <w:right w:val="single" w:sz="4" w:space="0" w:color="999999"/>
            </w:tcBorders>
            <w:noWrap/>
            <w:vAlign w:val="center"/>
          </w:tcPr>
          <w:p w14:paraId="77F9090A" w14:textId="77777777" w:rsidR="00AA6E02" w:rsidRDefault="00AA6E02">
            <w:pPr>
              <w:spacing w:after="0"/>
              <w:jc w:val="center"/>
              <w:rPr>
                <w:rFonts w:ascii="Calibri" w:eastAsia="Calibri" w:hAnsi="Calibri" w:cs="Times New Roman"/>
                <w:bCs/>
                <w:sz w:val="20"/>
                <w:lang w:val="es-ES" w:eastAsia="pt-BR"/>
              </w:rPr>
            </w:pPr>
            <w:r>
              <w:rPr>
                <w:rFonts w:ascii="Calibri" w:eastAsia="Calibri" w:hAnsi="Calibri" w:cs="Times New Roman"/>
                <w:bCs/>
                <w:sz w:val="20"/>
                <w:lang w:val="es-ES" w:eastAsia="pt-BR"/>
              </w:rPr>
              <w:t>30000</w:t>
            </w:r>
          </w:p>
          <w:p w14:paraId="27DCBE2B" w14:textId="77777777" w:rsidR="00AA6E02" w:rsidRDefault="00AA6E02">
            <w:pPr>
              <w:spacing w:after="0"/>
              <w:jc w:val="center"/>
              <w:rPr>
                <w:rFonts w:ascii="Calibri" w:eastAsia="Calibri" w:hAnsi="Calibri" w:cs="Times New Roman"/>
                <w:bCs/>
                <w:sz w:val="20"/>
                <w:lang w:val="es-ES" w:eastAsia="pt-BR"/>
              </w:rPr>
            </w:pPr>
          </w:p>
        </w:tc>
        <w:tc>
          <w:tcPr>
            <w:tcW w:w="1600" w:type="dxa"/>
            <w:tcBorders>
              <w:top w:val="single" w:sz="4" w:space="0" w:color="auto"/>
              <w:left w:val="single" w:sz="4" w:space="0" w:color="999999"/>
              <w:bottom w:val="single" w:sz="4" w:space="0" w:color="auto"/>
              <w:right w:val="single" w:sz="4" w:space="0" w:color="999999"/>
            </w:tcBorders>
            <w:noWrap/>
            <w:vAlign w:val="center"/>
            <w:hideMark/>
          </w:tcPr>
          <w:p w14:paraId="5A784313"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19.75</w:t>
            </w:r>
          </w:p>
        </w:tc>
        <w:tc>
          <w:tcPr>
            <w:tcW w:w="1930" w:type="dxa"/>
            <w:tcBorders>
              <w:top w:val="single" w:sz="4" w:space="0" w:color="auto"/>
              <w:left w:val="single" w:sz="4" w:space="0" w:color="999999"/>
              <w:bottom w:val="single" w:sz="4" w:space="0" w:color="auto"/>
              <w:right w:val="single" w:sz="8" w:space="0" w:color="auto"/>
            </w:tcBorders>
            <w:noWrap/>
            <w:vAlign w:val="center"/>
            <w:hideMark/>
          </w:tcPr>
          <w:p w14:paraId="52B2065E" w14:textId="6CE4D304" w:rsidR="00AA6E02" w:rsidRDefault="00AA6E02">
            <w:pPr>
              <w:spacing w:after="0"/>
              <w:jc w:val="center"/>
              <w:rPr>
                <w:rFonts w:ascii="Calibri" w:eastAsia="Calibri" w:hAnsi="Calibri" w:cs="Times New Roman"/>
                <w:bCs/>
                <w:iCs/>
                <w:sz w:val="20"/>
                <w:lang w:val="es-ES" w:eastAsia="pt-BR"/>
              </w:rPr>
            </w:pPr>
            <w:r>
              <w:rPr>
                <w:rFonts w:ascii="Calibri" w:eastAsia="Calibri" w:hAnsi="Calibri" w:cs="Times New Roman"/>
                <w:bCs/>
                <w:iCs/>
                <w:sz w:val="20"/>
                <w:lang w:val="es-ES" w:eastAsia="pt-BR"/>
              </w:rPr>
              <w:t>CNEA,</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Ezeiza</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Buenos</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Aires</w:t>
            </w:r>
          </w:p>
        </w:tc>
      </w:tr>
      <w:tr w:rsidR="00AA6E02" w14:paraId="3D4DF17D" w14:textId="77777777" w:rsidTr="00AA6E02">
        <w:trPr>
          <w:trHeight w:val="571"/>
          <w:jc w:val="center"/>
        </w:trPr>
        <w:tc>
          <w:tcPr>
            <w:tcW w:w="1476" w:type="dxa"/>
            <w:tcBorders>
              <w:top w:val="single" w:sz="4" w:space="0" w:color="auto"/>
              <w:left w:val="single" w:sz="8" w:space="0" w:color="auto"/>
              <w:bottom w:val="single" w:sz="4" w:space="0" w:color="auto"/>
              <w:right w:val="single" w:sz="4" w:space="0" w:color="999999"/>
            </w:tcBorders>
            <w:shd w:val="clear" w:color="auto" w:fill="C2D69B"/>
            <w:noWrap/>
            <w:vAlign w:val="center"/>
          </w:tcPr>
          <w:p w14:paraId="4D30DBF9" w14:textId="77777777" w:rsidR="00AA6E02" w:rsidRDefault="00AA6E02">
            <w:pPr>
              <w:spacing w:after="0"/>
              <w:jc w:val="center"/>
              <w:rPr>
                <w:rFonts w:ascii="Calibri" w:eastAsia="Calibri" w:hAnsi="Calibri" w:cs="Times New Roman"/>
                <w:bCs/>
                <w:iCs/>
                <w:sz w:val="20"/>
                <w:lang w:val="es-ES" w:eastAsia="pt-BR"/>
              </w:rPr>
            </w:pPr>
            <w:r>
              <w:rPr>
                <w:rFonts w:ascii="Calibri" w:eastAsia="Calibri" w:hAnsi="Calibri" w:cs="Times New Roman"/>
                <w:bCs/>
                <w:iCs/>
                <w:sz w:val="20"/>
                <w:lang w:val="es-ES" w:eastAsia="pt-BR"/>
              </w:rPr>
              <w:t>ARGENTINA</w:t>
            </w:r>
          </w:p>
          <w:p w14:paraId="6673C32F" w14:textId="77777777" w:rsidR="00AA6E02" w:rsidRDefault="00AA6E02">
            <w:pPr>
              <w:spacing w:after="0"/>
              <w:jc w:val="center"/>
              <w:rPr>
                <w:rFonts w:ascii="Calibri" w:eastAsia="Calibri" w:hAnsi="Calibri" w:cs="Times New Roman"/>
                <w:bCs/>
                <w:iCs/>
                <w:sz w:val="20"/>
                <w:lang w:val="es-ES" w:eastAsia="pt-BR"/>
              </w:rPr>
            </w:pPr>
          </w:p>
        </w:tc>
        <w:tc>
          <w:tcPr>
            <w:tcW w:w="1418" w:type="dxa"/>
            <w:tcBorders>
              <w:top w:val="single" w:sz="4" w:space="0" w:color="auto"/>
              <w:left w:val="single" w:sz="4" w:space="0" w:color="999999"/>
              <w:bottom w:val="single" w:sz="4" w:space="0" w:color="auto"/>
              <w:right w:val="single" w:sz="4" w:space="0" w:color="999999"/>
            </w:tcBorders>
            <w:noWrap/>
            <w:vAlign w:val="center"/>
            <w:hideMark/>
          </w:tcPr>
          <w:p w14:paraId="0213D937" w14:textId="4FF56216"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CAREM</w:t>
            </w:r>
            <w:r w:rsidR="00D136BB">
              <w:rPr>
                <w:rFonts w:ascii="Calibri" w:eastAsia="Calibri" w:hAnsi="Calibri" w:cs="Times New Roman"/>
                <w:bCs/>
                <w:i/>
                <w:iCs/>
                <w:sz w:val="20"/>
                <w:lang w:val="es-ES" w:eastAsia="pt-BR"/>
              </w:rPr>
              <w:t xml:space="preserve"> </w:t>
            </w:r>
            <w:r>
              <w:rPr>
                <w:rFonts w:ascii="Calibri" w:eastAsia="Calibri" w:hAnsi="Calibri" w:cs="Times New Roman"/>
                <w:bCs/>
                <w:i/>
                <w:iCs/>
                <w:sz w:val="20"/>
                <w:lang w:val="es-ES" w:eastAsia="pt-BR"/>
              </w:rPr>
              <w:t>25</w:t>
            </w:r>
          </w:p>
        </w:tc>
        <w:tc>
          <w:tcPr>
            <w:tcW w:w="1083" w:type="dxa"/>
            <w:tcBorders>
              <w:top w:val="single" w:sz="4" w:space="0" w:color="auto"/>
              <w:left w:val="single" w:sz="4" w:space="0" w:color="999999"/>
              <w:bottom w:val="single" w:sz="4" w:space="0" w:color="auto"/>
              <w:right w:val="single" w:sz="4" w:space="0" w:color="999999"/>
            </w:tcBorders>
            <w:noWrap/>
            <w:vAlign w:val="center"/>
            <w:hideMark/>
          </w:tcPr>
          <w:p w14:paraId="4E80BF1D" w14:textId="64C2BD9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PWR</w:t>
            </w:r>
            <w:r w:rsidR="00D136BB">
              <w:rPr>
                <w:rFonts w:ascii="Calibri" w:eastAsia="Calibri" w:hAnsi="Calibri" w:cs="Times New Roman"/>
                <w:bCs/>
                <w:i/>
                <w:iCs/>
                <w:sz w:val="20"/>
                <w:lang w:val="es-ES" w:eastAsia="pt-BR"/>
              </w:rPr>
              <w:t xml:space="preserve"> </w:t>
            </w:r>
            <w:r>
              <w:rPr>
                <w:rFonts w:ascii="Calibri" w:eastAsia="Calibri" w:hAnsi="Calibri" w:cs="Times New Roman"/>
                <w:bCs/>
                <w:i/>
                <w:iCs/>
                <w:sz w:val="20"/>
                <w:lang w:val="es-ES" w:eastAsia="pt-BR"/>
              </w:rPr>
              <w:t>Propulsion</w:t>
            </w:r>
          </w:p>
        </w:tc>
        <w:tc>
          <w:tcPr>
            <w:tcW w:w="1134" w:type="dxa"/>
            <w:tcBorders>
              <w:top w:val="single" w:sz="4" w:space="0" w:color="auto"/>
              <w:left w:val="single" w:sz="4" w:space="0" w:color="999999"/>
              <w:bottom w:val="single" w:sz="4" w:space="0" w:color="auto"/>
              <w:right w:val="single" w:sz="4" w:space="0" w:color="999999"/>
            </w:tcBorders>
            <w:noWrap/>
            <w:vAlign w:val="center"/>
            <w:hideMark/>
          </w:tcPr>
          <w:p w14:paraId="3C3094DA" w14:textId="77777777" w:rsidR="00AA6E02" w:rsidRDefault="00AA6E02">
            <w:pPr>
              <w:spacing w:after="0"/>
              <w:jc w:val="center"/>
              <w:rPr>
                <w:rFonts w:ascii="Calibri" w:eastAsia="Calibri" w:hAnsi="Calibri" w:cs="Times New Roman"/>
                <w:bCs/>
                <w:sz w:val="20"/>
                <w:lang w:val="es-ES" w:eastAsia="pt-BR"/>
              </w:rPr>
            </w:pPr>
            <w:r>
              <w:rPr>
                <w:rFonts w:ascii="Calibri" w:eastAsia="Calibri" w:hAnsi="Calibri" w:cs="Times New Roman"/>
                <w:bCs/>
                <w:sz w:val="20"/>
                <w:lang w:val="es-ES" w:eastAsia="pt-BR"/>
              </w:rPr>
              <w:t>100000</w:t>
            </w:r>
          </w:p>
        </w:tc>
        <w:tc>
          <w:tcPr>
            <w:tcW w:w="1600" w:type="dxa"/>
            <w:tcBorders>
              <w:top w:val="single" w:sz="4" w:space="0" w:color="auto"/>
              <w:left w:val="single" w:sz="4" w:space="0" w:color="999999"/>
              <w:bottom w:val="single" w:sz="4" w:space="0" w:color="auto"/>
              <w:right w:val="single" w:sz="4" w:space="0" w:color="999999"/>
            </w:tcBorders>
            <w:noWrap/>
            <w:vAlign w:val="center"/>
            <w:hideMark/>
          </w:tcPr>
          <w:p w14:paraId="2ECB4D75"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3.4</w:t>
            </w:r>
          </w:p>
        </w:tc>
        <w:tc>
          <w:tcPr>
            <w:tcW w:w="1930" w:type="dxa"/>
            <w:tcBorders>
              <w:top w:val="single" w:sz="4" w:space="0" w:color="auto"/>
              <w:left w:val="single" w:sz="4" w:space="0" w:color="999999"/>
              <w:bottom w:val="single" w:sz="4" w:space="0" w:color="auto"/>
              <w:right w:val="single" w:sz="8" w:space="0" w:color="auto"/>
            </w:tcBorders>
            <w:noWrap/>
            <w:vAlign w:val="center"/>
            <w:hideMark/>
          </w:tcPr>
          <w:p w14:paraId="48674850" w14:textId="7959A4B6" w:rsidR="00AA6E02" w:rsidRDefault="00AA6E02">
            <w:pPr>
              <w:spacing w:after="0"/>
              <w:jc w:val="center"/>
              <w:rPr>
                <w:rFonts w:ascii="Calibri" w:eastAsia="Calibri" w:hAnsi="Calibri" w:cs="Times New Roman"/>
                <w:bCs/>
                <w:iCs/>
                <w:sz w:val="20"/>
                <w:lang w:val="es-ES" w:eastAsia="pt-BR"/>
              </w:rPr>
            </w:pPr>
            <w:r>
              <w:rPr>
                <w:rFonts w:ascii="Calibri" w:eastAsia="Calibri" w:hAnsi="Calibri" w:cs="Times New Roman"/>
                <w:bCs/>
                <w:iCs/>
                <w:sz w:val="20"/>
                <w:lang w:val="es-ES" w:eastAsia="pt-BR"/>
              </w:rPr>
              <w:t>CNEA,</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Ezeiza</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Buenos</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Aires</w:t>
            </w:r>
          </w:p>
        </w:tc>
      </w:tr>
      <w:tr w:rsidR="00AA6E02" w14:paraId="248442B5" w14:textId="77777777" w:rsidTr="00AA6E02">
        <w:trPr>
          <w:trHeight w:val="571"/>
          <w:jc w:val="center"/>
        </w:trPr>
        <w:tc>
          <w:tcPr>
            <w:tcW w:w="1476" w:type="dxa"/>
            <w:tcBorders>
              <w:top w:val="single" w:sz="4" w:space="0" w:color="auto"/>
              <w:left w:val="single" w:sz="8" w:space="0" w:color="auto"/>
              <w:bottom w:val="single" w:sz="4" w:space="0" w:color="auto"/>
              <w:right w:val="single" w:sz="4" w:space="0" w:color="999999"/>
            </w:tcBorders>
            <w:shd w:val="clear" w:color="auto" w:fill="C2D69B"/>
            <w:noWrap/>
            <w:vAlign w:val="center"/>
          </w:tcPr>
          <w:p w14:paraId="72362CBD" w14:textId="77777777" w:rsidR="00AA6E02" w:rsidRDefault="00AA6E02">
            <w:pPr>
              <w:spacing w:after="0"/>
              <w:jc w:val="center"/>
              <w:rPr>
                <w:rFonts w:ascii="Calibri" w:eastAsia="Calibri" w:hAnsi="Calibri" w:cs="Times New Roman"/>
                <w:bCs/>
                <w:iCs/>
                <w:sz w:val="20"/>
                <w:lang w:val="es-ES" w:eastAsia="pt-BR"/>
              </w:rPr>
            </w:pPr>
            <w:r>
              <w:rPr>
                <w:rFonts w:ascii="Calibri" w:eastAsia="Calibri" w:hAnsi="Calibri" w:cs="Times New Roman"/>
                <w:bCs/>
                <w:iCs/>
                <w:sz w:val="20"/>
                <w:lang w:val="es-ES" w:eastAsia="pt-BR"/>
              </w:rPr>
              <w:t>BOLIVIA</w:t>
            </w:r>
          </w:p>
          <w:p w14:paraId="235F30D1" w14:textId="77777777" w:rsidR="00AA6E02" w:rsidRDefault="00AA6E02">
            <w:pPr>
              <w:spacing w:after="0"/>
              <w:jc w:val="center"/>
              <w:rPr>
                <w:rFonts w:ascii="Calibri" w:eastAsia="Calibri" w:hAnsi="Calibri" w:cs="Times New Roman"/>
                <w:bCs/>
                <w:iCs/>
                <w:sz w:val="20"/>
                <w:lang w:val="es-ES" w:eastAsia="pt-BR"/>
              </w:rPr>
            </w:pPr>
          </w:p>
        </w:tc>
        <w:tc>
          <w:tcPr>
            <w:tcW w:w="1418" w:type="dxa"/>
            <w:tcBorders>
              <w:top w:val="single" w:sz="4" w:space="0" w:color="auto"/>
              <w:left w:val="single" w:sz="4" w:space="0" w:color="999999"/>
              <w:bottom w:val="single" w:sz="4" w:space="0" w:color="auto"/>
              <w:right w:val="single" w:sz="4" w:space="0" w:color="999999"/>
            </w:tcBorders>
            <w:noWrap/>
            <w:vAlign w:val="center"/>
          </w:tcPr>
          <w:p w14:paraId="15E099F8"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RNI</w:t>
            </w:r>
          </w:p>
          <w:p w14:paraId="647F82FA" w14:textId="77777777" w:rsidR="00AA6E02" w:rsidRDefault="00AA6E02">
            <w:pPr>
              <w:spacing w:after="0"/>
              <w:jc w:val="center"/>
              <w:rPr>
                <w:rFonts w:ascii="Calibri" w:eastAsia="Calibri" w:hAnsi="Calibri" w:cs="Times New Roman"/>
                <w:bCs/>
                <w:i/>
                <w:iCs/>
                <w:sz w:val="20"/>
                <w:lang w:val="es-ES" w:eastAsia="pt-BR"/>
              </w:rPr>
            </w:pPr>
          </w:p>
        </w:tc>
        <w:tc>
          <w:tcPr>
            <w:tcW w:w="1083" w:type="dxa"/>
            <w:tcBorders>
              <w:top w:val="single" w:sz="4" w:space="0" w:color="auto"/>
              <w:left w:val="single" w:sz="4" w:space="0" w:color="999999"/>
              <w:bottom w:val="single" w:sz="4" w:space="0" w:color="auto"/>
              <w:right w:val="single" w:sz="4" w:space="0" w:color="999999"/>
            </w:tcBorders>
            <w:noWrap/>
            <w:vAlign w:val="center"/>
          </w:tcPr>
          <w:p w14:paraId="0AD0A064"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Piscina</w:t>
            </w:r>
          </w:p>
          <w:p w14:paraId="00A5E191" w14:textId="77777777" w:rsidR="00AA6E02" w:rsidRDefault="00AA6E02">
            <w:pPr>
              <w:spacing w:after="0"/>
              <w:jc w:val="center"/>
              <w:rPr>
                <w:rFonts w:ascii="Calibri" w:eastAsia="Calibri" w:hAnsi="Calibri" w:cs="Times New Roman"/>
                <w:bCs/>
                <w:i/>
                <w:iCs/>
                <w:sz w:val="20"/>
                <w:lang w:val="es-ES" w:eastAsia="pt-BR"/>
              </w:rPr>
            </w:pPr>
          </w:p>
        </w:tc>
        <w:tc>
          <w:tcPr>
            <w:tcW w:w="1134" w:type="dxa"/>
            <w:tcBorders>
              <w:top w:val="single" w:sz="4" w:space="0" w:color="auto"/>
              <w:left w:val="single" w:sz="4" w:space="0" w:color="999999"/>
              <w:bottom w:val="single" w:sz="4" w:space="0" w:color="auto"/>
              <w:right w:val="single" w:sz="4" w:space="0" w:color="999999"/>
            </w:tcBorders>
            <w:noWrap/>
            <w:vAlign w:val="center"/>
          </w:tcPr>
          <w:p w14:paraId="76CB24DB" w14:textId="77777777" w:rsidR="00AA6E02" w:rsidRDefault="00AA6E02">
            <w:pPr>
              <w:spacing w:after="0"/>
              <w:jc w:val="center"/>
              <w:rPr>
                <w:rFonts w:ascii="Calibri" w:eastAsia="Calibri" w:hAnsi="Calibri" w:cs="Times New Roman"/>
                <w:bCs/>
                <w:sz w:val="20"/>
                <w:lang w:val="es-ES" w:eastAsia="pt-BR"/>
              </w:rPr>
            </w:pPr>
            <w:r>
              <w:rPr>
                <w:rFonts w:ascii="Calibri" w:eastAsia="Calibri" w:hAnsi="Calibri" w:cs="Times New Roman"/>
                <w:bCs/>
                <w:sz w:val="20"/>
                <w:lang w:val="es-ES" w:eastAsia="pt-BR"/>
              </w:rPr>
              <w:t>200</w:t>
            </w:r>
          </w:p>
          <w:p w14:paraId="6A51D3B4" w14:textId="77777777" w:rsidR="00AA6E02" w:rsidRDefault="00AA6E02">
            <w:pPr>
              <w:spacing w:after="0"/>
              <w:jc w:val="center"/>
              <w:rPr>
                <w:rFonts w:ascii="Calibri" w:eastAsia="Calibri" w:hAnsi="Calibri" w:cs="Times New Roman"/>
                <w:bCs/>
                <w:sz w:val="20"/>
                <w:lang w:val="es-ES" w:eastAsia="pt-BR"/>
              </w:rPr>
            </w:pPr>
          </w:p>
        </w:tc>
        <w:tc>
          <w:tcPr>
            <w:tcW w:w="1600" w:type="dxa"/>
            <w:tcBorders>
              <w:top w:val="single" w:sz="4" w:space="0" w:color="auto"/>
              <w:left w:val="single" w:sz="4" w:space="0" w:color="999999"/>
              <w:bottom w:val="single" w:sz="4" w:space="0" w:color="auto"/>
              <w:right w:val="single" w:sz="4" w:space="0" w:color="999999"/>
            </w:tcBorders>
            <w:noWrap/>
            <w:vAlign w:val="center"/>
            <w:hideMark/>
          </w:tcPr>
          <w:p w14:paraId="60338637" w14:textId="4121D52A"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&lt;</w:t>
            </w:r>
            <w:r w:rsidR="00D136BB">
              <w:rPr>
                <w:rFonts w:ascii="Calibri" w:eastAsia="Calibri" w:hAnsi="Calibri" w:cs="Times New Roman"/>
                <w:bCs/>
                <w:i/>
                <w:iCs/>
                <w:sz w:val="20"/>
                <w:lang w:val="es-ES" w:eastAsia="pt-BR"/>
              </w:rPr>
              <w:t xml:space="preserve"> </w:t>
            </w:r>
            <w:r>
              <w:rPr>
                <w:rFonts w:ascii="Calibri" w:eastAsia="Calibri" w:hAnsi="Calibri" w:cs="Times New Roman"/>
                <w:bCs/>
                <w:i/>
                <w:iCs/>
                <w:sz w:val="20"/>
                <w:lang w:val="es-ES" w:eastAsia="pt-BR"/>
              </w:rPr>
              <w:t>20</w:t>
            </w:r>
          </w:p>
        </w:tc>
        <w:tc>
          <w:tcPr>
            <w:tcW w:w="1930" w:type="dxa"/>
            <w:tcBorders>
              <w:top w:val="single" w:sz="4" w:space="0" w:color="auto"/>
              <w:left w:val="single" w:sz="4" w:space="0" w:color="999999"/>
              <w:bottom w:val="single" w:sz="4" w:space="0" w:color="auto"/>
              <w:right w:val="single" w:sz="8" w:space="0" w:color="auto"/>
            </w:tcBorders>
            <w:noWrap/>
            <w:vAlign w:val="center"/>
            <w:hideMark/>
          </w:tcPr>
          <w:p w14:paraId="33B0E66A" w14:textId="209C2BD2" w:rsidR="00AA6E02" w:rsidRDefault="00AA6E02">
            <w:pPr>
              <w:spacing w:after="0"/>
              <w:jc w:val="center"/>
              <w:rPr>
                <w:rFonts w:ascii="Calibri" w:eastAsia="Calibri" w:hAnsi="Calibri" w:cs="Times New Roman"/>
                <w:bCs/>
                <w:iCs/>
                <w:sz w:val="20"/>
                <w:lang w:val="es-ES" w:eastAsia="pt-BR"/>
              </w:rPr>
            </w:pPr>
            <w:r>
              <w:rPr>
                <w:rFonts w:ascii="Calibri" w:eastAsia="Calibri" w:hAnsi="Calibri" w:cs="Times New Roman"/>
                <w:bCs/>
                <w:iCs/>
                <w:sz w:val="20"/>
                <w:lang w:val="es-ES" w:eastAsia="pt-BR"/>
              </w:rPr>
              <w:t>Agencia</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Boliviana</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de</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Energía</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Nuclear,</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Ministerio</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de</w:t>
            </w:r>
            <w:r w:rsidR="00D136BB">
              <w:rPr>
                <w:rFonts w:ascii="Calibri" w:eastAsia="Calibri" w:hAnsi="Calibri" w:cs="Times New Roman"/>
                <w:bCs/>
                <w:iCs/>
                <w:sz w:val="20"/>
                <w:lang w:val="es-ES" w:eastAsia="pt-BR"/>
              </w:rPr>
              <w:t xml:space="preserve"> </w:t>
            </w:r>
            <w:r>
              <w:rPr>
                <w:rFonts w:ascii="Calibri" w:eastAsia="Calibri" w:hAnsi="Calibri" w:cs="Times New Roman"/>
                <w:bCs/>
                <w:iCs/>
                <w:sz w:val="20"/>
                <w:lang w:val="es-ES" w:eastAsia="pt-BR"/>
              </w:rPr>
              <w:t>Energías</w:t>
            </w:r>
          </w:p>
        </w:tc>
      </w:tr>
      <w:tr w:rsidR="00AA6E02" w:rsidRPr="00851F36" w14:paraId="22867CC1" w14:textId="77777777" w:rsidTr="00AA6E02">
        <w:trPr>
          <w:trHeight w:val="571"/>
          <w:jc w:val="center"/>
        </w:trPr>
        <w:tc>
          <w:tcPr>
            <w:tcW w:w="1476" w:type="dxa"/>
            <w:tcBorders>
              <w:top w:val="single" w:sz="4" w:space="0" w:color="auto"/>
              <w:left w:val="single" w:sz="8" w:space="0" w:color="auto"/>
              <w:bottom w:val="single" w:sz="4" w:space="0" w:color="auto"/>
              <w:right w:val="single" w:sz="4" w:space="0" w:color="999999"/>
            </w:tcBorders>
            <w:shd w:val="clear" w:color="auto" w:fill="C2D69B"/>
            <w:noWrap/>
            <w:vAlign w:val="center"/>
          </w:tcPr>
          <w:p w14:paraId="00FFD733" w14:textId="77777777" w:rsidR="00AA6E02" w:rsidRDefault="00AA6E02">
            <w:pPr>
              <w:spacing w:after="0"/>
              <w:jc w:val="center"/>
              <w:rPr>
                <w:rFonts w:ascii="Calibri" w:eastAsia="Calibri" w:hAnsi="Calibri" w:cs="Times New Roman"/>
                <w:bCs/>
                <w:iCs/>
                <w:sz w:val="20"/>
                <w:lang w:val="es-ES" w:eastAsia="pt-BR"/>
              </w:rPr>
            </w:pPr>
            <w:r>
              <w:rPr>
                <w:rFonts w:ascii="Calibri" w:eastAsia="Calibri" w:hAnsi="Calibri" w:cs="Times New Roman"/>
                <w:bCs/>
                <w:iCs/>
                <w:sz w:val="20"/>
                <w:lang w:val="es-ES" w:eastAsia="pt-BR"/>
              </w:rPr>
              <w:t>BRASIL</w:t>
            </w:r>
          </w:p>
          <w:p w14:paraId="71EF70E7" w14:textId="77777777" w:rsidR="00AA6E02" w:rsidRDefault="00AA6E02">
            <w:pPr>
              <w:spacing w:after="0"/>
              <w:jc w:val="center"/>
              <w:rPr>
                <w:rFonts w:ascii="Calibri" w:eastAsia="Calibri" w:hAnsi="Calibri" w:cs="Times New Roman"/>
                <w:bCs/>
                <w:iCs/>
                <w:sz w:val="20"/>
                <w:lang w:val="es-ES" w:eastAsia="pt-BR"/>
              </w:rPr>
            </w:pPr>
          </w:p>
        </w:tc>
        <w:tc>
          <w:tcPr>
            <w:tcW w:w="1418" w:type="dxa"/>
            <w:tcBorders>
              <w:top w:val="single" w:sz="4" w:space="0" w:color="auto"/>
              <w:left w:val="single" w:sz="4" w:space="0" w:color="999999"/>
              <w:bottom w:val="single" w:sz="4" w:space="0" w:color="auto"/>
              <w:right w:val="single" w:sz="4" w:space="0" w:color="999999"/>
            </w:tcBorders>
            <w:noWrap/>
            <w:vAlign w:val="center"/>
          </w:tcPr>
          <w:p w14:paraId="09CB42A9"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RMB</w:t>
            </w:r>
          </w:p>
          <w:p w14:paraId="55C90C42" w14:textId="77777777" w:rsidR="00AA6E02" w:rsidRDefault="00AA6E02">
            <w:pPr>
              <w:spacing w:after="0"/>
              <w:jc w:val="center"/>
              <w:rPr>
                <w:rFonts w:ascii="Calibri" w:eastAsia="Calibri" w:hAnsi="Calibri" w:cs="Times New Roman"/>
                <w:bCs/>
                <w:i/>
                <w:iCs/>
                <w:sz w:val="20"/>
                <w:lang w:val="es-ES" w:eastAsia="pt-BR"/>
              </w:rPr>
            </w:pPr>
          </w:p>
        </w:tc>
        <w:tc>
          <w:tcPr>
            <w:tcW w:w="1083" w:type="dxa"/>
            <w:tcBorders>
              <w:top w:val="single" w:sz="4" w:space="0" w:color="auto"/>
              <w:left w:val="single" w:sz="4" w:space="0" w:color="999999"/>
              <w:bottom w:val="single" w:sz="4" w:space="0" w:color="auto"/>
              <w:right w:val="single" w:sz="4" w:space="0" w:color="999999"/>
            </w:tcBorders>
            <w:noWrap/>
            <w:vAlign w:val="center"/>
          </w:tcPr>
          <w:p w14:paraId="1CE82907"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Piscina</w:t>
            </w:r>
          </w:p>
          <w:p w14:paraId="117ABE59" w14:textId="77777777" w:rsidR="00AA6E02" w:rsidRDefault="00AA6E02">
            <w:pPr>
              <w:spacing w:after="0"/>
              <w:jc w:val="center"/>
              <w:rPr>
                <w:rFonts w:ascii="Calibri" w:eastAsia="Calibri" w:hAnsi="Calibri" w:cs="Times New Roman"/>
                <w:bCs/>
                <w:i/>
                <w:iCs/>
                <w:sz w:val="20"/>
                <w:lang w:val="es-ES" w:eastAsia="pt-BR"/>
              </w:rPr>
            </w:pPr>
          </w:p>
        </w:tc>
        <w:tc>
          <w:tcPr>
            <w:tcW w:w="1134" w:type="dxa"/>
            <w:tcBorders>
              <w:top w:val="single" w:sz="4" w:space="0" w:color="auto"/>
              <w:left w:val="single" w:sz="4" w:space="0" w:color="999999"/>
              <w:bottom w:val="single" w:sz="4" w:space="0" w:color="auto"/>
              <w:right w:val="single" w:sz="4" w:space="0" w:color="999999"/>
            </w:tcBorders>
            <w:noWrap/>
            <w:vAlign w:val="center"/>
          </w:tcPr>
          <w:p w14:paraId="2CE516C7" w14:textId="77777777" w:rsidR="00AA6E02" w:rsidRDefault="00AA6E02">
            <w:pPr>
              <w:spacing w:after="0"/>
              <w:jc w:val="center"/>
              <w:rPr>
                <w:rFonts w:ascii="Calibri" w:eastAsia="Calibri" w:hAnsi="Calibri" w:cs="Times New Roman"/>
                <w:bCs/>
                <w:sz w:val="20"/>
                <w:lang w:val="es-ES" w:eastAsia="pt-BR"/>
              </w:rPr>
            </w:pPr>
            <w:r>
              <w:rPr>
                <w:rFonts w:ascii="Calibri" w:eastAsia="Calibri" w:hAnsi="Calibri" w:cs="Times New Roman"/>
                <w:bCs/>
                <w:sz w:val="20"/>
                <w:lang w:val="es-ES" w:eastAsia="pt-BR"/>
              </w:rPr>
              <w:t>30000</w:t>
            </w:r>
          </w:p>
          <w:p w14:paraId="6BA79DD7" w14:textId="77777777" w:rsidR="00AA6E02" w:rsidRDefault="00AA6E02">
            <w:pPr>
              <w:spacing w:after="0"/>
              <w:jc w:val="center"/>
              <w:rPr>
                <w:rFonts w:ascii="Calibri" w:eastAsia="Calibri" w:hAnsi="Calibri" w:cs="Times New Roman"/>
                <w:bCs/>
                <w:sz w:val="20"/>
                <w:lang w:val="es-ES" w:eastAsia="pt-BR"/>
              </w:rPr>
            </w:pPr>
          </w:p>
        </w:tc>
        <w:tc>
          <w:tcPr>
            <w:tcW w:w="1600" w:type="dxa"/>
            <w:tcBorders>
              <w:top w:val="single" w:sz="4" w:space="0" w:color="auto"/>
              <w:left w:val="single" w:sz="4" w:space="0" w:color="999999"/>
              <w:bottom w:val="single" w:sz="4" w:space="0" w:color="auto"/>
              <w:right w:val="single" w:sz="4" w:space="0" w:color="999999"/>
            </w:tcBorders>
            <w:noWrap/>
            <w:vAlign w:val="center"/>
            <w:hideMark/>
          </w:tcPr>
          <w:p w14:paraId="185F413C" w14:textId="77777777" w:rsidR="00AA6E02" w:rsidRDefault="00AA6E02">
            <w:pPr>
              <w:spacing w:after="0"/>
              <w:jc w:val="center"/>
              <w:rPr>
                <w:rFonts w:ascii="Calibri" w:eastAsia="Calibri" w:hAnsi="Calibri" w:cs="Times New Roman"/>
                <w:bCs/>
                <w:i/>
                <w:iCs/>
                <w:sz w:val="20"/>
                <w:lang w:val="es-ES" w:eastAsia="pt-BR"/>
              </w:rPr>
            </w:pPr>
            <w:r>
              <w:rPr>
                <w:rFonts w:ascii="Calibri" w:eastAsia="Calibri" w:hAnsi="Calibri" w:cs="Times New Roman"/>
                <w:bCs/>
                <w:i/>
                <w:iCs/>
                <w:sz w:val="20"/>
                <w:lang w:val="es-ES" w:eastAsia="pt-BR"/>
              </w:rPr>
              <w:t>19.75</w:t>
            </w:r>
          </w:p>
        </w:tc>
        <w:tc>
          <w:tcPr>
            <w:tcW w:w="1930" w:type="dxa"/>
            <w:tcBorders>
              <w:top w:val="single" w:sz="4" w:space="0" w:color="auto"/>
              <w:left w:val="single" w:sz="4" w:space="0" w:color="999999"/>
              <w:bottom w:val="single" w:sz="4" w:space="0" w:color="auto"/>
              <w:right w:val="single" w:sz="8" w:space="0" w:color="auto"/>
            </w:tcBorders>
            <w:noWrap/>
            <w:vAlign w:val="center"/>
            <w:hideMark/>
          </w:tcPr>
          <w:p w14:paraId="195665A7" w14:textId="522A0767" w:rsidR="00AA6E02" w:rsidRDefault="00AA6E02">
            <w:pPr>
              <w:spacing w:after="0"/>
              <w:jc w:val="center"/>
              <w:rPr>
                <w:rFonts w:ascii="Calibri" w:eastAsia="Calibri" w:hAnsi="Calibri" w:cs="Times New Roman"/>
                <w:bCs/>
                <w:iCs/>
                <w:sz w:val="20"/>
                <w:lang w:val="pt-BR" w:eastAsia="pt-BR"/>
              </w:rPr>
            </w:pPr>
            <w:r>
              <w:rPr>
                <w:rFonts w:ascii="Calibri" w:eastAsia="Calibri" w:hAnsi="Calibri" w:cs="Times New Roman"/>
                <w:bCs/>
                <w:iCs/>
                <w:sz w:val="20"/>
                <w:lang w:val="pt-BR" w:eastAsia="pt-BR"/>
              </w:rPr>
              <w:t>Comissão</w:t>
            </w:r>
            <w:r w:rsidR="00D136BB">
              <w:rPr>
                <w:rFonts w:ascii="Calibri" w:eastAsia="Calibri" w:hAnsi="Calibri" w:cs="Times New Roman"/>
                <w:bCs/>
                <w:iCs/>
                <w:sz w:val="20"/>
                <w:lang w:val="pt-BR" w:eastAsia="pt-BR"/>
              </w:rPr>
              <w:t xml:space="preserve"> </w:t>
            </w:r>
            <w:r>
              <w:rPr>
                <w:rFonts w:ascii="Calibri" w:eastAsia="Calibri" w:hAnsi="Calibri" w:cs="Times New Roman"/>
                <w:bCs/>
                <w:iCs/>
                <w:sz w:val="20"/>
                <w:lang w:val="pt-BR" w:eastAsia="pt-BR"/>
              </w:rPr>
              <w:t>Nacional</w:t>
            </w:r>
            <w:r w:rsidR="00D136BB">
              <w:rPr>
                <w:rFonts w:ascii="Calibri" w:eastAsia="Calibri" w:hAnsi="Calibri" w:cs="Times New Roman"/>
                <w:bCs/>
                <w:iCs/>
                <w:sz w:val="20"/>
                <w:lang w:val="pt-BR" w:eastAsia="pt-BR"/>
              </w:rPr>
              <w:t xml:space="preserve"> </w:t>
            </w:r>
            <w:r>
              <w:rPr>
                <w:rFonts w:ascii="Calibri" w:eastAsia="Calibri" w:hAnsi="Calibri" w:cs="Times New Roman"/>
                <w:bCs/>
                <w:iCs/>
                <w:sz w:val="20"/>
                <w:lang w:val="pt-BR" w:eastAsia="pt-BR"/>
              </w:rPr>
              <w:t>de</w:t>
            </w:r>
            <w:r w:rsidR="00D136BB">
              <w:rPr>
                <w:rFonts w:ascii="Calibri" w:eastAsia="Calibri" w:hAnsi="Calibri" w:cs="Times New Roman"/>
                <w:bCs/>
                <w:iCs/>
                <w:sz w:val="20"/>
                <w:lang w:val="pt-BR" w:eastAsia="pt-BR"/>
              </w:rPr>
              <w:t xml:space="preserve"> </w:t>
            </w:r>
            <w:r>
              <w:rPr>
                <w:rFonts w:ascii="Calibri" w:eastAsia="Calibri" w:hAnsi="Calibri" w:cs="Times New Roman"/>
                <w:bCs/>
                <w:iCs/>
                <w:sz w:val="20"/>
                <w:lang w:val="pt-BR" w:eastAsia="pt-BR"/>
              </w:rPr>
              <w:t>Energia</w:t>
            </w:r>
            <w:r w:rsidR="00D136BB">
              <w:rPr>
                <w:rFonts w:ascii="Calibri" w:eastAsia="Calibri" w:hAnsi="Calibri" w:cs="Times New Roman"/>
                <w:bCs/>
                <w:iCs/>
                <w:sz w:val="20"/>
                <w:lang w:val="pt-BR" w:eastAsia="pt-BR"/>
              </w:rPr>
              <w:t xml:space="preserve"> </w:t>
            </w:r>
            <w:r>
              <w:rPr>
                <w:rFonts w:ascii="Calibri" w:eastAsia="Calibri" w:hAnsi="Calibri" w:cs="Times New Roman"/>
                <w:bCs/>
                <w:iCs/>
                <w:sz w:val="20"/>
                <w:lang w:val="pt-BR" w:eastAsia="pt-BR"/>
              </w:rPr>
              <w:t>Nuclear</w:t>
            </w:r>
          </w:p>
        </w:tc>
      </w:tr>
    </w:tbl>
    <w:p w14:paraId="1C6CBDB9" w14:textId="77777777" w:rsidR="00AA6E02" w:rsidRDefault="00AA6E02" w:rsidP="00AA6E02">
      <w:pPr>
        <w:spacing w:after="240" w:line="240" w:lineRule="auto"/>
        <w:jc w:val="both"/>
        <w:rPr>
          <w:rFonts w:ascii="Times New Roman" w:eastAsia="Times New Roman" w:hAnsi="Times New Roman" w:cs="Times New Roman"/>
          <w:sz w:val="24"/>
          <w:szCs w:val="20"/>
          <w:lang w:val="pt-BR"/>
        </w:rPr>
      </w:pPr>
    </w:p>
    <w:p w14:paraId="12B7323C" w14:textId="0FE65A49" w:rsidR="00AA6E02" w:rsidRDefault="00D136BB"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pt-BR"/>
        </w:rPr>
        <w:t xml:space="preserve"> </w:t>
      </w:r>
      <w:r w:rsidR="00AA6E02">
        <w:rPr>
          <w:rFonts w:ascii="Times New Roman" w:eastAsia="Times New Roman" w:hAnsi="Times New Roman" w:cs="Times New Roman"/>
          <w:sz w:val="24"/>
          <w:szCs w:val="20"/>
          <w:lang w:val="es-ES"/>
        </w:rPr>
        <w:t>El</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objetivo</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de</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estos</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reactores</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está</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orientado</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a</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la</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provisión</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de</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fuente</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de</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neutrones</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para</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investigación,</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experimentación,</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capacitación</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de</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recursos</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humanos,</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educación</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a</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nivel</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académico</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de</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grado</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y</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posgrado</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y</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para</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la</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producción</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de</w:t>
      </w:r>
      <w:r>
        <w:rPr>
          <w:rFonts w:ascii="Times New Roman" w:eastAsia="Times New Roman" w:hAnsi="Times New Roman" w:cs="Times New Roman"/>
          <w:sz w:val="24"/>
          <w:szCs w:val="20"/>
          <w:lang w:val="es-ES"/>
        </w:rPr>
        <w:t xml:space="preserve"> </w:t>
      </w:r>
      <w:r w:rsidR="00AA6E02">
        <w:rPr>
          <w:rFonts w:ascii="Times New Roman" w:eastAsia="Times New Roman" w:hAnsi="Times New Roman" w:cs="Times New Roman"/>
          <w:sz w:val="24"/>
          <w:szCs w:val="20"/>
          <w:lang w:val="es-ES"/>
        </w:rPr>
        <w:t>radioisótopos.</w:t>
      </w:r>
      <w:r>
        <w:rPr>
          <w:rFonts w:ascii="Times New Roman" w:eastAsia="Times New Roman" w:hAnsi="Times New Roman" w:cs="Times New Roman"/>
          <w:sz w:val="24"/>
          <w:szCs w:val="20"/>
          <w:lang w:val="es-ES"/>
        </w:rPr>
        <w:t xml:space="preserve"> </w:t>
      </w:r>
    </w:p>
    <w:p w14:paraId="190EDAFA" w14:textId="24526493"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Durante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más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70</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años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experimentales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centros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producción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innovación,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ciencia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tecnología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nucleares.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soporte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investigaciones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multidisciplinarias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que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abarcan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nuevos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desarrollos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producción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radioisótopos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usos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médicos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industriales,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investigación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haces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neutrones,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medicina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humana,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desarrollo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materiales,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prueba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calificación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componentes,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validaciones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códigos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computacionales,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etc.</w:t>
      </w:r>
    </w:p>
    <w:p w14:paraId="69F35E9E" w14:textId="709B9EE6"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Ha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habido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variados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proyectos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actividades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cooperación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entre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distintos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países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ámbitos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física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producción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radioisótopos,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cursos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entrenamiento,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puesta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marcha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Estas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iniciativas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ejecutadas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proyectos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regionales,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nacionales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apoyo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OIEA,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así</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forma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bilateral.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ámbito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ARCAL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también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llevado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cabo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proyectos.</w:t>
      </w:r>
    </w:p>
    <w:p w14:paraId="3881BD46" w14:textId="3B6A3098"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plano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bilateral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destaca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colaboración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entre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Argentina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Perú</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diseño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construcción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RP</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0</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RP</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10.</w:t>
      </w:r>
    </w:p>
    <w:p w14:paraId="6446F328" w14:textId="42E41C0E"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lastRenderedPageBreak/>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campo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desarrollo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fabricación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combustible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existido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colaboración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entre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Argentina,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Brasil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Chile.</w:t>
      </w:r>
      <w:r w:rsidR="00D136BB">
        <w:rPr>
          <w:rFonts w:ascii="Times New Roman" w:eastAsia="Times New Roman" w:hAnsi="Times New Roman" w:cs="Times New Roman"/>
          <w:sz w:val="24"/>
          <w:szCs w:val="20"/>
          <w:lang w:val="es-ES"/>
        </w:rPr>
        <w:t xml:space="preserve"> </w:t>
      </w:r>
    </w:p>
    <w:p w14:paraId="10EB1F60" w14:textId="71EF7809"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cuanto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diseño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construcción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experimentales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producción,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Argentina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diseñado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construido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varios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(RA-3,</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RA-6</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RA-8),</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así</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también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exportado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Perú</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(RP-10,</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10</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MW,</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1988),</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Argelia,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(NUR,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1MW,</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1989),</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Egipto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(ETR-2,</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22MW,</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1997),</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Australia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(OPAL,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20</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MW,</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2006).</w:t>
      </w:r>
    </w:p>
    <w:p w14:paraId="271F512F" w14:textId="0C83C6D4"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conversión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combustible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bajo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enriquecimiento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algunos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objeto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aumentos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potencia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modernización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su</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instrumentación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control.</w:t>
      </w:r>
      <w:r w:rsidR="00D136BB">
        <w:rPr>
          <w:rFonts w:ascii="Times New Roman" w:eastAsia="Times New Roman" w:hAnsi="Times New Roman" w:cs="Times New Roman"/>
          <w:sz w:val="24"/>
          <w:szCs w:val="20"/>
          <w:lang w:val="es-ES"/>
        </w:rPr>
        <w:t xml:space="preserve"> </w:t>
      </w:r>
    </w:p>
    <w:p w14:paraId="777A5176" w14:textId="2A0A642D"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marco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OIEA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realizado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variadas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reuniones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tendientes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promover,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estrechar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ampliar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cooperación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regional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utilización,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seguridad</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combustible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desde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2001</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hasta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fecha.</w:t>
      </w:r>
    </w:p>
    <w:p w14:paraId="2A941075" w14:textId="2873BD61"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desarrollo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recursos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humanos,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que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incluye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actividades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divulgación,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educación,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capacitación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entrenamiento,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puede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realizarse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cualquier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región.</w:t>
      </w:r>
      <w:r w:rsidR="00D136BB">
        <w:rPr>
          <w:rFonts w:ascii="Times New Roman" w:eastAsia="Times New Roman" w:hAnsi="Times New Roman" w:cs="Times New Roman"/>
          <w:sz w:val="24"/>
          <w:szCs w:val="20"/>
          <w:lang w:val="es-ES"/>
        </w:rPr>
        <w:t xml:space="preserve">  </w:t>
      </w:r>
    </w:p>
    <w:p w14:paraId="0D482443" w14:textId="33D93FD3"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campo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operación,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mantenimiento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radio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protección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estos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puede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lograr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mutua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cooperación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regional,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mejorar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prácticas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habituales,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asistencia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mutua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estas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tareas.</w:t>
      </w:r>
    </w:p>
    <w:p w14:paraId="23A3C3F5" w14:textId="2F5FBD0A"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que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concierne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documentación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aseguramiento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calidad,</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resulta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conveniente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cooperación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conjunta,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implementar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modificaciones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incorporadas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guías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seguridad,</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que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refiere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documentación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gestión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calidad.</w:t>
      </w:r>
    </w:p>
    <w:p w14:paraId="5CA14885" w14:textId="452A2AF3"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campo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instrumentación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control,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mayoría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instrumentación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investigación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obsoleta,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existe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falta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componentes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mercado.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Existe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posibilidad</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desarrollar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fabricar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partes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utilizando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experiencia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adquirida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donde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Argentina,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Brasil,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Chile,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Colombia,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México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Perú</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formado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sólido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grupo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instrumentación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control.</w:t>
      </w:r>
      <w:r w:rsidR="00D136BB">
        <w:rPr>
          <w:rFonts w:ascii="Times New Roman" w:eastAsia="Times New Roman" w:hAnsi="Times New Roman" w:cs="Times New Roman"/>
          <w:sz w:val="24"/>
          <w:szCs w:val="20"/>
          <w:lang w:val="es-ES"/>
        </w:rPr>
        <w:t xml:space="preserve"> </w:t>
      </w:r>
    </w:p>
    <w:p w14:paraId="32681133" w14:textId="134E8A9D" w:rsidR="00AA6E02" w:rsidRDefault="00AA6E02" w:rsidP="00AA6E02">
      <w:pPr>
        <w:spacing w:after="240" w:line="240" w:lineRule="auto"/>
        <w:jc w:val="both"/>
        <w:rPr>
          <w:rFonts w:ascii="Times New Roman" w:eastAsia="Times New Roman" w:hAnsi="Times New Roman" w:cs="Times New Roman"/>
          <w:sz w:val="24"/>
          <w:szCs w:val="20"/>
          <w:lang w:val="es-ES"/>
        </w:rPr>
      </w:pPr>
      <w:r>
        <w:rPr>
          <w:rFonts w:ascii="Times New Roman" w:eastAsia="Times New Roman" w:hAnsi="Times New Roman" w:cs="Times New Roman"/>
          <w:sz w:val="24"/>
          <w:szCs w:val="20"/>
          <w:lang w:val="es-ES"/>
        </w:rPr>
        <w:t>Dentro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región,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existe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capacidad</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asociada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herramientas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cálculo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físico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neutrónico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técnicas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experimentales,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marco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optimización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diseño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uso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experimentales,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problemas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tales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manejo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núcleo;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diseño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caracterización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dispositivos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irradiación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configuraciones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experimentales;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blindajes;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dosimetría;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configuración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haces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irradiación;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diseño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y</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caracterización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facilidades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irradiación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(BNCT,</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NR,</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PGNAA);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asociación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critica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disposición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elementos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combustibles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irradiados;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manejo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ciclo</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vida</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los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reactores;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herramientas</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validación</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de</w:t>
      </w:r>
      <w:r w:rsidR="00D136BB">
        <w:rPr>
          <w:rFonts w:ascii="Times New Roman" w:eastAsia="Times New Roman" w:hAnsi="Times New Roman" w:cs="Times New Roman"/>
          <w:sz w:val="24"/>
          <w:szCs w:val="20"/>
          <w:lang w:val="es-ES"/>
        </w:rPr>
        <w:t xml:space="preserve"> </w:t>
      </w:r>
      <w:r>
        <w:rPr>
          <w:rFonts w:ascii="Times New Roman" w:eastAsia="Times New Roman" w:hAnsi="Times New Roman" w:cs="Times New Roman"/>
          <w:sz w:val="24"/>
          <w:szCs w:val="20"/>
          <w:lang w:val="es-ES"/>
        </w:rPr>
        <w:t>cálculos.</w:t>
      </w:r>
    </w:p>
    <w:p w14:paraId="5D68A72B" w14:textId="1312D22C" w:rsidR="00AA6E02" w:rsidRDefault="00AA6E02" w:rsidP="00AA6E02">
      <w:pPr>
        <w:spacing w:after="240" w:line="240" w:lineRule="auto"/>
        <w:jc w:val="both"/>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t>Los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resultados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obtenidos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Proyecto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RLA/0/037,</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Proyecto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ARCAL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CXIX</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[7]</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indican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que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uno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principales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usos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reactores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investigación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está</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relacionado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producción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radioisótopos.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radioisótopos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producidos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reactores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nucleares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mayor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volumen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demanda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valores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región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son,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primer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lugar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99</w:t>
      </w:r>
      <w:r>
        <w:rPr>
          <w:rFonts w:ascii="Times New Roman" w:eastAsia="Times New Roman" w:hAnsi="Times New Roman" w:cs="Times New Roman"/>
          <w:color w:val="000000"/>
          <w:sz w:val="24"/>
          <w:szCs w:val="24"/>
          <w:lang w:val="es-ES" w:eastAsia="es-MX"/>
        </w:rPr>
        <w:t>Mo,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seguido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131</w:t>
      </w:r>
      <w:r>
        <w:rPr>
          <w:rFonts w:ascii="Times New Roman" w:eastAsia="Times New Roman" w:hAnsi="Times New Roman" w:cs="Times New Roman"/>
          <w:color w:val="000000"/>
          <w:sz w:val="24"/>
          <w:szCs w:val="24"/>
          <w:lang w:val="es-ES" w:eastAsia="es-MX"/>
        </w:rPr>
        <w:t>I,</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192</w:t>
      </w:r>
      <w:r>
        <w:rPr>
          <w:rFonts w:ascii="Times New Roman" w:eastAsia="Times New Roman" w:hAnsi="Times New Roman" w:cs="Times New Roman"/>
          <w:color w:val="000000"/>
          <w:sz w:val="24"/>
          <w:szCs w:val="24"/>
          <w:lang w:val="es-ES" w:eastAsia="es-MX"/>
        </w:rPr>
        <w:t>Ir,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177</w:t>
      </w:r>
      <w:r>
        <w:rPr>
          <w:rFonts w:ascii="Times New Roman" w:eastAsia="Times New Roman" w:hAnsi="Times New Roman" w:cs="Times New Roman"/>
          <w:color w:val="000000"/>
          <w:sz w:val="24"/>
          <w:szCs w:val="24"/>
          <w:lang w:val="es-ES" w:eastAsia="es-MX"/>
        </w:rPr>
        <w:t>Lu,</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153</w:t>
      </w:r>
      <w:r>
        <w:rPr>
          <w:rFonts w:ascii="Times New Roman" w:eastAsia="Times New Roman" w:hAnsi="Times New Roman" w:cs="Times New Roman"/>
          <w:color w:val="000000"/>
          <w:sz w:val="24"/>
          <w:szCs w:val="24"/>
          <w:lang w:val="es-ES" w:eastAsia="es-MX"/>
        </w:rPr>
        <w:t>Sm,</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90</w:t>
      </w:r>
      <w:r>
        <w:rPr>
          <w:rFonts w:ascii="Times New Roman" w:eastAsia="Times New Roman" w:hAnsi="Times New Roman" w:cs="Times New Roman"/>
          <w:color w:val="000000"/>
          <w:sz w:val="24"/>
          <w:szCs w:val="24"/>
          <w:lang w:val="es-ES" w:eastAsia="es-MX"/>
        </w:rPr>
        <w:t>Y,</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125</w:t>
      </w:r>
      <w:r>
        <w:rPr>
          <w:rFonts w:ascii="Times New Roman" w:eastAsia="Times New Roman" w:hAnsi="Times New Roman" w:cs="Times New Roman"/>
          <w:color w:val="000000"/>
          <w:sz w:val="24"/>
          <w:szCs w:val="24"/>
          <w:lang w:val="es-ES" w:eastAsia="es-MX"/>
        </w:rPr>
        <w:t>I</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y</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32</w:t>
      </w:r>
      <w:r>
        <w:rPr>
          <w:rFonts w:ascii="Times New Roman" w:eastAsia="Times New Roman" w:hAnsi="Times New Roman" w:cs="Times New Roman"/>
          <w:color w:val="000000"/>
          <w:sz w:val="24"/>
          <w:szCs w:val="24"/>
          <w:lang w:val="es-ES" w:eastAsia="es-MX"/>
        </w:rPr>
        <w:t>P.</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demanda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regional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radioisótopos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producidos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reactores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nucleares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rondó</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21,6</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millones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USD</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2012,</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siendo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99</w:t>
      </w:r>
      <w:r>
        <w:rPr>
          <w:rFonts w:ascii="Times New Roman" w:eastAsia="Times New Roman" w:hAnsi="Times New Roman" w:cs="Times New Roman"/>
          <w:color w:val="000000"/>
          <w:sz w:val="24"/>
          <w:szCs w:val="24"/>
          <w:lang w:val="es-ES" w:eastAsia="es-MX"/>
        </w:rPr>
        <w:t>Mo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fisión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mayor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importancia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relativa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77%</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total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seguido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por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131</w:t>
      </w:r>
      <w:r>
        <w:rPr>
          <w:rFonts w:ascii="Times New Roman" w:eastAsia="Times New Roman" w:hAnsi="Times New Roman" w:cs="Times New Roman"/>
          <w:color w:val="000000"/>
          <w:sz w:val="24"/>
          <w:szCs w:val="24"/>
          <w:lang w:val="es-ES" w:eastAsia="es-MX"/>
        </w:rPr>
        <w:t>I</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13%</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y</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192</w:t>
      </w:r>
      <w:r>
        <w:rPr>
          <w:rFonts w:ascii="Times New Roman" w:eastAsia="Times New Roman" w:hAnsi="Times New Roman" w:cs="Times New Roman"/>
          <w:color w:val="000000"/>
          <w:sz w:val="24"/>
          <w:szCs w:val="24"/>
          <w:lang w:val="es-ES" w:eastAsia="es-MX"/>
        </w:rPr>
        <w:t>Ir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6%.</w:t>
      </w:r>
    </w:p>
    <w:p w14:paraId="12E20E11" w14:textId="0578E74E" w:rsidR="00AA6E02" w:rsidRDefault="00AA6E02" w:rsidP="00AA6E02">
      <w:pPr>
        <w:spacing w:after="240" w:line="240" w:lineRule="auto"/>
        <w:jc w:val="both"/>
        <w:rPr>
          <w:rFonts w:ascii="Times New Roman" w:eastAsia="Times New Roman" w:hAnsi="Times New Roman" w:cs="Times New Roman"/>
          <w:color w:val="000000"/>
          <w:sz w:val="24"/>
          <w:szCs w:val="24"/>
          <w:lang w:val="es-ES" w:eastAsia="es-MX"/>
        </w:rPr>
      </w:pPr>
      <w:r>
        <w:rPr>
          <w:rFonts w:ascii="Times New Roman" w:eastAsia="Times New Roman" w:hAnsi="Times New Roman" w:cs="Times New Roman"/>
          <w:color w:val="000000"/>
          <w:sz w:val="24"/>
          <w:szCs w:val="24"/>
          <w:lang w:val="es-ES" w:eastAsia="es-MX"/>
        </w:rPr>
        <w:lastRenderedPageBreak/>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demanda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regional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presentó</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valor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unos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28</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millones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USD</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2017,</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considerando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que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crecimiento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para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99-Mo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fisión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destinado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producción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generadores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fue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7%,</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coincidiendo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datos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evolución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estimados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entre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2010</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y</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2012.</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Tanto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demanda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99-Mo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como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resto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radioisótopos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se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ha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mantenido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estable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hasta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actualidad,</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alguna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baja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temporaria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exportaciones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debida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restricciones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vuelos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internacionales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regulares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por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pandemia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COVID-19.</w:t>
      </w:r>
    </w:p>
    <w:p w14:paraId="054255CE" w14:textId="59CD4E3B" w:rsidR="00AA6E02" w:rsidRDefault="00AA6E02" w:rsidP="00AA6E02">
      <w:pPr>
        <w:spacing w:after="240" w:line="240" w:lineRule="auto"/>
        <w:jc w:val="both"/>
        <w:rPr>
          <w:rFonts w:ascii="Times New Roman" w:eastAsia="Times New Roman" w:hAnsi="Times New Roman" w:cs="Times New Roman"/>
          <w:color w:val="000000"/>
          <w:sz w:val="24"/>
          <w:szCs w:val="24"/>
          <w:lang w:val="es-ES" w:eastAsia="es-MX"/>
        </w:rPr>
      </w:pPr>
      <w:bookmarkStart w:id="22" w:name="_gjdgxs"/>
      <w:bookmarkEnd w:id="22"/>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producción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regional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cubre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52%</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demanda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99</w:t>
      </w:r>
      <w:r>
        <w:rPr>
          <w:rFonts w:ascii="Times New Roman" w:eastAsia="Times New Roman" w:hAnsi="Times New Roman" w:cs="Times New Roman"/>
          <w:color w:val="000000"/>
          <w:sz w:val="24"/>
          <w:szCs w:val="24"/>
          <w:lang w:val="es-ES" w:eastAsia="es-MX"/>
        </w:rPr>
        <w:t>Mo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fisión,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37%</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131</w:t>
      </w:r>
      <w:r>
        <w:rPr>
          <w:rFonts w:ascii="Times New Roman" w:eastAsia="Times New Roman" w:hAnsi="Times New Roman" w:cs="Times New Roman"/>
          <w:color w:val="000000"/>
          <w:sz w:val="24"/>
          <w:szCs w:val="24"/>
          <w:lang w:val="es-ES" w:eastAsia="es-MX"/>
        </w:rPr>
        <w:t>I</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y</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23%</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vertAlign w:val="superscript"/>
          <w:lang w:val="es-ES" w:eastAsia="es-MX"/>
        </w:rPr>
        <w:t>192</w:t>
      </w:r>
      <w:r>
        <w:rPr>
          <w:rFonts w:ascii="Times New Roman" w:eastAsia="Times New Roman" w:hAnsi="Times New Roman" w:cs="Times New Roman"/>
          <w:color w:val="000000"/>
          <w:sz w:val="24"/>
          <w:szCs w:val="24"/>
          <w:lang w:val="es-ES" w:eastAsia="es-MX"/>
        </w:rPr>
        <w:t>Ir.</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Esta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producción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genera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aproximadamente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10,3</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millones</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USD,</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o</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sea,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48%</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la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demanda</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regional</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en</w:t>
      </w:r>
      <w:r w:rsidR="00D136BB">
        <w:rPr>
          <w:rFonts w:ascii="Times New Roman" w:eastAsia="Times New Roman" w:hAnsi="Times New Roman" w:cs="Times New Roman"/>
          <w:color w:val="000000"/>
          <w:sz w:val="24"/>
          <w:szCs w:val="24"/>
          <w:lang w:val="es-ES" w:eastAsia="es-MX"/>
        </w:rPr>
        <w:t xml:space="preserve"> </w:t>
      </w:r>
      <w:r>
        <w:rPr>
          <w:rFonts w:ascii="Times New Roman" w:eastAsia="Times New Roman" w:hAnsi="Times New Roman" w:cs="Times New Roman"/>
          <w:color w:val="000000"/>
          <w:sz w:val="24"/>
          <w:szCs w:val="24"/>
          <w:lang w:val="es-ES" w:eastAsia="es-MX"/>
        </w:rPr>
        <w:t>valores.</w:t>
      </w:r>
      <w:r w:rsidR="00D136BB">
        <w:rPr>
          <w:rFonts w:ascii="Times New Roman" w:eastAsia="Times New Roman" w:hAnsi="Times New Roman" w:cs="Times New Roman"/>
          <w:color w:val="000000"/>
          <w:sz w:val="24"/>
          <w:szCs w:val="24"/>
          <w:lang w:val="es-ES" w:eastAsia="es-MX"/>
        </w:rPr>
        <w:t xml:space="preserve"> </w:t>
      </w:r>
    </w:p>
    <w:p w14:paraId="5CE27914" w14:textId="1D93741D" w:rsidR="00AA6E02" w:rsidRDefault="00AA6E02" w:rsidP="00AA6E02">
      <w:pPr>
        <w:spacing w:after="0" w:line="240" w:lineRule="auto"/>
        <w:jc w:val="both"/>
        <w:rPr>
          <w:rFonts w:ascii="Times" w:eastAsia="Times" w:hAnsi="Times" w:cs="Times"/>
          <w:sz w:val="24"/>
          <w:szCs w:val="24"/>
          <w:lang w:val="es-ES" w:eastAsia="es-MX"/>
        </w:rPr>
      </w:pPr>
      <w:r>
        <w:rPr>
          <w:rFonts w:ascii="Times" w:eastAsia="Times" w:hAnsi="Times" w:cs="Times"/>
          <w:sz w:val="24"/>
          <w:szCs w:val="24"/>
          <w:lang w:val="es-ES" w:eastAsia="es-MX"/>
        </w:rPr>
        <w:t>El</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reactor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RA-3</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ha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estado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produciendo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rutinariamente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unos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400</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Ci</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seis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días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por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semana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99Mo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durante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varios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años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hasta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el</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presente.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producción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RA-3</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cubre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actualmente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demanda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nacional</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99-Mo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131-</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I,</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que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son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radioisótopos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mayor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uso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medicina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nuclear.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También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produce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153-</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Sm</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32-</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Además,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posee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capacidad</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para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producir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192-Ir.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producción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177-</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Lu</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se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encuentra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etapa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desarrollo.</w:t>
      </w:r>
    </w:p>
    <w:p w14:paraId="774BEBC6" w14:textId="77777777" w:rsidR="00AA6E02" w:rsidRDefault="00AA6E02" w:rsidP="00AA6E02">
      <w:pPr>
        <w:spacing w:after="0" w:line="240" w:lineRule="auto"/>
        <w:jc w:val="both"/>
        <w:rPr>
          <w:rFonts w:ascii="Times" w:eastAsia="Times" w:hAnsi="Times" w:cs="Times"/>
          <w:sz w:val="24"/>
          <w:szCs w:val="24"/>
          <w:lang w:val="es-ES" w:eastAsia="es-MX"/>
        </w:rPr>
      </w:pPr>
    </w:p>
    <w:p w14:paraId="36A10045" w14:textId="6960FF9C" w:rsidR="00AA6E02" w:rsidRDefault="00D136BB" w:rsidP="00AA6E02">
      <w:pPr>
        <w:spacing w:after="0" w:line="240" w:lineRule="auto"/>
        <w:jc w:val="both"/>
        <w:rPr>
          <w:rFonts w:ascii="Times" w:eastAsia="Times" w:hAnsi="Times" w:cs="Times"/>
          <w:sz w:val="24"/>
          <w:szCs w:val="24"/>
          <w:lang w:val="es-ES" w:eastAsia="es-MX"/>
        </w:rPr>
      </w:pP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Además,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del</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15</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al</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20%</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del</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volumen</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producción</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total</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se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exporta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otros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países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latinoamericanos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través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dos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empresas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privadas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nacionales,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en</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forma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generadores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99mTc</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y</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131I</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dosis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y</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cápsulas.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Hasta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el</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año</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2018</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se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exportaron</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entre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150</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y</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200</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Ci</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semanales</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99-Mo</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granel</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Brasil,</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cubriendo</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un</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tercio</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la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demanda</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de</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dicho</w:t>
      </w:r>
      <w:r>
        <w:rPr>
          <w:rFonts w:ascii="Times" w:eastAsia="Times" w:hAnsi="Times" w:cs="Times"/>
          <w:sz w:val="24"/>
          <w:szCs w:val="24"/>
          <w:lang w:val="es-ES" w:eastAsia="es-MX"/>
        </w:rPr>
        <w:t xml:space="preserve"> </w:t>
      </w:r>
      <w:r w:rsidR="00AA6E02">
        <w:rPr>
          <w:rFonts w:ascii="Times" w:eastAsia="Times" w:hAnsi="Times" w:cs="Times"/>
          <w:sz w:val="24"/>
          <w:szCs w:val="24"/>
          <w:lang w:val="es-ES" w:eastAsia="es-MX"/>
        </w:rPr>
        <w:t>país.</w:t>
      </w:r>
    </w:p>
    <w:p w14:paraId="59941BED" w14:textId="77777777" w:rsidR="00AA6E02" w:rsidRDefault="00AA6E02" w:rsidP="00AA6E02">
      <w:pPr>
        <w:spacing w:after="0" w:line="240" w:lineRule="auto"/>
        <w:jc w:val="both"/>
        <w:rPr>
          <w:rFonts w:ascii="Times" w:eastAsia="Times" w:hAnsi="Times" w:cs="Times"/>
          <w:sz w:val="24"/>
          <w:szCs w:val="24"/>
          <w:lang w:val="es-ES" w:eastAsia="es-MX"/>
        </w:rPr>
      </w:pPr>
    </w:p>
    <w:p w14:paraId="22002A2B" w14:textId="2864D9F3" w:rsidR="00AA6E02" w:rsidRDefault="00AA6E02" w:rsidP="00AA6E02">
      <w:pPr>
        <w:spacing w:after="0" w:line="240" w:lineRule="auto"/>
        <w:jc w:val="both"/>
        <w:rPr>
          <w:rFonts w:ascii="Times" w:eastAsia="Times" w:hAnsi="Times" w:cs="Times"/>
          <w:sz w:val="24"/>
          <w:szCs w:val="24"/>
          <w:lang w:val="es-ES" w:eastAsia="es-MX"/>
        </w:rPr>
      </w:pPr>
      <w:r>
        <w:rPr>
          <w:rFonts w:ascii="Times" w:eastAsia="Times" w:hAnsi="Times" w:cs="Times"/>
          <w:sz w:val="24"/>
          <w:szCs w:val="24"/>
          <w:lang w:val="es-ES" w:eastAsia="es-MX"/>
        </w:rPr>
        <w:t>El</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proyecto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del</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reactor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multipropósito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RA-10</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comenzó</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junio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2010</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con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el</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propósito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consolidar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mejorar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producción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radioisótopos,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suministrar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instalaciones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para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irradiación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elementos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materiales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combustibles,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ofrecer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nuevas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aplicaciones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servicios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campos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ciencia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tecnología.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La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instalación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del</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reactor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RA-10</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estará</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acompañada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por</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una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nueva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planta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producción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radioisótopos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fisión.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Esta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nueva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planta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tendrá</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nueve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celdas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calientes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principales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siete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celdas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auxiliares,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con</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una</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capacidad</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procesamiento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de</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2500</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Ci</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99Mo</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wk</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(6</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días)</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y</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400</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Ci</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131I</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w:t>
      </w:r>
      <w:r w:rsidR="00D136BB">
        <w:rPr>
          <w:rFonts w:ascii="Times" w:eastAsia="Times" w:hAnsi="Times" w:cs="Times"/>
          <w:sz w:val="24"/>
          <w:szCs w:val="24"/>
          <w:lang w:val="es-ES" w:eastAsia="es-MX"/>
        </w:rPr>
        <w:t xml:space="preserve"> </w:t>
      </w:r>
      <w:r>
        <w:rPr>
          <w:rFonts w:ascii="Times" w:eastAsia="Times" w:hAnsi="Times" w:cs="Times"/>
          <w:sz w:val="24"/>
          <w:szCs w:val="24"/>
          <w:lang w:val="es-ES" w:eastAsia="es-MX"/>
        </w:rPr>
        <w:t>wk.</w:t>
      </w:r>
    </w:p>
    <w:p w14:paraId="7B5E69A4" w14:textId="77777777" w:rsidR="00AA6E02" w:rsidRDefault="00AA6E02" w:rsidP="00AA6E02">
      <w:pPr>
        <w:autoSpaceDE w:val="0"/>
        <w:autoSpaceDN w:val="0"/>
        <w:adjustRightInd w:val="0"/>
        <w:spacing w:after="0" w:line="240" w:lineRule="auto"/>
        <w:rPr>
          <w:rFonts w:ascii="Calibri" w:eastAsia="Calibri" w:hAnsi="Calibri" w:cs="Times New Roman"/>
          <w:lang w:val="es-ES"/>
        </w:rPr>
      </w:pPr>
    </w:p>
    <w:p w14:paraId="61C8FF12" w14:textId="5C6FDCB8" w:rsidR="00853862" w:rsidRPr="00C36E86" w:rsidRDefault="00D136BB" w:rsidP="00853862">
      <w:pPr>
        <w:autoSpaceDE w:val="0"/>
        <w:autoSpaceDN w:val="0"/>
        <w:adjustRightInd w:val="0"/>
        <w:spacing w:after="0" w:line="240" w:lineRule="auto"/>
        <w:rPr>
          <w:lang w:val="es-ES"/>
        </w:rPr>
      </w:pPr>
      <w:r>
        <w:rPr>
          <w:lang w:val="es-ES"/>
        </w:rPr>
        <w:t xml:space="preserve"> </w:t>
      </w:r>
    </w:p>
    <w:p w14:paraId="336899D8" w14:textId="220A7587" w:rsidR="00AA6E02" w:rsidRDefault="00AA6E02" w:rsidP="00AA6E02">
      <w:pPr>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II.</w:t>
      </w:r>
      <w:r w:rsidR="00D136BB">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Análisis</w:t>
      </w:r>
      <w:r w:rsidR="00D136BB">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DAFO</w:t>
      </w:r>
      <w:bookmarkStart w:id="23" w:name="_Toc385241581"/>
    </w:p>
    <w:p w14:paraId="4EE2B195" w14:textId="198E95A2" w:rsidR="00AA6E02" w:rsidRDefault="00AA6E02" w:rsidP="00AA6E02">
      <w:pPr>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t>1.</w:t>
      </w:r>
      <w:r w:rsidR="00D136BB">
        <w:rPr>
          <w:rFonts w:ascii="Times New Roman" w:eastAsia="Calibri" w:hAnsi="Times New Roman" w:cs="Times New Roman"/>
          <w:b/>
          <w:bCs/>
          <w:sz w:val="24"/>
          <w:szCs w:val="24"/>
          <w:lang w:val="es-ES"/>
        </w:rPr>
        <w:t xml:space="preserve"> </w:t>
      </w:r>
      <w:r>
        <w:rPr>
          <w:rFonts w:ascii="Times New Roman" w:eastAsia="Calibri" w:hAnsi="Times New Roman" w:cs="Times New Roman"/>
          <w:b/>
          <w:bCs/>
          <w:sz w:val="24"/>
          <w:szCs w:val="24"/>
          <w:lang w:val="es-ES"/>
        </w:rPr>
        <w:t>Fortalezas</w:t>
      </w:r>
      <w:bookmarkEnd w:id="23"/>
    </w:p>
    <w:p w14:paraId="69C39138" w14:textId="2700E40E"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Capacidad</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planificación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nivel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local,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subregional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regional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realización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estudios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integrales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desarrollo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sostenible.</w:t>
      </w:r>
    </w:p>
    <w:p w14:paraId="0EA7075C" w14:textId="540952D7"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Planes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expansión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diversificación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matrices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eléctricas,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contemplando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cambio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climático,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Contribuciones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Nacionales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Determinadas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Objetivos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Desarrollo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Sostenible.</w:t>
      </w:r>
    </w:p>
    <w:p w14:paraId="38D20B1F" w14:textId="542CCA1C"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Existencia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una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cadena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productiva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desarrollo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ejecución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proyectos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sector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eléctrico.</w:t>
      </w:r>
    </w:p>
    <w:p w14:paraId="6D016EAA" w14:textId="12947F22"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instituciones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mantienen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conocimiento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sus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equipos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planificación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estratégica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largo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tiempo.</w:t>
      </w:r>
    </w:p>
    <w:p w14:paraId="6AFF57C2" w14:textId="5C1CF783"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Alto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nivel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electrificación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proyectos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interconexión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construcción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60D68BCF" w14:textId="16C81CFD"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Planes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expansión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capacidad</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generación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nucleoeléctrica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21BE786A" w14:textId="0BC5ADF2"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Experiencia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operacional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centrales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puede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compartida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nivel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regional.</w:t>
      </w:r>
    </w:p>
    <w:p w14:paraId="231E49C9" w14:textId="237E6C9E"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Experiencia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proyectos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extensión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vida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centrales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puede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compartida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nivel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regional.</w:t>
      </w:r>
    </w:p>
    <w:p w14:paraId="5C015E3D" w14:textId="6020A535"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Existencia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Institutos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programas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formación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grado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posgrado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área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3B89292B" w14:textId="379877A2"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Desarrollo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local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innovadores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algunos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17FD3CC0" w14:textId="5955A979"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Dominio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tecnológico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fabricación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combustible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investigación.</w:t>
      </w:r>
    </w:p>
    <w:p w14:paraId="69105B54" w14:textId="7524B08D"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Capacidad</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científica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tecnológica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algunos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operación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investigación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producción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radioisótopos.</w:t>
      </w:r>
    </w:p>
    <w:p w14:paraId="338C8D98" w14:textId="5D1DAFB1"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Capacidad</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científica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tecnológica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algunos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diseño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construcción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investigación.</w:t>
      </w:r>
    </w:p>
    <w:p w14:paraId="3220BF29" w14:textId="2DA19B66" w:rsidR="00AA6E02" w:rsidRDefault="00AA6E02" w:rsidP="00AA6E02">
      <w:pPr>
        <w:numPr>
          <w:ilvl w:val="0"/>
          <w:numId w:val="63"/>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Potencial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uranífero,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capacidades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tecnológicas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profesionales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explotación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producción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uranio.</w:t>
      </w:r>
    </w:p>
    <w:p w14:paraId="2D52518D" w14:textId="77777777" w:rsidR="00AA6E02" w:rsidRDefault="00AA6E02" w:rsidP="00AA6E02">
      <w:pPr>
        <w:keepNext/>
        <w:keepLines/>
        <w:tabs>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40" w:line="240" w:lineRule="auto"/>
        <w:outlineLvl w:val="2"/>
        <w:rPr>
          <w:rFonts w:ascii="Times New Roman" w:eastAsia="Times New Roman" w:hAnsi="Times New Roman" w:cs="Times New Roman"/>
          <w:b/>
          <w:bCs/>
          <w:sz w:val="24"/>
          <w:szCs w:val="24"/>
          <w:lang w:val="es-ES"/>
        </w:rPr>
      </w:pPr>
      <w:bookmarkStart w:id="24" w:name="_Toc385241582"/>
    </w:p>
    <w:p w14:paraId="4A0F56E7" w14:textId="67556BED" w:rsidR="00AA6E02" w:rsidRDefault="00AA6E02" w:rsidP="00AA6E02">
      <w:pPr>
        <w:keepNext/>
        <w:keepLines/>
        <w:tabs>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40" w:line="240" w:lineRule="auto"/>
        <w:outlineLvl w:val="2"/>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2.</w:t>
      </w:r>
      <w:r w:rsidR="00D136BB">
        <w:rPr>
          <w:rFonts w:ascii="Times New Roman" w:eastAsia="Times New Roman" w:hAnsi="Times New Roman" w:cs="Times New Roman"/>
          <w:b/>
          <w:bCs/>
          <w:sz w:val="24"/>
          <w:szCs w:val="24"/>
          <w:lang w:val="es-ES"/>
        </w:rPr>
        <w:t xml:space="preserve"> </w:t>
      </w:r>
      <w:r>
        <w:rPr>
          <w:rFonts w:ascii="Times New Roman" w:eastAsia="Times New Roman" w:hAnsi="Times New Roman" w:cs="Times New Roman"/>
          <w:b/>
          <w:bCs/>
          <w:sz w:val="24"/>
          <w:szCs w:val="24"/>
          <w:lang w:val="es-ES"/>
        </w:rPr>
        <w:t>Debilidades</w:t>
      </w:r>
      <w:bookmarkEnd w:id="24"/>
    </w:p>
    <w:p w14:paraId="4985BD1A" w14:textId="4F21FAC7"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Equipos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reducidos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algunos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formación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dedicados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planificación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grado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rotación.</w:t>
      </w:r>
    </w:p>
    <w:p w14:paraId="2AB4587A" w14:textId="6B66E707"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Amplia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extensión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territorial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existencia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barreras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geográficas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implican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mayores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costos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procesos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interconexión.</w:t>
      </w:r>
    </w:p>
    <w:p w14:paraId="63B3057A" w14:textId="18DD3E84"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Insuficiente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conocimiento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sobre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potencial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recursos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algunos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65E60C42" w14:textId="10F96124"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Restricciones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económicas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locales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impactan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proyectos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gran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envergadura.</w:t>
      </w:r>
    </w:p>
    <w:p w14:paraId="4571323E" w14:textId="2858A14D"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Débiles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estructuras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bases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datos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estadísticos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planificación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algunos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22A14E71" w14:textId="39266EF7"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Insuficientes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carreras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nivel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universitario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contemplen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planificación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energética.</w:t>
      </w:r>
    </w:p>
    <w:p w14:paraId="214AF754" w14:textId="534F908F"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Insuficiencia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niveles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educativos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básicos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intermedios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sobre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ventajas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desventajas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diferentes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tecnologías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generación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eléctrica.</w:t>
      </w:r>
    </w:p>
    <w:p w14:paraId="53FF26C8" w14:textId="4DBE59B5"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Inexistencia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planes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estructurales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largo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plazo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algunos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7E7FBB9E" w14:textId="5681C482"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Insuficientes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incentivos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incorporar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mantener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recursos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humanos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altamente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calificados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requieren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sector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w:t>
      </w:r>
      <w:r w:rsidR="00D136BB">
        <w:rPr>
          <w:rFonts w:ascii="Times New Roman" w:eastAsia="Times New Roman" w:hAnsi="Times New Roman" w:cs="Times New Roman"/>
          <w:sz w:val="24"/>
          <w:szCs w:val="24"/>
          <w:lang w:val="es-ES"/>
        </w:rPr>
        <w:t xml:space="preserve"> </w:t>
      </w:r>
    </w:p>
    <w:p w14:paraId="054D8AFF" w14:textId="21FA7426"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Escasos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cursos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formación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docente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incluyen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temas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sobre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usos,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beneficios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riesgos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generación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energía,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incluyendo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w:t>
      </w:r>
    </w:p>
    <w:p w14:paraId="0ADA1003" w14:textId="4919FBAF"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Presupuestos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insuficientes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gestión,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mantenimiento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modernización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investigación.</w:t>
      </w:r>
      <w:r w:rsidR="00D136BB">
        <w:rPr>
          <w:rFonts w:ascii="Times New Roman" w:eastAsia="Times New Roman" w:hAnsi="Times New Roman" w:cs="Times New Roman"/>
          <w:sz w:val="24"/>
          <w:szCs w:val="24"/>
          <w:lang w:val="es-ES"/>
        </w:rPr>
        <w:t xml:space="preserve"> </w:t>
      </w:r>
    </w:p>
    <w:p w14:paraId="6AA4FF7B" w14:textId="79B18A06"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Falta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integración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uso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tierra,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energía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agua,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vinculados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cambio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climático.</w:t>
      </w:r>
    </w:p>
    <w:p w14:paraId="56E9FAF5" w14:textId="26544931"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Falta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conocimiento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nivel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social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sobre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beneficios.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aplicaciones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investigación.</w:t>
      </w:r>
    </w:p>
    <w:p w14:paraId="694D6AB5" w14:textId="7761B23A"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Sub-utilización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investigación.</w:t>
      </w:r>
    </w:p>
    <w:p w14:paraId="5A039C8F" w14:textId="7C7F1C3A" w:rsidR="00AA6E02" w:rsidRDefault="00AA6E02" w:rsidP="00AA6E02">
      <w:pPr>
        <w:numPr>
          <w:ilvl w:val="0"/>
          <w:numId w:val="64"/>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Inadecuada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forma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transmitir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capacidades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adquiridas.</w:t>
      </w:r>
      <w:bookmarkStart w:id="25" w:name="_Toc385241583"/>
    </w:p>
    <w:p w14:paraId="336AE36B" w14:textId="77777777" w:rsidR="00AD30CA" w:rsidRDefault="00AD30CA" w:rsidP="00AD30CA">
      <w:pPr>
        <w:spacing w:after="240" w:line="240" w:lineRule="auto"/>
        <w:ind w:left="930"/>
        <w:jc w:val="both"/>
        <w:rPr>
          <w:rFonts w:ascii="Times New Roman" w:eastAsia="Times New Roman" w:hAnsi="Times New Roman" w:cs="Times New Roman"/>
          <w:sz w:val="24"/>
          <w:szCs w:val="24"/>
          <w:lang w:val="es-ES"/>
        </w:rPr>
      </w:pPr>
    </w:p>
    <w:p w14:paraId="1B7C6CD1" w14:textId="77777777" w:rsidR="00AD30CA" w:rsidRDefault="00AD30CA" w:rsidP="00AD30CA">
      <w:pPr>
        <w:keepNext/>
        <w:keepLines/>
        <w:tabs>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240" w:line="240" w:lineRule="auto"/>
        <w:outlineLvl w:val="2"/>
        <w:rPr>
          <w:rFonts w:ascii="Times New Roman" w:eastAsia="Times New Roman" w:hAnsi="Times New Roman" w:cs="Times New Roman"/>
          <w:b/>
          <w:bCs/>
          <w:sz w:val="24"/>
          <w:szCs w:val="24"/>
          <w:lang w:val="es-ES"/>
        </w:rPr>
      </w:pPr>
      <w:bookmarkStart w:id="26" w:name="_Toc385241584"/>
      <w:r>
        <w:rPr>
          <w:rFonts w:ascii="Times New Roman" w:eastAsia="Times New Roman" w:hAnsi="Times New Roman" w:cs="Times New Roman"/>
          <w:b/>
          <w:bCs/>
          <w:sz w:val="24"/>
          <w:szCs w:val="24"/>
          <w:lang w:val="es-ES"/>
        </w:rPr>
        <w:t xml:space="preserve">4. </w:t>
      </w:r>
      <w:bookmarkEnd w:id="26"/>
      <w:r>
        <w:rPr>
          <w:rFonts w:ascii="Times New Roman" w:eastAsia="Times New Roman" w:hAnsi="Times New Roman" w:cs="Times New Roman"/>
          <w:b/>
          <w:bCs/>
          <w:sz w:val="24"/>
          <w:szCs w:val="24"/>
          <w:lang w:val="es-ES"/>
        </w:rPr>
        <w:t>Amenazas</w:t>
      </w:r>
    </w:p>
    <w:p w14:paraId="0F673DF5"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Geopolítica internacional que condiciona el alcance de la financiación de proyectos nucleares</w:t>
      </w:r>
    </w:p>
    <w:p w14:paraId="06C0A40B"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Crecimiento de los movimientos internacionales y nacionales incluso de ONGs a favor de la preservación del ambiente que no consideran la contribución de la energía nuclear.</w:t>
      </w:r>
    </w:p>
    <w:p w14:paraId="2761EAC7"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Opinión pública desfavorable por una percepción negativa sobre los riesgos relacionados con el uso de la energía nuclear.</w:t>
      </w:r>
    </w:p>
    <w:p w14:paraId="72789148"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Rechazo social al transporte de material radiactivo y a la disposición final de los desechos radiactivos.</w:t>
      </w:r>
    </w:p>
    <w:p w14:paraId="166A71D1"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Competencia internacional con otras empresas proveedoras en la comercialización de radioisótopos (RI) y radiofármacos (RF).</w:t>
      </w:r>
    </w:p>
    <w:p w14:paraId="0C9D1FBE"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Insuficientes recursos presupuestarios nacionales asignados para el desarrollo nuclear </w:t>
      </w:r>
    </w:p>
    <w:p w14:paraId="02D77413"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Discrepancia entre las políticas públicas para utilización de los recursos energéticos y no energéticos.</w:t>
      </w:r>
    </w:p>
    <w:p w14:paraId="1E8CAB49"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Reestructuraciones gubernamentales que afectan la continuidad de los equipos formados en planificación energética en algunos países de la región.</w:t>
      </w:r>
    </w:p>
    <w:p w14:paraId="1593D3B6" w14:textId="77777777" w:rsidR="00AD30CA"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Discontinuidad en los acuerdos de cooperación técnica bilateral o multilateral entre países de la región.</w:t>
      </w:r>
    </w:p>
    <w:p w14:paraId="67D8A000" w14:textId="071EEEE7" w:rsidR="00AD30CA" w:rsidRPr="00853115" w:rsidRDefault="00AD30CA" w:rsidP="00AD30CA">
      <w:pPr>
        <w:numPr>
          <w:ilvl w:val="0"/>
          <w:numId w:val="66"/>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El fortalecimiento de las capacidades adquiridas no es comprendido o tenido en cuenta por los tomadores de decisión.</w:t>
      </w:r>
    </w:p>
    <w:p w14:paraId="579A0EFC" w14:textId="77777777" w:rsidR="00AA6E02" w:rsidRDefault="00AA6E02" w:rsidP="00AA6E02">
      <w:pPr>
        <w:spacing w:after="240" w:line="240" w:lineRule="auto"/>
        <w:ind w:left="930"/>
        <w:jc w:val="both"/>
        <w:rPr>
          <w:rFonts w:ascii="Times New Roman" w:eastAsia="Times New Roman" w:hAnsi="Times New Roman" w:cs="Times New Roman"/>
          <w:sz w:val="24"/>
          <w:szCs w:val="24"/>
          <w:lang w:val="es-ES"/>
        </w:rPr>
      </w:pPr>
    </w:p>
    <w:p w14:paraId="4C3DCF1C" w14:textId="45D87E7D" w:rsidR="00AA6E02" w:rsidRDefault="00AA6E02" w:rsidP="00AA6E02">
      <w:pPr>
        <w:spacing w:after="240" w:line="240" w:lineRule="auto"/>
        <w:jc w:val="both"/>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3.</w:t>
      </w:r>
      <w:r w:rsidR="00D136BB">
        <w:rPr>
          <w:rFonts w:ascii="Times New Roman" w:eastAsia="Times New Roman" w:hAnsi="Times New Roman" w:cs="Times New Roman"/>
          <w:b/>
          <w:bCs/>
          <w:sz w:val="24"/>
          <w:szCs w:val="24"/>
          <w:lang w:val="es-ES"/>
        </w:rPr>
        <w:t xml:space="preserve"> </w:t>
      </w:r>
      <w:bookmarkEnd w:id="25"/>
      <w:r>
        <w:rPr>
          <w:rFonts w:ascii="Times New Roman" w:eastAsia="Times New Roman" w:hAnsi="Times New Roman" w:cs="Times New Roman"/>
          <w:b/>
          <w:bCs/>
          <w:sz w:val="24"/>
          <w:szCs w:val="24"/>
          <w:lang w:val="es-ES"/>
        </w:rPr>
        <w:t>Oportunidades</w:t>
      </w:r>
    </w:p>
    <w:p w14:paraId="7A3F3EC8" w14:textId="32E32247"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Existencia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ODSs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adopción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escala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global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sus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conceptos.</w:t>
      </w:r>
    </w:p>
    <w:p w14:paraId="67588826" w14:textId="1882E335"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Vinculación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estratégica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entre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IRENA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OIEA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facilitar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sinergia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entre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energías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renovables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generando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sistemas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híbridos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(ERI</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base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w:t>
      </w:r>
    </w:p>
    <w:p w14:paraId="4A6BFFA2" w14:textId="3F56D183"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Existencia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Concepto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CLEW</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posibilita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búsqueda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alianzas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sector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Departamento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Asuntos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Económicos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Sociales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Naciones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Unidas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(ONU</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DESA)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otras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organizaciones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internacionales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(IRENA,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ESCAP,</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UNECA)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integración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uso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tierra,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energía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agua,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vinculados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cambio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climático.</w:t>
      </w:r>
    </w:p>
    <w:p w14:paraId="2C3ABDEC" w14:textId="0D46B307"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reactivación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programas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Argentina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Brasil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abre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posibilidad</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desarrollo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industria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6494D8EE" w14:textId="0DF6AD71"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existencia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políticas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nacionales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diversificación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matriz</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necesidad</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fortalecer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suministro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energía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eléctrica.</w:t>
      </w:r>
    </w:p>
    <w:p w14:paraId="3D530644" w14:textId="777D6412"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Ampliar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vida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útil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centrales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nucleares.</w:t>
      </w:r>
    </w:p>
    <w:p w14:paraId="35243672" w14:textId="049FB04B"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Incremento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costos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globales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sistema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masiva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penetración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energías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renovables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intermitentes.</w:t>
      </w:r>
    </w:p>
    <w:p w14:paraId="494981CA" w14:textId="13B7AF32"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Existencia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una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organización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como</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OIEA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brinda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soporte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miembros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planificación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energética.</w:t>
      </w:r>
    </w:p>
    <w:p w14:paraId="2404FC13" w14:textId="35121CDD" w:rsidR="00AA6E02" w:rsidRDefault="00AA6E02" w:rsidP="00AA6E02">
      <w:pPr>
        <w:numPr>
          <w:ilvl w:val="0"/>
          <w:numId w:val="65"/>
        </w:numPr>
        <w:spacing w:after="2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Demanda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radioisótopos,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servicios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técnicas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avanzadas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puede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ser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provista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por</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reactores</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investigación</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región.</w:t>
      </w:r>
    </w:p>
    <w:p w14:paraId="6E4728A3" w14:textId="77777777" w:rsidR="00AA6E02" w:rsidRDefault="00AA6E02" w:rsidP="00AA6E02">
      <w:pPr>
        <w:spacing w:after="240" w:line="240" w:lineRule="auto"/>
        <w:ind w:left="360"/>
        <w:jc w:val="both"/>
        <w:rPr>
          <w:rFonts w:ascii="Times New Roman" w:eastAsia="Times New Roman" w:hAnsi="Times New Roman" w:cs="Times New Roman"/>
          <w:sz w:val="24"/>
          <w:szCs w:val="24"/>
          <w:lang w:val="es-ES"/>
        </w:rPr>
      </w:pPr>
    </w:p>
    <w:p w14:paraId="6034EF80" w14:textId="4AD25E92" w:rsidR="00A150CC" w:rsidRPr="00A150CC" w:rsidRDefault="0093619A" w:rsidP="00853862">
      <w:pPr>
        <w:pStyle w:val="BodyText"/>
        <w:rPr>
          <w:b/>
          <w:bCs/>
          <w:szCs w:val="24"/>
          <w:lang w:val="es-ES"/>
        </w:rPr>
      </w:pPr>
      <w:r w:rsidRPr="00A150CC">
        <w:rPr>
          <w:b/>
          <w:bCs/>
          <w:szCs w:val="24"/>
          <w:lang w:val="es-ES"/>
        </w:rPr>
        <w:t>III.</w:t>
      </w:r>
      <w:r w:rsidR="00D136BB">
        <w:rPr>
          <w:b/>
          <w:bCs/>
          <w:szCs w:val="24"/>
          <w:lang w:val="es-ES"/>
        </w:rPr>
        <w:t xml:space="preserve"> </w:t>
      </w:r>
      <w:r w:rsidRPr="00A150CC">
        <w:rPr>
          <w:b/>
          <w:bCs/>
          <w:szCs w:val="24"/>
          <w:lang w:val="es-ES"/>
        </w:rPr>
        <w:t>Necesidades</w:t>
      </w:r>
      <w:r w:rsidR="00D136BB">
        <w:rPr>
          <w:b/>
          <w:bCs/>
          <w:szCs w:val="24"/>
          <w:lang w:val="es-ES"/>
        </w:rPr>
        <w:t xml:space="preserve"> </w:t>
      </w:r>
      <w:r w:rsidRPr="00A150CC">
        <w:rPr>
          <w:b/>
          <w:bCs/>
          <w:szCs w:val="24"/>
          <w:lang w:val="es-ES"/>
        </w:rPr>
        <w:t>o</w:t>
      </w:r>
      <w:r w:rsidR="00D136BB">
        <w:rPr>
          <w:b/>
          <w:bCs/>
          <w:szCs w:val="24"/>
          <w:lang w:val="es-ES"/>
        </w:rPr>
        <w:t xml:space="preserve"> </w:t>
      </w:r>
      <w:r w:rsidRPr="00A150CC">
        <w:rPr>
          <w:b/>
          <w:bCs/>
          <w:szCs w:val="24"/>
          <w:lang w:val="es-ES"/>
        </w:rPr>
        <w:t>Problemas</w:t>
      </w:r>
    </w:p>
    <w:p w14:paraId="780460B3" w14:textId="24E87338" w:rsidR="00AA6E02" w:rsidRDefault="00AA6E02" w:rsidP="00AA6E0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E1:</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Incorporación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del</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tema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sistemas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energéticos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programas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educativos,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diferentes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niveles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educación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desde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escolar</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grado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universitario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región.</w:t>
      </w:r>
    </w:p>
    <w:p w14:paraId="5AFEBAA5" w14:textId="77777777" w:rsidR="00AA6E02" w:rsidRDefault="00AA6E02" w:rsidP="00AA6E02">
      <w:pPr>
        <w:spacing w:after="0"/>
        <w:jc w:val="both"/>
        <w:rPr>
          <w:rFonts w:ascii="Times New Roman" w:eastAsia="Calibri" w:hAnsi="Times New Roman" w:cs="Times New Roman"/>
          <w:sz w:val="24"/>
          <w:szCs w:val="24"/>
        </w:rPr>
      </w:pPr>
    </w:p>
    <w:p w14:paraId="794B4373" w14:textId="0086C963"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JUSTIFICACIÓN: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Escasa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incorporación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temas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básicos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relacionados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área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vinculación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cambio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climático,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ventajas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desventajas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tecnologías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generación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eléctrica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programas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curriculares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escuelas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nivel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primario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secundario.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Además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observa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pocas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carreras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nivel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grado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universitario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contemplen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temas.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otra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debe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incluir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tema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formación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docentes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maestros.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contribuiría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difundir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beneficios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nuclear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mejorando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percepción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social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colaborando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4:</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Educación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Calidad.</w:t>
      </w:r>
    </w:p>
    <w:p w14:paraId="5767881D" w14:textId="77777777" w:rsidR="00AA6E02" w:rsidRDefault="00AA6E02" w:rsidP="00AA6E02">
      <w:pPr>
        <w:spacing w:after="0"/>
        <w:jc w:val="both"/>
        <w:rPr>
          <w:rFonts w:ascii="Times New Roman" w:eastAsia="Calibri" w:hAnsi="Times New Roman" w:cs="Times New Roman"/>
          <w:sz w:val="24"/>
          <w:szCs w:val="24"/>
        </w:rPr>
      </w:pPr>
    </w:p>
    <w:p w14:paraId="39DDABC2" w14:textId="2C600347"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OBJETIVO: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Disponer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material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adecuado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divulgación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distintos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niveles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formación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incrementar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conocimiento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temas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relacionados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vinculación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cambio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climático.</w:t>
      </w:r>
    </w:p>
    <w:p w14:paraId="0813088C" w14:textId="77777777" w:rsidR="00AA6E02" w:rsidRDefault="00AA6E02" w:rsidP="00AA6E02">
      <w:pPr>
        <w:spacing w:after="0"/>
        <w:jc w:val="both"/>
        <w:rPr>
          <w:rFonts w:ascii="Times New Roman" w:eastAsia="Calibri" w:hAnsi="Times New Roman" w:cs="Times New Roman"/>
          <w:sz w:val="24"/>
          <w:szCs w:val="24"/>
        </w:rPr>
      </w:pPr>
    </w:p>
    <w:p w14:paraId="5D3B98E2" w14:textId="11AEFBE1"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INDICADOR: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Número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dispongan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docentes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formados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contribuyan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divulgación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material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producido.</w:t>
      </w:r>
    </w:p>
    <w:p w14:paraId="5264EE84" w14:textId="77777777" w:rsidR="00AA6E02" w:rsidRDefault="00AA6E02" w:rsidP="00AA6E02">
      <w:pPr>
        <w:spacing w:after="0"/>
        <w:jc w:val="both"/>
        <w:rPr>
          <w:rFonts w:ascii="Times New Roman" w:eastAsia="Calibri" w:hAnsi="Times New Roman" w:cs="Times New Roman"/>
          <w:sz w:val="24"/>
          <w:szCs w:val="24"/>
        </w:rPr>
      </w:pPr>
    </w:p>
    <w:p w14:paraId="051F24AF" w14:textId="493694D9" w:rsidR="00AA6E02" w:rsidRDefault="00AA6E02" w:rsidP="00AA6E0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E2:</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Consolidación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una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red</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para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el</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intercambio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información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y</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coordinación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estrategias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desde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operadores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reactores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investigación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hasta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el</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usuario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final</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radioisótopos.</w:t>
      </w:r>
    </w:p>
    <w:p w14:paraId="16CF022D" w14:textId="77777777" w:rsidR="00AA6E02" w:rsidRDefault="00AA6E02" w:rsidP="00AA6E02">
      <w:pPr>
        <w:spacing w:after="0"/>
        <w:jc w:val="both"/>
        <w:rPr>
          <w:rFonts w:ascii="Times New Roman" w:eastAsia="Calibri" w:hAnsi="Times New Roman" w:cs="Times New Roman"/>
          <w:sz w:val="24"/>
          <w:szCs w:val="24"/>
        </w:rPr>
      </w:pPr>
    </w:p>
    <w:p w14:paraId="1E933F75" w14:textId="31CC9B41" w:rsidR="00AA6E02" w:rsidRDefault="00AA6E02" w:rsidP="00AA6E02">
      <w:pPr>
        <w:spacing w:after="0"/>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JUSTIFICACIÓN: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s-ES"/>
        </w:rPr>
        <w:t>En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región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han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realizado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esfuerzos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para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intercambio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experiencias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entre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diferentes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actores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relacionados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explotación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segura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reactores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investigación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y</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sus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usos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tanto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para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investigación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como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para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producción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RI.</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También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han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definido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balances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necesidades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y</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producción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RI</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y</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RF.</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Sin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embargo,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región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no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ha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alcanzado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necesario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y</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efectivo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intercambio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información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entre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toda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cadena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actores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involucrados.</w:t>
      </w:r>
    </w:p>
    <w:p w14:paraId="11F62D72" w14:textId="064EB118" w:rsidR="00AA6E02" w:rsidRDefault="00AA6E02" w:rsidP="00AA6E02">
      <w:pPr>
        <w:spacing w:after="0"/>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consolidación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una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red</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facilite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intercambio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información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y</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coordinación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estrategias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desde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operadores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reactores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investigación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hasta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usuario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final</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RI</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permitiría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incrementar</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implementación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planes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estratégicos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utilización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reactores.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Esto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cobra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mayor</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importancia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luz</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proyección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nuevos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reactores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deben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entrar</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explotación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período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vigencia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del</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PER.</w:t>
      </w:r>
    </w:p>
    <w:p w14:paraId="2C3A1BE6" w14:textId="77777777" w:rsidR="00AA6E02" w:rsidRDefault="00AA6E02" w:rsidP="00AA6E02">
      <w:pPr>
        <w:spacing w:after="0"/>
        <w:jc w:val="both"/>
        <w:rPr>
          <w:rFonts w:ascii="Times New Roman" w:eastAsia="Calibri" w:hAnsi="Times New Roman" w:cs="Times New Roman"/>
          <w:b/>
          <w:sz w:val="24"/>
          <w:szCs w:val="24"/>
        </w:rPr>
      </w:pPr>
    </w:p>
    <w:p w14:paraId="4C4D03D8" w14:textId="5325EB65" w:rsidR="00AA6E02" w:rsidRDefault="00AA6E02" w:rsidP="00AA6E02">
      <w:pPr>
        <w:spacing w:after="0"/>
        <w:jc w:val="both"/>
        <w:rPr>
          <w:rFonts w:ascii="Times New Roman" w:eastAsia="Calibri" w:hAnsi="Times New Roman" w:cs="Times New Roman"/>
          <w:sz w:val="24"/>
          <w:szCs w:val="24"/>
          <w:lang w:val="es-ES"/>
        </w:rPr>
      </w:pPr>
      <w:r>
        <w:rPr>
          <w:rFonts w:ascii="Times New Roman" w:eastAsia="Calibri" w:hAnsi="Times New Roman" w:cs="Times New Roman"/>
          <w:sz w:val="24"/>
          <w:szCs w:val="24"/>
        </w:rPr>
        <w:t>OBJETIVO: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s-ES"/>
        </w:rPr>
        <w:t>Establecer</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una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red</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trabajo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contribuya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incrementar</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usos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los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reactores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investigación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región.</w:t>
      </w:r>
    </w:p>
    <w:p w14:paraId="419965A3" w14:textId="77777777" w:rsidR="00AA6E02" w:rsidRDefault="00AA6E02" w:rsidP="00AA6E02">
      <w:pPr>
        <w:spacing w:after="0"/>
        <w:jc w:val="both"/>
        <w:rPr>
          <w:rFonts w:ascii="Times New Roman" w:eastAsia="Calibri" w:hAnsi="Times New Roman" w:cs="Times New Roman"/>
          <w:sz w:val="24"/>
          <w:szCs w:val="24"/>
        </w:rPr>
      </w:pPr>
    </w:p>
    <w:p w14:paraId="34DCF4D5" w14:textId="338E827F"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INDICADOR: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s-ES"/>
        </w:rPr>
        <w:t>Número</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de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países</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que</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participan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en</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la</w:t>
      </w:r>
      <w:r w:rsidR="00D136BB">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red.</w:t>
      </w:r>
    </w:p>
    <w:p w14:paraId="1BA96852" w14:textId="77777777" w:rsidR="00AA6E02" w:rsidRDefault="00AA6E02" w:rsidP="00AA6E02">
      <w:pPr>
        <w:spacing w:after="0"/>
        <w:jc w:val="both"/>
        <w:rPr>
          <w:rFonts w:ascii="Times New Roman" w:eastAsia="Calibri" w:hAnsi="Times New Roman" w:cs="Times New Roman"/>
          <w:sz w:val="24"/>
          <w:szCs w:val="24"/>
        </w:rPr>
      </w:pPr>
    </w:p>
    <w:p w14:paraId="4D13DC91" w14:textId="77777777" w:rsidR="00AA6E02" w:rsidRDefault="00AA6E02" w:rsidP="00AA6E02">
      <w:pPr>
        <w:spacing w:after="0"/>
        <w:jc w:val="both"/>
        <w:rPr>
          <w:rFonts w:ascii="Times New Roman" w:eastAsia="Calibri" w:hAnsi="Times New Roman" w:cs="Times New Roman"/>
          <w:sz w:val="24"/>
          <w:szCs w:val="24"/>
        </w:rPr>
      </w:pPr>
    </w:p>
    <w:p w14:paraId="0E018B28" w14:textId="3BD71608" w:rsidR="00AA6E02" w:rsidRDefault="00AA6E02" w:rsidP="00AA6E0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E3:</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Disponer</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planes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energéticos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nacionales,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subregionales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y/o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regionales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contemplando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Objetivos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desarrollo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Sostenible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Nro.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7</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Energía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accesible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y</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no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contaminante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y</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Nro.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13</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Acción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por</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el</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Clima.</w:t>
      </w:r>
    </w:p>
    <w:p w14:paraId="6C444742" w14:textId="77777777" w:rsidR="00AA6E02" w:rsidRDefault="00AA6E02" w:rsidP="00AA6E02">
      <w:pPr>
        <w:spacing w:after="0"/>
        <w:jc w:val="both"/>
        <w:rPr>
          <w:rFonts w:ascii="Times New Roman" w:eastAsia="Calibri" w:hAnsi="Times New Roman" w:cs="Times New Roman"/>
          <w:sz w:val="24"/>
          <w:szCs w:val="24"/>
        </w:rPr>
      </w:pPr>
    </w:p>
    <w:p w14:paraId="126EA4FE" w14:textId="0F4DEFCA"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JUSTIFICACION: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Brindar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continuidad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capacitación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homogénea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fundamenta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alta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rotación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recursos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humanos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capacitados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anteriormente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algunos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provocaría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una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discontinuidad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elaboración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revisión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nacionales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realizados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llevando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una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heterogeneidad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conocimiento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realizar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planificación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energética.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tanto,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necesario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mantener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soporte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continuo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poder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estudios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contribuyan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toma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decisiones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políticas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energéticas,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lograr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una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planificación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homogénea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podría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estudios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más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detallados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implementando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lecciones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aprendidas,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apoyándose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uso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modelos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análisis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demanda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suministro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lograr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desarrollar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escenarios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nacionales,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sub-regionales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regionales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basados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supuestos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áreas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como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recursos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energéticos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existentes,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precios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combustible,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crecimiento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económico,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crecimiento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demográfico,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estructura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sistema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energético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evolución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como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así</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también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incorporación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generación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distribuida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impacto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ambiental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considerando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cumplimiento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contribuciones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nacionales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determinadas.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particular,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determinación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papel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pueda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jugar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nuclear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suministro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eléctrica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reducción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gases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efecto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invernadero.</w:t>
      </w:r>
    </w:p>
    <w:p w14:paraId="39BC5B0C" w14:textId="77777777" w:rsidR="00AA6E02" w:rsidRDefault="00AA6E02" w:rsidP="00AA6E02">
      <w:pPr>
        <w:spacing w:after="0"/>
        <w:jc w:val="both"/>
        <w:rPr>
          <w:rFonts w:ascii="Times New Roman" w:eastAsia="Calibri" w:hAnsi="Times New Roman" w:cs="Times New Roman"/>
          <w:sz w:val="24"/>
          <w:szCs w:val="24"/>
        </w:rPr>
      </w:pPr>
    </w:p>
    <w:p w14:paraId="09FDACBC" w14:textId="7AB73CC3"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OBJETIVO: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Mantener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planificación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energética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homogénea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p>
    <w:p w14:paraId="63D865D0" w14:textId="77777777" w:rsidR="00AA6E02" w:rsidRDefault="00AA6E02" w:rsidP="00AA6E02">
      <w:pPr>
        <w:spacing w:after="0"/>
        <w:jc w:val="both"/>
        <w:rPr>
          <w:rFonts w:ascii="Times New Roman" w:eastAsia="Calibri" w:hAnsi="Times New Roman" w:cs="Times New Roman"/>
          <w:sz w:val="24"/>
          <w:szCs w:val="24"/>
        </w:rPr>
      </w:pPr>
    </w:p>
    <w:p w14:paraId="7FC6BB45" w14:textId="1ECAB445"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INDICADOR: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Número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elaboran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energéticos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largo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plazo,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considerando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accesible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contaminante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Acción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Clima.</w:t>
      </w:r>
    </w:p>
    <w:p w14:paraId="060B36B0" w14:textId="77777777" w:rsidR="00AA6E02" w:rsidRDefault="00AA6E02" w:rsidP="00AA6E02">
      <w:pPr>
        <w:spacing w:after="0"/>
        <w:jc w:val="both"/>
        <w:rPr>
          <w:rFonts w:ascii="Times New Roman" w:eastAsia="Calibri" w:hAnsi="Times New Roman" w:cs="Times New Roman"/>
          <w:sz w:val="24"/>
          <w:szCs w:val="24"/>
        </w:rPr>
      </w:pPr>
    </w:p>
    <w:p w14:paraId="773DB1B6" w14:textId="610D4D45" w:rsidR="00AA6E02" w:rsidRDefault="00AA6E02" w:rsidP="00AA6E02">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E4:</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Incorporar</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los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fórums</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discusión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planificación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energética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la</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región</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el</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concepto</w:t>
      </w:r>
      <w:r w:rsidR="00D136B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CLEW</w:t>
      </w:r>
      <w:r w:rsidR="00D136BB">
        <w:rPr>
          <w:rFonts w:ascii="Times New Roman" w:eastAsia="Calibri" w:hAnsi="Times New Roman" w:cs="Times New Roman"/>
          <w:b/>
          <w:sz w:val="24"/>
          <w:szCs w:val="24"/>
        </w:rPr>
        <w:t xml:space="preserve"> </w:t>
      </w:r>
    </w:p>
    <w:p w14:paraId="14D780AA" w14:textId="77777777" w:rsidR="00AA6E02" w:rsidRDefault="00AA6E02" w:rsidP="00AA6E02">
      <w:pPr>
        <w:spacing w:after="0"/>
        <w:jc w:val="both"/>
        <w:rPr>
          <w:rFonts w:ascii="Times New Roman" w:eastAsia="Calibri" w:hAnsi="Times New Roman" w:cs="Times New Roman"/>
          <w:sz w:val="24"/>
          <w:szCs w:val="24"/>
        </w:rPr>
      </w:pPr>
    </w:p>
    <w:p w14:paraId="2A6FC2D1" w14:textId="1E0346A8"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JUSTIFICACIÓN: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Latinoamérica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Caribe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existen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contemplen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análisis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variables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como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uso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tierra,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agua,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vinculados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cambio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climático.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lograr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desarrollar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corto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plazo,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capacidades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relación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cumplimiento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asociados: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Agua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limpia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saneamiento;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limpia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asequible;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tierra;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Hambre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cero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Acción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climática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definidas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agenda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2030.</w:t>
      </w:r>
    </w:p>
    <w:p w14:paraId="1C91833A" w14:textId="3AF95AAE"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Existe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una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motivación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OIEA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cuatro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factores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denominados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según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siglas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inglés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Climate,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Land,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and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Water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(CLEW),</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diversidad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temas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envergadura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proyecto,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requieren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grandes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esfuerzos,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así</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como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presupuesto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recursos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humanos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diferentes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capacidades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conocimientos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específicos.</w:t>
      </w:r>
      <w:r w:rsidR="00D136BB">
        <w:rPr>
          <w:rFonts w:ascii="Times New Roman" w:eastAsia="Calibri" w:hAnsi="Times New Roman" w:cs="Times New Roman"/>
          <w:sz w:val="24"/>
          <w:szCs w:val="24"/>
        </w:rPr>
        <w:t xml:space="preserve"> </w:t>
      </w:r>
    </w:p>
    <w:p w14:paraId="1563FD7F" w14:textId="77777777" w:rsidR="00AA6E02" w:rsidRDefault="00AA6E02" w:rsidP="00AA6E02">
      <w:pPr>
        <w:spacing w:after="0"/>
        <w:jc w:val="both"/>
        <w:rPr>
          <w:rFonts w:ascii="Times New Roman" w:eastAsia="Calibri" w:hAnsi="Times New Roman" w:cs="Times New Roman"/>
          <w:sz w:val="24"/>
          <w:szCs w:val="24"/>
        </w:rPr>
      </w:pPr>
    </w:p>
    <w:p w14:paraId="3800B82B" w14:textId="7FC82701"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mayoría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no</w:t>
      </w:r>
      <w:r w:rsidR="00D136BB">
        <w:rPr>
          <w:rFonts w:ascii="Times New Roman" w:eastAsia="Calibri" w:hAnsi="Times New Roman" w:cs="Times New Roman"/>
          <w:sz w:val="24"/>
          <w:szCs w:val="24"/>
        </w:rPr>
        <w:t xml:space="preserve"> </w:t>
      </w:r>
      <w:bookmarkStart w:id="27" w:name="_Hlk27127459"/>
      <w:r>
        <w:rPr>
          <w:rFonts w:ascii="Times New Roman" w:eastAsia="Calibri" w:hAnsi="Times New Roman" w:cs="Times New Roman"/>
          <w:sz w:val="24"/>
          <w:szCs w:val="24"/>
        </w:rPr>
        <w:t>cuentan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equipos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multidisciplinarios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CLEW</w:t>
      </w:r>
      <w:r w:rsidR="00D136BB">
        <w:rPr>
          <w:rFonts w:ascii="Times New Roman" w:eastAsia="Calibri" w:hAnsi="Times New Roman" w:cs="Times New Roman"/>
          <w:sz w:val="24"/>
          <w:szCs w:val="24"/>
        </w:rPr>
        <w:t xml:space="preserve"> </w:t>
      </w:r>
      <w:bookmarkEnd w:id="27"/>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algunos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personal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especializado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insuficiente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está</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disperso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diferentes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organizaciones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locales,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lleva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falta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equipos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multidisciplinarios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desarrollar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analizar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casos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nivel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nacional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regional.</w:t>
      </w:r>
      <w:r w:rsidR="00D136BB">
        <w:rPr>
          <w:rFonts w:ascii="Times New Roman" w:eastAsia="Calibri" w:hAnsi="Times New Roman" w:cs="Times New Roman"/>
          <w:sz w:val="24"/>
          <w:szCs w:val="24"/>
        </w:rPr>
        <w:t xml:space="preserve"> </w:t>
      </w:r>
    </w:p>
    <w:p w14:paraId="0EA62AF5" w14:textId="01F8F029"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ello,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deben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explorarse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algunas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herramientas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planificación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OIEA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como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MESSAGE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MAED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otros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modelos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herramientas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diferentes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instituciones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podrían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utilizarse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análisis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uso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suelo,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limpia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demanda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agua.</w:t>
      </w:r>
    </w:p>
    <w:p w14:paraId="17CAAA9C" w14:textId="77777777" w:rsidR="00AA6E02" w:rsidRDefault="00AA6E02" w:rsidP="00AA6E02">
      <w:pPr>
        <w:spacing w:after="0"/>
        <w:jc w:val="both"/>
        <w:rPr>
          <w:rFonts w:ascii="Times New Roman" w:eastAsia="Calibri" w:hAnsi="Times New Roman" w:cs="Times New Roman"/>
          <w:sz w:val="24"/>
          <w:szCs w:val="24"/>
        </w:rPr>
      </w:pPr>
    </w:p>
    <w:p w14:paraId="54FFDF96" w14:textId="03A14302"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OBJETIVO: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Obtener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nacionales/sub-regionales/regionales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incluyendo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CLEW.</w:t>
      </w:r>
    </w:p>
    <w:p w14:paraId="7731712E" w14:textId="77777777" w:rsidR="00AA6E02" w:rsidRDefault="00AA6E02" w:rsidP="00AA6E02">
      <w:pPr>
        <w:spacing w:after="0"/>
        <w:jc w:val="both"/>
        <w:rPr>
          <w:rFonts w:ascii="Times New Roman" w:eastAsia="Calibri" w:hAnsi="Times New Roman" w:cs="Times New Roman"/>
          <w:sz w:val="24"/>
          <w:szCs w:val="24"/>
        </w:rPr>
      </w:pPr>
    </w:p>
    <w:p w14:paraId="3ECFDCEF" w14:textId="50FB733A"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INDICADOR: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Número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elaboran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planes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energéticos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integrales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largo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plazo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contemplen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cumplimiento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asociados: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Agua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limpia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saneamiento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6);</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Energía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limpia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asequible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ecosistemas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terrestres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15);</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Hambre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cero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Acción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clima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13)</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Alianza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lograr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objetivos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(ODS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17)</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definidos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agenda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2030.</w:t>
      </w:r>
    </w:p>
    <w:p w14:paraId="475B93F7" w14:textId="77777777" w:rsidR="00AA6E02" w:rsidRDefault="00AA6E02" w:rsidP="00AA6E02">
      <w:pPr>
        <w:spacing w:after="0"/>
        <w:jc w:val="both"/>
        <w:rPr>
          <w:rFonts w:ascii="Times New Roman" w:eastAsia="Calibri" w:hAnsi="Times New Roman" w:cs="Times New Roman"/>
          <w:sz w:val="24"/>
          <w:szCs w:val="24"/>
        </w:rPr>
      </w:pPr>
    </w:p>
    <w:p w14:paraId="1F484E16" w14:textId="77777777" w:rsidR="00AA6E02" w:rsidRDefault="00AA6E02" w:rsidP="00AA6E02">
      <w:pPr>
        <w:spacing w:after="0"/>
        <w:jc w:val="both"/>
        <w:rPr>
          <w:rFonts w:ascii="Times New Roman" w:eastAsia="Calibri" w:hAnsi="Times New Roman" w:cs="Times New Roman"/>
          <w:sz w:val="24"/>
          <w:szCs w:val="24"/>
        </w:rPr>
      </w:pPr>
    </w:p>
    <w:p w14:paraId="33E8764A" w14:textId="77777777" w:rsidR="00AA6E02" w:rsidRDefault="00AA6E02" w:rsidP="00AA6E02">
      <w:pPr>
        <w:spacing w:after="0"/>
        <w:jc w:val="both"/>
        <w:rPr>
          <w:rFonts w:ascii="Times New Roman" w:eastAsia="Calibri" w:hAnsi="Times New Roman" w:cs="Times New Roman"/>
          <w:sz w:val="24"/>
          <w:szCs w:val="24"/>
        </w:rPr>
      </w:pPr>
    </w:p>
    <w:p w14:paraId="780EB59E" w14:textId="68121160" w:rsidR="00AA6E02" w:rsidRDefault="00AA6E02" w:rsidP="00AA6E02">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E5:</w:t>
      </w:r>
      <w:r w:rsidR="00D136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Extensión</w:t>
      </w:r>
      <w:r w:rsidR="00D136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de</w:t>
      </w:r>
      <w:r w:rsidR="00D136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vida</w:t>
      </w:r>
      <w:r w:rsidR="00D136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útil</w:t>
      </w:r>
      <w:r w:rsidR="00D136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de</w:t>
      </w:r>
      <w:r w:rsidR="00D136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las</w:t>
      </w:r>
      <w:r w:rsidR="00D136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centrales</w:t>
      </w:r>
      <w:r w:rsidR="00D136B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nucleares</w:t>
      </w:r>
    </w:p>
    <w:p w14:paraId="675A6C33" w14:textId="77777777" w:rsidR="00AA6E02" w:rsidRDefault="00AA6E02" w:rsidP="00AA6E02">
      <w:pPr>
        <w:spacing w:after="0"/>
        <w:jc w:val="both"/>
        <w:rPr>
          <w:rFonts w:ascii="Times New Roman" w:eastAsia="Calibri" w:hAnsi="Times New Roman" w:cs="Times New Roman"/>
          <w:sz w:val="24"/>
          <w:szCs w:val="24"/>
        </w:rPr>
      </w:pPr>
    </w:p>
    <w:p w14:paraId="12F5DFD5" w14:textId="11CCFA9D"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JUSTIFICACION: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mayoría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reactores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están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llegando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final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su</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útil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existe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voluntad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política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declarada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extenderla.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Hay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experiencia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procesos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pero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está</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difundida,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sería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importante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compartirla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entre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equipos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requieran.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periodo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se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analiza,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intercambio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experiencias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entre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personal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encargado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extensión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útil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reactores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y</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apoyo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desde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experiencia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acumulada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OIEA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procesos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un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factor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clave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este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objetivo.</w:t>
      </w:r>
    </w:p>
    <w:p w14:paraId="7D98B927" w14:textId="77777777" w:rsidR="00AA6E02" w:rsidRDefault="00AA6E02" w:rsidP="00AA6E02">
      <w:pPr>
        <w:spacing w:after="0"/>
        <w:jc w:val="both"/>
        <w:rPr>
          <w:rFonts w:ascii="Times New Roman" w:eastAsia="Calibri" w:hAnsi="Times New Roman" w:cs="Times New Roman"/>
          <w:sz w:val="24"/>
          <w:szCs w:val="24"/>
        </w:rPr>
      </w:pPr>
    </w:p>
    <w:p w14:paraId="67041802" w14:textId="519633C6"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OBJETIVO:</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Consolidar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experiencia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regional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procesos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extensión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útil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centrales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nucleares.</w:t>
      </w:r>
    </w:p>
    <w:p w14:paraId="2319F4E5" w14:textId="77777777" w:rsidR="00AA6E02" w:rsidRDefault="00AA6E02" w:rsidP="00AA6E02">
      <w:pPr>
        <w:spacing w:after="0"/>
        <w:jc w:val="both"/>
        <w:rPr>
          <w:rFonts w:ascii="Times New Roman" w:eastAsia="Calibri" w:hAnsi="Times New Roman" w:cs="Times New Roman"/>
          <w:sz w:val="24"/>
          <w:szCs w:val="24"/>
        </w:rPr>
      </w:pPr>
    </w:p>
    <w:p w14:paraId="35D4CBCF" w14:textId="7D5EEBCF" w:rsidR="00AA6E02" w:rsidRDefault="00AA6E02" w:rsidP="00AA6E0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INDICADOR:</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Cantidad</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países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la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región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que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intercambiaron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experiencias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procesos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extensión</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vida</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útil</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de</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centrales</w:t>
      </w:r>
      <w:r w:rsidR="00D136BB">
        <w:rPr>
          <w:rFonts w:ascii="Times New Roman" w:eastAsia="Calibri" w:hAnsi="Times New Roman" w:cs="Times New Roman"/>
          <w:sz w:val="24"/>
          <w:szCs w:val="24"/>
        </w:rPr>
        <w:t xml:space="preserve"> </w:t>
      </w:r>
      <w:r>
        <w:rPr>
          <w:rFonts w:ascii="Times New Roman" w:eastAsia="Calibri" w:hAnsi="Times New Roman" w:cs="Times New Roman"/>
          <w:sz w:val="24"/>
          <w:szCs w:val="24"/>
        </w:rPr>
        <w:t>nucleares.</w:t>
      </w:r>
    </w:p>
    <w:p w14:paraId="3F9B9D24" w14:textId="77777777" w:rsidR="00AA6E02" w:rsidRDefault="00AA6E02" w:rsidP="00AA6E02">
      <w:pPr>
        <w:spacing w:after="0"/>
        <w:jc w:val="both"/>
        <w:rPr>
          <w:rFonts w:ascii="Times New Roman" w:eastAsia="Calibri" w:hAnsi="Times New Roman" w:cs="Times New Roman"/>
          <w:sz w:val="24"/>
          <w:szCs w:val="24"/>
        </w:rPr>
      </w:pPr>
    </w:p>
    <w:p w14:paraId="4FE838DB" w14:textId="77777777" w:rsidR="00AA6E02" w:rsidRDefault="00AA6E02" w:rsidP="00AA6E0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ADA0E0A" w14:textId="77777777" w:rsidR="00AA6E02" w:rsidRDefault="00AA6E02" w:rsidP="00AA6E02">
      <w:pPr>
        <w:spacing w:after="0"/>
        <w:rPr>
          <w:rFonts w:ascii="Times New Roman" w:eastAsia="Calibri" w:hAnsi="Times New Roman" w:cs="Times New Roman"/>
          <w:sz w:val="24"/>
          <w:szCs w:val="24"/>
        </w:rPr>
        <w:sectPr w:rsidR="00AA6E02">
          <w:pgSz w:w="12240" w:h="15840"/>
          <w:pgMar w:top="1440" w:right="1077" w:bottom="1440" w:left="1077" w:header="709" w:footer="709" w:gutter="0"/>
          <w:cols w:space="720"/>
        </w:sectPr>
      </w:pPr>
    </w:p>
    <w:p w14:paraId="41CA88A1" w14:textId="65EFF1B3" w:rsidR="00A150CC" w:rsidRPr="008E1E07" w:rsidRDefault="00D136BB" w:rsidP="00545ACF">
      <w:pPr>
        <w:pStyle w:val="IAEATableHeading"/>
        <w:ind w:left="708" w:firstLine="708"/>
        <w:rPr>
          <w:lang w:val="es-ES"/>
        </w:rPr>
      </w:pPr>
      <w:r>
        <w:rPr>
          <w:b/>
          <w:bCs/>
          <w:lang w:val="es-ES"/>
        </w:rPr>
        <w:lastRenderedPageBreak/>
        <w:t xml:space="preserve"> </w:t>
      </w:r>
      <w:r w:rsidR="00A150CC" w:rsidRPr="00A150CC">
        <w:rPr>
          <w:b/>
          <w:bCs/>
          <w:lang w:val="es-ES"/>
        </w:rPr>
        <w:t>IV.</w:t>
      </w:r>
      <w:r>
        <w:rPr>
          <w:b/>
          <w:bCs/>
          <w:lang w:val="es-ES"/>
        </w:rPr>
        <w:t xml:space="preserve"> </w:t>
      </w:r>
      <w:r w:rsidR="008E1E07" w:rsidRPr="00EA2977">
        <w:rPr>
          <w:b/>
          <w:bCs/>
          <w:szCs w:val="24"/>
          <w:lang w:val="es-ES"/>
        </w:rPr>
        <w:t>Priorización</w:t>
      </w:r>
      <w:r w:rsidR="008E1E07">
        <w:rPr>
          <w:b/>
          <w:bCs/>
          <w:szCs w:val="24"/>
          <w:lang w:val="es-ES"/>
        </w:rPr>
        <w:t xml:space="preserve"> </w:t>
      </w:r>
      <w:r w:rsidR="008E1E07" w:rsidRPr="00EA2977">
        <w:rPr>
          <w:b/>
          <w:bCs/>
          <w:szCs w:val="24"/>
          <w:lang w:val="es-ES"/>
        </w:rPr>
        <w:t>de</w:t>
      </w:r>
      <w:r w:rsidR="008E1E07">
        <w:rPr>
          <w:b/>
          <w:bCs/>
          <w:szCs w:val="24"/>
          <w:lang w:val="es-ES"/>
        </w:rPr>
        <w:t xml:space="preserve"> </w:t>
      </w:r>
      <w:r w:rsidR="008E1E07" w:rsidRPr="00EA2977">
        <w:rPr>
          <w:b/>
          <w:bCs/>
          <w:szCs w:val="24"/>
          <w:lang w:val="es-ES"/>
        </w:rPr>
        <w:t>las</w:t>
      </w:r>
      <w:r w:rsidR="008E1E07">
        <w:rPr>
          <w:b/>
          <w:bCs/>
          <w:szCs w:val="24"/>
          <w:lang w:val="es-ES"/>
        </w:rPr>
        <w:t xml:space="preserve"> N</w:t>
      </w:r>
      <w:r w:rsidR="008E1E07" w:rsidRPr="00EA2977">
        <w:rPr>
          <w:b/>
          <w:bCs/>
          <w:szCs w:val="24"/>
          <w:lang w:val="es-ES"/>
        </w:rPr>
        <w:t>ecesidades/Problemas</w:t>
      </w:r>
      <w:r w:rsidR="008E1E07">
        <w:rPr>
          <w:b/>
          <w:bCs/>
          <w:szCs w:val="24"/>
          <w:lang w:val="es-ES"/>
        </w:rPr>
        <w:t xml:space="preserve"> </w:t>
      </w:r>
      <w:r w:rsidR="008E1E07" w:rsidRPr="00EA2977">
        <w:rPr>
          <w:b/>
          <w:bCs/>
          <w:szCs w:val="24"/>
          <w:lang w:val="es-ES"/>
        </w:rPr>
        <w:t>en</w:t>
      </w:r>
      <w:r w:rsidR="008E1E07">
        <w:rPr>
          <w:b/>
          <w:bCs/>
          <w:szCs w:val="24"/>
          <w:lang w:val="es-ES"/>
        </w:rPr>
        <w:t xml:space="preserve"> Energía</w:t>
      </w:r>
      <w:r w:rsidR="008E1E07">
        <w:rPr>
          <w:b/>
          <w:bCs/>
          <w:lang w:val="es-ES"/>
        </w:rPr>
        <w:t xml:space="preserve"> </w:t>
      </w:r>
      <w:r w:rsidR="008E1E07" w:rsidRPr="000D68CF">
        <w:rPr>
          <w:b/>
          <w:bCs/>
          <w:szCs w:val="24"/>
          <w:lang w:val="es-ES"/>
        </w:rPr>
        <w:t>(de acuerdo al enfoque metodológico del Anexo 1).</w:t>
      </w:r>
    </w:p>
    <w:p w14:paraId="0C095E6E" w14:textId="74B55B5A" w:rsidR="00234DFC" w:rsidRPr="00A150CC" w:rsidRDefault="00234DFC" w:rsidP="00234DFC">
      <w:pPr>
        <w:ind w:left="708" w:firstLine="708"/>
        <w:rPr>
          <w:rFonts w:ascii="Times New Roman" w:hAnsi="Times New Roman" w:cs="Times New Roman"/>
        </w:rPr>
      </w:pPr>
      <w:r>
        <w:rPr>
          <w:rFonts w:ascii="Times New Roman" w:hAnsi="Times New Roman" w:cs="Times New Roman"/>
        </w:rPr>
        <w:t>Tabla</w:t>
      </w:r>
      <w:r w:rsidR="00D136BB">
        <w:rPr>
          <w:rFonts w:ascii="Times New Roman" w:hAnsi="Times New Roman" w:cs="Times New Roman"/>
        </w:rPr>
        <w:t xml:space="preserve"> </w:t>
      </w:r>
      <w:r>
        <w:rPr>
          <w:rFonts w:ascii="Times New Roman" w:hAnsi="Times New Roman" w:cs="Times New Roman"/>
        </w:rPr>
        <w:t>4:</w:t>
      </w:r>
      <w:r w:rsidR="00D136BB">
        <w:rPr>
          <w:rFonts w:ascii="Times New Roman" w:hAnsi="Times New Roman" w:cs="Times New Roman"/>
        </w:rPr>
        <w:t xml:space="preserve"> </w:t>
      </w:r>
      <w:r>
        <w:rPr>
          <w:rFonts w:ascii="Times New Roman" w:hAnsi="Times New Roman" w:cs="Times New Roman"/>
        </w:rPr>
        <w:t>Priorización</w:t>
      </w:r>
      <w:r w:rsidR="00D136BB">
        <w:rPr>
          <w:rFonts w:ascii="Times New Roman" w:hAnsi="Times New Roman" w:cs="Times New Roman"/>
        </w:rPr>
        <w:t xml:space="preserve"> </w:t>
      </w:r>
      <w:r>
        <w:rPr>
          <w:rFonts w:ascii="Times New Roman" w:hAnsi="Times New Roman" w:cs="Times New Roman"/>
        </w:rPr>
        <w:t>de</w:t>
      </w:r>
      <w:r w:rsidR="00D136BB">
        <w:rPr>
          <w:rFonts w:ascii="Times New Roman" w:hAnsi="Times New Roman" w:cs="Times New Roman"/>
        </w:rPr>
        <w:t xml:space="preserve"> </w:t>
      </w:r>
      <w:r>
        <w:rPr>
          <w:rFonts w:ascii="Times New Roman" w:hAnsi="Times New Roman" w:cs="Times New Roman"/>
        </w:rPr>
        <w:t>las</w:t>
      </w:r>
      <w:r w:rsidR="00D136BB">
        <w:rPr>
          <w:rFonts w:ascii="Times New Roman" w:hAnsi="Times New Roman" w:cs="Times New Roman"/>
        </w:rPr>
        <w:t xml:space="preserve"> </w:t>
      </w:r>
      <w:r>
        <w:rPr>
          <w:rFonts w:ascii="Times New Roman" w:hAnsi="Times New Roman" w:cs="Times New Roman"/>
        </w:rPr>
        <w:t>Necesidades/Problemas</w:t>
      </w:r>
      <w:r w:rsidR="00D136BB">
        <w:rPr>
          <w:rFonts w:ascii="Times New Roman" w:hAnsi="Times New Roman" w:cs="Times New Roman"/>
        </w:rPr>
        <w:t xml:space="preserve"> </w:t>
      </w:r>
      <w:r>
        <w:rPr>
          <w:rFonts w:ascii="Times New Roman" w:hAnsi="Times New Roman" w:cs="Times New Roman"/>
        </w:rPr>
        <w:t>en</w:t>
      </w:r>
      <w:r w:rsidR="00D136BB">
        <w:rPr>
          <w:rFonts w:ascii="Times New Roman" w:hAnsi="Times New Roman" w:cs="Times New Roman"/>
        </w:rPr>
        <w:t xml:space="preserve"> </w:t>
      </w:r>
      <w:r>
        <w:rPr>
          <w:rFonts w:ascii="Times New Roman" w:hAnsi="Times New Roman" w:cs="Times New Roman"/>
        </w:rPr>
        <w:t>Energía</w:t>
      </w:r>
    </w:p>
    <w:tbl>
      <w:tblPr>
        <w:tblW w:w="14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1"/>
        <w:gridCol w:w="1985"/>
        <w:gridCol w:w="1842"/>
        <w:gridCol w:w="1701"/>
        <w:gridCol w:w="1701"/>
        <w:gridCol w:w="993"/>
        <w:gridCol w:w="1702"/>
        <w:gridCol w:w="849"/>
        <w:gridCol w:w="849"/>
      </w:tblGrid>
      <w:tr w:rsidR="00281D2B" w:rsidRPr="00917F73" w14:paraId="45522E25" w14:textId="77777777" w:rsidTr="00FE4F5F">
        <w:trPr>
          <w:jc w:val="center"/>
        </w:trPr>
        <w:tc>
          <w:tcPr>
            <w:tcW w:w="425" w:type="dxa"/>
            <w:shd w:val="clear" w:color="auto" w:fill="C2D69B" w:themeFill="accent3" w:themeFillTint="99"/>
            <w:vAlign w:val="center"/>
          </w:tcPr>
          <w:p w14:paraId="5E786625" w14:textId="5E59BC9C" w:rsidR="00281D2B" w:rsidRPr="00917F73" w:rsidRDefault="00281D2B" w:rsidP="00281D2B">
            <w:pPr>
              <w:spacing w:after="0"/>
              <w:jc w:val="center"/>
              <w:rPr>
                <w:rFonts w:ascii="Times New Roman" w:hAnsi="Times New Roman" w:cs="Times New Roman"/>
                <w:b/>
                <w:bCs/>
                <w:sz w:val="20"/>
                <w:szCs w:val="20"/>
                <w:lang w:val="es-ES"/>
              </w:rPr>
            </w:pPr>
            <w:r w:rsidRPr="00917F73">
              <w:rPr>
                <w:b/>
              </w:rPr>
              <w:t>P</w:t>
            </w:r>
          </w:p>
        </w:tc>
        <w:tc>
          <w:tcPr>
            <w:tcW w:w="2831" w:type="dxa"/>
            <w:shd w:val="clear" w:color="auto" w:fill="C2D69B" w:themeFill="accent3" w:themeFillTint="99"/>
            <w:vAlign w:val="center"/>
          </w:tcPr>
          <w:p w14:paraId="4BF37E85" w14:textId="228C8FD7" w:rsidR="00281D2B" w:rsidRPr="00917F73" w:rsidRDefault="00281D2B" w:rsidP="00281D2B">
            <w:pPr>
              <w:spacing w:after="0"/>
              <w:jc w:val="center"/>
              <w:rPr>
                <w:rFonts w:ascii="Times New Roman" w:hAnsi="Times New Roman" w:cs="Times New Roman"/>
                <w:b/>
                <w:bCs/>
                <w:sz w:val="20"/>
                <w:szCs w:val="20"/>
                <w:lang w:val="es-ES"/>
              </w:rPr>
            </w:pPr>
            <w:r w:rsidRPr="00917F73">
              <w:rPr>
                <w:b/>
              </w:rPr>
              <w:t>NECESIDAD/</w:t>
            </w:r>
            <w:r>
              <w:rPr>
                <w:b/>
              </w:rPr>
              <w:t xml:space="preserve"> </w:t>
            </w:r>
            <w:r w:rsidRPr="00917F73">
              <w:rPr>
                <w:b/>
              </w:rPr>
              <w:t>PROBLEMA</w:t>
            </w:r>
          </w:p>
        </w:tc>
        <w:tc>
          <w:tcPr>
            <w:tcW w:w="1985" w:type="dxa"/>
            <w:shd w:val="clear" w:color="auto" w:fill="C2D69B"/>
            <w:vAlign w:val="center"/>
          </w:tcPr>
          <w:p w14:paraId="57498F6E" w14:textId="73B0A75D" w:rsidR="00281D2B" w:rsidRPr="00917F73" w:rsidRDefault="00281D2B" w:rsidP="00281D2B">
            <w:pPr>
              <w:spacing w:after="0"/>
              <w:jc w:val="center"/>
              <w:rPr>
                <w:rFonts w:ascii="Times New Roman" w:hAnsi="Times New Roman" w:cs="Times New Roman"/>
                <w:b/>
                <w:bCs/>
                <w:sz w:val="20"/>
                <w:szCs w:val="20"/>
                <w:lang w:val="es-ES"/>
              </w:rPr>
            </w:pPr>
            <w:r w:rsidRPr="00917F73">
              <w:rPr>
                <w:b/>
              </w:rPr>
              <w:t>Severidad</w:t>
            </w:r>
          </w:p>
        </w:tc>
        <w:tc>
          <w:tcPr>
            <w:tcW w:w="1842" w:type="dxa"/>
            <w:shd w:val="clear" w:color="auto" w:fill="C2D69B"/>
            <w:vAlign w:val="center"/>
          </w:tcPr>
          <w:p w14:paraId="3C104401" w14:textId="4E7941F6" w:rsidR="00281D2B" w:rsidRPr="00917F73" w:rsidRDefault="00281D2B" w:rsidP="00281D2B">
            <w:pPr>
              <w:spacing w:after="0"/>
              <w:jc w:val="center"/>
              <w:rPr>
                <w:rFonts w:ascii="Times New Roman" w:hAnsi="Times New Roman" w:cs="Times New Roman"/>
                <w:b/>
                <w:bCs/>
                <w:sz w:val="20"/>
                <w:szCs w:val="20"/>
                <w:lang w:val="es-ES"/>
              </w:rPr>
            </w:pPr>
            <w:r w:rsidRPr="00917F73">
              <w:rPr>
                <w:b/>
              </w:rPr>
              <w:t>Tiempo</w:t>
            </w:r>
          </w:p>
        </w:tc>
        <w:tc>
          <w:tcPr>
            <w:tcW w:w="1701" w:type="dxa"/>
            <w:shd w:val="clear" w:color="auto" w:fill="C2D69B"/>
            <w:vAlign w:val="center"/>
          </w:tcPr>
          <w:p w14:paraId="570DBA6C" w14:textId="01CF40C7" w:rsidR="00281D2B" w:rsidRPr="00917F73" w:rsidRDefault="00281D2B" w:rsidP="00281D2B">
            <w:pPr>
              <w:spacing w:after="0"/>
              <w:jc w:val="center"/>
              <w:rPr>
                <w:rFonts w:ascii="Times New Roman" w:hAnsi="Times New Roman" w:cs="Times New Roman"/>
                <w:b/>
                <w:bCs/>
                <w:sz w:val="20"/>
                <w:szCs w:val="20"/>
                <w:lang w:val="es-ES"/>
              </w:rPr>
            </w:pPr>
            <w:r w:rsidRPr="00917F73">
              <w:rPr>
                <w:b/>
              </w:rPr>
              <w:t>Extensión</w:t>
            </w:r>
          </w:p>
        </w:tc>
        <w:tc>
          <w:tcPr>
            <w:tcW w:w="1701" w:type="dxa"/>
            <w:shd w:val="clear" w:color="auto" w:fill="C2D69B"/>
            <w:vAlign w:val="center"/>
          </w:tcPr>
          <w:p w14:paraId="44B595D4" w14:textId="790BB473" w:rsidR="00281D2B" w:rsidRPr="00917F73" w:rsidRDefault="00281D2B" w:rsidP="00281D2B">
            <w:pPr>
              <w:spacing w:after="0"/>
              <w:jc w:val="center"/>
              <w:rPr>
                <w:rFonts w:ascii="Times New Roman" w:hAnsi="Times New Roman" w:cs="Times New Roman"/>
                <w:b/>
                <w:bCs/>
                <w:sz w:val="20"/>
                <w:szCs w:val="20"/>
                <w:lang w:val="es-ES"/>
              </w:rPr>
            </w:pPr>
            <w:r w:rsidRPr="00917F73">
              <w:rPr>
                <w:b/>
              </w:rPr>
              <w:t>Relevancia</w:t>
            </w:r>
          </w:p>
        </w:tc>
        <w:tc>
          <w:tcPr>
            <w:tcW w:w="993" w:type="dxa"/>
            <w:shd w:val="clear" w:color="auto" w:fill="C2D69B"/>
            <w:vAlign w:val="center"/>
          </w:tcPr>
          <w:p w14:paraId="0541C2A2" w14:textId="6CE40BD4" w:rsidR="00281D2B" w:rsidRPr="00917F73" w:rsidRDefault="00281D2B" w:rsidP="00281D2B">
            <w:pPr>
              <w:spacing w:after="0"/>
              <w:jc w:val="center"/>
              <w:rPr>
                <w:rFonts w:ascii="Times New Roman" w:hAnsi="Times New Roman" w:cs="Times New Roman"/>
                <w:b/>
                <w:bCs/>
                <w:sz w:val="20"/>
                <w:szCs w:val="20"/>
                <w:lang w:val="es-ES"/>
              </w:rPr>
            </w:pPr>
            <w:r w:rsidRPr="00917F73">
              <w:rPr>
                <w:b/>
              </w:rPr>
              <w:t>Grado Total</w:t>
            </w:r>
          </w:p>
        </w:tc>
        <w:tc>
          <w:tcPr>
            <w:tcW w:w="1702" w:type="dxa"/>
            <w:shd w:val="clear" w:color="auto" w:fill="C2D69B"/>
            <w:vAlign w:val="center"/>
          </w:tcPr>
          <w:p w14:paraId="5CAB2CC7" w14:textId="752EC0F1" w:rsidR="00281D2B" w:rsidRPr="00917F73" w:rsidRDefault="00281D2B" w:rsidP="00281D2B">
            <w:pPr>
              <w:spacing w:after="0"/>
              <w:jc w:val="center"/>
              <w:rPr>
                <w:rFonts w:ascii="Times New Roman" w:hAnsi="Times New Roman" w:cs="Times New Roman"/>
                <w:b/>
                <w:bCs/>
                <w:sz w:val="20"/>
                <w:szCs w:val="20"/>
                <w:lang w:val="es-ES"/>
              </w:rPr>
            </w:pPr>
            <w:r>
              <w:rPr>
                <w:b/>
              </w:rPr>
              <w:t>Dificultad</w:t>
            </w:r>
          </w:p>
        </w:tc>
        <w:tc>
          <w:tcPr>
            <w:tcW w:w="849" w:type="dxa"/>
            <w:shd w:val="clear" w:color="auto" w:fill="C2D69B"/>
            <w:vAlign w:val="center"/>
          </w:tcPr>
          <w:p w14:paraId="3D1AD335" w14:textId="54AFBBC8" w:rsidR="00281D2B" w:rsidRPr="00917F73" w:rsidRDefault="00281D2B" w:rsidP="00281D2B">
            <w:pPr>
              <w:spacing w:after="0"/>
              <w:jc w:val="center"/>
              <w:rPr>
                <w:b/>
              </w:rPr>
            </w:pPr>
            <w:r>
              <w:rPr>
                <w:b/>
              </w:rPr>
              <w:t>R/D</w:t>
            </w:r>
          </w:p>
        </w:tc>
        <w:tc>
          <w:tcPr>
            <w:tcW w:w="849" w:type="dxa"/>
            <w:shd w:val="clear" w:color="auto" w:fill="C2D69B"/>
            <w:vAlign w:val="center"/>
          </w:tcPr>
          <w:p w14:paraId="2DE1AA62" w14:textId="691A9D8B" w:rsidR="00281D2B" w:rsidRPr="00917F73" w:rsidRDefault="00281D2B" w:rsidP="00281D2B">
            <w:pPr>
              <w:spacing w:after="0"/>
              <w:jc w:val="center"/>
              <w:rPr>
                <w:rFonts w:ascii="Times New Roman" w:hAnsi="Times New Roman" w:cs="Times New Roman"/>
                <w:b/>
                <w:bCs/>
                <w:sz w:val="20"/>
                <w:szCs w:val="20"/>
                <w:lang w:val="es-ES"/>
              </w:rPr>
            </w:pPr>
            <w:r w:rsidRPr="00917F73">
              <w:rPr>
                <w:b/>
              </w:rPr>
              <w:t>Grado Final</w:t>
            </w:r>
          </w:p>
        </w:tc>
      </w:tr>
      <w:tr w:rsidR="00281D2B" w:rsidRPr="00545ACF" w14:paraId="47D24C46" w14:textId="77777777" w:rsidTr="00FE4F5F">
        <w:trPr>
          <w:jc w:val="center"/>
        </w:trPr>
        <w:tc>
          <w:tcPr>
            <w:tcW w:w="425" w:type="dxa"/>
            <w:vMerge w:val="restart"/>
            <w:shd w:val="clear" w:color="auto" w:fill="C2D69B" w:themeFill="accent3" w:themeFillTint="99"/>
            <w:vAlign w:val="center"/>
          </w:tcPr>
          <w:p w14:paraId="430A8438" w14:textId="77777777" w:rsidR="00281D2B" w:rsidRPr="00545ACF" w:rsidRDefault="00281D2B" w:rsidP="00281D2B">
            <w:pPr>
              <w:spacing w:after="0"/>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1</w:t>
            </w:r>
          </w:p>
        </w:tc>
        <w:tc>
          <w:tcPr>
            <w:tcW w:w="2831" w:type="dxa"/>
            <w:vMerge w:val="restart"/>
            <w:shd w:val="clear" w:color="auto" w:fill="auto"/>
            <w:vAlign w:val="center"/>
          </w:tcPr>
          <w:p w14:paraId="057F25C0" w14:textId="77777777" w:rsidR="00281D2B"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E3</w:t>
            </w:r>
          </w:p>
          <w:p w14:paraId="6927FCED" w14:textId="6C659DF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Disponer</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planes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energéticos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nacionales,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sub</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regionales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y/o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regionales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contemplando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Objetivos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desarrollo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Sostenible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Nro.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7</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Energía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accesible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y</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no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contaminante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y</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Nro.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13</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Acción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por</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el</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Clima.</w:t>
            </w:r>
          </w:p>
        </w:tc>
        <w:tc>
          <w:tcPr>
            <w:tcW w:w="1985" w:type="dxa"/>
            <w:shd w:val="clear" w:color="auto" w:fill="auto"/>
            <w:vAlign w:val="center"/>
          </w:tcPr>
          <w:p w14:paraId="3E1EECEF"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4</w:t>
            </w:r>
          </w:p>
        </w:tc>
        <w:tc>
          <w:tcPr>
            <w:tcW w:w="1842" w:type="dxa"/>
            <w:shd w:val="clear" w:color="auto" w:fill="auto"/>
            <w:vAlign w:val="center"/>
          </w:tcPr>
          <w:p w14:paraId="437468B0"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4</w:t>
            </w:r>
          </w:p>
        </w:tc>
        <w:tc>
          <w:tcPr>
            <w:tcW w:w="1701" w:type="dxa"/>
            <w:shd w:val="clear" w:color="auto" w:fill="auto"/>
            <w:vAlign w:val="center"/>
          </w:tcPr>
          <w:p w14:paraId="63E0F5F0"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5</w:t>
            </w:r>
          </w:p>
        </w:tc>
        <w:tc>
          <w:tcPr>
            <w:tcW w:w="1701" w:type="dxa"/>
            <w:shd w:val="clear" w:color="auto" w:fill="auto"/>
            <w:vAlign w:val="center"/>
          </w:tcPr>
          <w:p w14:paraId="4847D566"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4</w:t>
            </w:r>
          </w:p>
        </w:tc>
        <w:tc>
          <w:tcPr>
            <w:tcW w:w="993" w:type="dxa"/>
            <w:vAlign w:val="center"/>
          </w:tcPr>
          <w:p w14:paraId="06D28266"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17</w:t>
            </w:r>
          </w:p>
        </w:tc>
        <w:tc>
          <w:tcPr>
            <w:tcW w:w="1702" w:type="dxa"/>
            <w:vAlign w:val="center"/>
          </w:tcPr>
          <w:p w14:paraId="5FD8E6DC"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2</w:t>
            </w:r>
          </w:p>
        </w:tc>
        <w:tc>
          <w:tcPr>
            <w:tcW w:w="849" w:type="dxa"/>
            <w:vAlign w:val="center"/>
          </w:tcPr>
          <w:p w14:paraId="3EA4DCB9" w14:textId="004D0A01" w:rsidR="00281D2B" w:rsidRPr="00545ACF" w:rsidRDefault="00281D2B" w:rsidP="00281D2B">
            <w:pPr>
              <w:spacing w:after="0"/>
              <w:jc w:val="center"/>
              <w:rPr>
                <w:rFonts w:ascii="Times New Roman" w:hAnsi="Times New Roman" w:cs="Times New Roman"/>
                <w:b/>
                <w:bCs/>
                <w:color w:val="000000"/>
                <w:sz w:val="20"/>
                <w:szCs w:val="20"/>
                <w:lang w:val="es-ES"/>
              </w:rPr>
            </w:pPr>
            <w:r w:rsidRPr="00545ACF">
              <w:rPr>
                <w:rFonts w:ascii="Times New Roman" w:hAnsi="Times New Roman" w:cs="Times New Roman"/>
                <w:b/>
                <w:sz w:val="20"/>
                <w:szCs w:val="20"/>
                <w:lang w:val="es-ES"/>
              </w:rPr>
              <w:t>2</w:t>
            </w:r>
          </w:p>
        </w:tc>
        <w:tc>
          <w:tcPr>
            <w:tcW w:w="849" w:type="dxa"/>
            <w:shd w:val="clear" w:color="auto" w:fill="auto"/>
            <w:vAlign w:val="center"/>
          </w:tcPr>
          <w:p w14:paraId="1F1D7305" w14:textId="49257FCE" w:rsidR="00281D2B" w:rsidRPr="00545ACF" w:rsidRDefault="00281D2B" w:rsidP="00281D2B">
            <w:pPr>
              <w:spacing w:after="0"/>
              <w:jc w:val="center"/>
              <w:rPr>
                <w:rFonts w:ascii="Times New Roman" w:hAnsi="Times New Roman" w:cs="Times New Roman"/>
                <w:b/>
                <w:bCs/>
                <w:color w:val="000000"/>
                <w:sz w:val="20"/>
                <w:szCs w:val="20"/>
                <w:lang w:val="es-ES"/>
              </w:rPr>
            </w:pPr>
            <w:r w:rsidRPr="00545ACF">
              <w:rPr>
                <w:rFonts w:ascii="Times New Roman" w:hAnsi="Times New Roman" w:cs="Times New Roman"/>
                <w:b/>
                <w:bCs/>
                <w:color w:val="000000"/>
                <w:sz w:val="20"/>
                <w:szCs w:val="20"/>
                <w:lang w:val="es-ES"/>
              </w:rPr>
              <w:t>34</w:t>
            </w:r>
          </w:p>
        </w:tc>
      </w:tr>
      <w:tr w:rsidR="00281D2B" w:rsidRPr="00545ACF" w14:paraId="63ECFFEA" w14:textId="77777777" w:rsidTr="00FE4F5F">
        <w:trPr>
          <w:jc w:val="center"/>
        </w:trPr>
        <w:tc>
          <w:tcPr>
            <w:tcW w:w="425" w:type="dxa"/>
            <w:vMerge/>
            <w:shd w:val="clear" w:color="auto" w:fill="C2D69B" w:themeFill="accent3" w:themeFillTint="99"/>
            <w:vAlign w:val="center"/>
          </w:tcPr>
          <w:p w14:paraId="69C501E1"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2831" w:type="dxa"/>
            <w:vMerge/>
            <w:shd w:val="clear" w:color="auto" w:fill="auto"/>
            <w:vAlign w:val="center"/>
          </w:tcPr>
          <w:p w14:paraId="45E5F685"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985" w:type="dxa"/>
            <w:shd w:val="clear" w:color="auto" w:fill="auto"/>
            <w:vAlign w:val="center"/>
          </w:tcPr>
          <w:p w14:paraId="0613FB7E"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necesario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mantener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soporte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continuo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poder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contar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estudios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contribuyan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toma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decisiones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políticas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energéticas,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lograr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una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planificación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homogénea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países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región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contemplando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ODSs.</w:t>
            </w:r>
          </w:p>
        </w:tc>
        <w:tc>
          <w:tcPr>
            <w:tcW w:w="1842" w:type="dxa"/>
            <w:shd w:val="clear" w:color="auto" w:fill="auto"/>
            <w:vAlign w:val="center"/>
          </w:tcPr>
          <w:p w14:paraId="6F22CEA3"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Se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debe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trabajar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forma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continua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todo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periodo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garantizar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atención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ODSs.</w:t>
            </w:r>
          </w:p>
        </w:tc>
        <w:tc>
          <w:tcPr>
            <w:tcW w:w="1701" w:type="dxa"/>
            <w:shd w:val="clear" w:color="auto" w:fill="auto"/>
            <w:vAlign w:val="center"/>
          </w:tcPr>
          <w:p w14:paraId="2A9B2513"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actuar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todos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países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latinoamericana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y</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caribe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habla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hispana.</w:t>
            </w:r>
          </w:p>
        </w:tc>
        <w:tc>
          <w:tcPr>
            <w:tcW w:w="1701" w:type="dxa"/>
            <w:shd w:val="clear" w:color="auto" w:fill="auto"/>
            <w:vAlign w:val="center"/>
          </w:tcPr>
          <w:p w14:paraId="58DDD612"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Esta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actuar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efectivamente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atención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modelo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mundial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ODSs.</w:t>
            </w:r>
          </w:p>
        </w:tc>
        <w:tc>
          <w:tcPr>
            <w:tcW w:w="993" w:type="dxa"/>
            <w:vAlign w:val="center"/>
          </w:tcPr>
          <w:p w14:paraId="516A5D56"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702" w:type="dxa"/>
            <w:vAlign w:val="center"/>
          </w:tcPr>
          <w:p w14:paraId="13BABAF3"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Implementación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dependiente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políticas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energéticas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nacionales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países.</w:t>
            </w:r>
          </w:p>
        </w:tc>
        <w:tc>
          <w:tcPr>
            <w:tcW w:w="849" w:type="dxa"/>
            <w:vAlign w:val="center"/>
          </w:tcPr>
          <w:p w14:paraId="0A608B2E" w14:textId="77777777" w:rsidR="00281D2B" w:rsidRPr="00545ACF" w:rsidRDefault="00281D2B" w:rsidP="00281D2B">
            <w:pPr>
              <w:spacing w:after="0"/>
              <w:jc w:val="center"/>
              <w:rPr>
                <w:rFonts w:ascii="Times New Roman" w:hAnsi="Times New Roman" w:cs="Times New Roman"/>
                <w:b/>
                <w:bCs/>
                <w:color w:val="000000"/>
                <w:sz w:val="20"/>
                <w:szCs w:val="20"/>
                <w:lang w:val="es-ES"/>
              </w:rPr>
            </w:pPr>
          </w:p>
        </w:tc>
        <w:tc>
          <w:tcPr>
            <w:tcW w:w="849" w:type="dxa"/>
            <w:shd w:val="clear" w:color="auto" w:fill="auto"/>
            <w:vAlign w:val="center"/>
          </w:tcPr>
          <w:p w14:paraId="7DA2A6FC" w14:textId="55B48BB5" w:rsidR="00281D2B" w:rsidRPr="00545ACF" w:rsidRDefault="00281D2B" w:rsidP="00281D2B">
            <w:pPr>
              <w:spacing w:after="0"/>
              <w:jc w:val="center"/>
              <w:rPr>
                <w:rFonts w:ascii="Times New Roman" w:hAnsi="Times New Roman" w:cs="Times New Roman"/>
                <w:b/>
                <w:bCs/>
                <w:color w:val="000000"/>
                <w:sz w:val="20"/>
                <w:szCs w:val="20"/>
                <w:lang w:val="es-ES"/>
              </w:rPr>
            </w:pPr>
          </w:p>
        </w:tc>
      </w:tr>
      <w:tr w:rsidR="00281D2B" w:rsidRPr="00545ACF" w14:paraId="0B4FB0FD" w14:textId="77777777" w:rsidTr="00FE4F5F">
        <w:trPr>
          <w:jc w:val="center"/>
        </w:trPr>
        <w:tc>
          <w:tcPr>
            <w:tcW w:w="425" w:type="dxa"/>
            <w:vMerge w:val="restart"/>
            <w:shd w:val="clear" w:color="auto" w:fill="C2D69B" w:themeFill="accent3" w:themeFillTint="99"/>
            <w:vAlign w:val="center"/>
          </w:tcPr>
          <w:p w14:paraId="1622A347" w14:textId="77777777" w:rsidR="00281D2B" w:rsidRPr="00545ACF" w:rsidRDefault="00281D2B" w:rsidP="00281D2B">
            <w:pPr>
              <w:spacing w:after="0"/>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2</w:t>
            </w:r>
          </w:p>
        </w:tc>
        <w:tc>
          <w:tcPr>
            <w:tcW w:w="2831" w:type="dxa"/>
            <w:vMerge w:val="restart"/>
            <w:shd w:val="clear" w:color="auto" w:fill="auto"/>
            <w:vAlign w:val="center"/>
          </w:tcPr>
          <w:p w14:paraId="49DEAA84" w14:textId="77777777" w:rsidR="00281D2B"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E4</w:t>
            </w:r>
          </w:p>
          <w:p w14:paraId="08C822D5" w14:textId="2C903DCC"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Incorporar</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fórums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discusión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planificación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energética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región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el</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concepto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CLEW</w:t>
            </w:r>
          </w:p>
        </w:tc>
        <w:tc>
          <w:tcPr>
            <w:tcW w:w="1985" w:type="dxa"/>
            <w:shd w:val="clear" w:color="auto" w:fill="auto"/>
            <w:vAlign w:val="center"/>
          </w:tcPr>
          <w:p w14:paraId="00ED078B"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4</w:t>
            </w:r>
          </w:p>
        </w:tc>
        <w:tc>
          <w:tcPr>
            <w:tcW w:w="1842" w:type="dxa"/>
            <w:shd w:val="clear" w:color="auto" w:fill="auto"/>
            <w:vAlign w:val="center"/>
          </w:tcPr>
          <w:p w14:paraId="204721E3"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4</w:t>
            </w:r>
          </w:p>
        </w:tc>
        <w:tc>
          <w:tcPr>
            <w:tcW w:w="1701" w:type="dxa"/>
            <w:shd w:val="clear" w:color="auto" w:fill="auto"/>
            <w:vAlign w:val="center"/>
          </w:tcPr>
          <w:p w14:paraId="63EBB264" w14:textId="2EB99266" w:rsidR="00281D2B" w:rsidRPr="00545ACF" w:rsidRDefault="00281D2B" w:rsidP="00281D2B">
            <w:pPr>
              <w:spacing w:after="0"/>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5</w:t>
            </w:r>
          </w:p>
        </w:tc>
        <w:tc>
          <w:tcPr>
            <w:tcW w:w="1701" w:type="dxa"/>
            <w:shd w:val="clear" w:color="auto" w:fill="auto"/>
            <w:vAlign w:val="center"/>
          </w:tcPr>
          <w:p w14:paraId="6427A31F"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3,5</w:t>
            </w:r>
          </w:p>
        </w:tc>
        <w:tc>
          <w:tcPr>
            <w:tcW w:w="993" w:type="dxa"/>
            <w:vAlign w:val="center"/>
          </w:tcPr>
          <w:p w14:paraId="5FA9B6EC" w14:textId="3FFF7E38"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1</w:t>
            </w:r>
            <w:r>
              <w:rPr>
                <w:rFonts w:ascii="Times New Roman" w:hAnsi="Times New Roman" w:cs="Times New Roman"/>
                <w:b/>
                <w:bCs/>
                <w:sz w:val="20"/>
                <w:szCs w:val="20"/>
                <w:lang w:val="es-ES"/>
              </w:rPr>
              <w:t>6</w:t>
            </w:r>
            <w:r w:rsidRPr="00545ACF">
              <w:rPr>
                <w:rFonts w:ascii="Times New Roman" w:hAnsi="Times New Roman" w:cs="Times New Roman"/>
                <w:b/>
                <w:bCs/>
                <w:sz w:val="20"/>
                <w:szCs w:val="20"/>
                <w:lang w:val="es-ES"/>
              </w:rPr>
              <w:t>,5</w:t>
            </w:r>
          </w:p>
        </w:tc>
        <w:tc>
          <w:tcPr>
            <w:tcW w:w="1702" w:type="dxa"/>
            <w:vAlign w:val="center"/>
          </w:tcPr>
          <w:p w14:paraId="59F24615"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4,5</w:t>
            </w:r>
          </w:p>
        </w:tc>
        <w:tc>
          <w:tcPr>
            <w:tcW w:w="849" w:type="dxa"/>
            <w:vAlign w:val="center"/>
          </w:tcPr>
          <w:p w14:paraId="7A3A0919" w14:textId="2685703A" w:rsidR="00281D2B" w:rsidRPr="00545ACF" w:rsidRDefault="00281D2B" w:rsidP="00281D2B">
            <w:pPr>
              <w:spacing w:after="0"/>
              <w:jc w:val="center"/>
              <w:rPr>
                <w:rFonts w:ascii="Times New Roman" w:hAnsi="Times New Roman" w:cs="Times New Roman"/>
                <w:b/>
                <w:bCs/>
                <w:color w:val="000000"/>
                <w:sz w:val="20"/>
                <w:szCs w:val="20"/>
                <w:lang w:val="es-ES"/>
              </w:rPr>
            </w:pPr>
            <w:r w:rsidRPr="00545ACF">
              <w:rPr>
                <w:rFonts w:ascii="Times New Roman" w:hAnsi="Times New Roman" w:cs="Times New Roman"/>
                <w:b/>
                <w:sz w:val="20"/>
                <w:szCs w:val="20"/>
                <w:lang w:val="es-ES"/>
              </w:rPr>
              <w:t>0,78</w:t>
            </w:r>
          </w:p>
        </w:tc>
        <w:tc>
          <w:tcPr>
            <w:tcW w:w="849" w:type="dxa"/>
            <w:shd w:val="clear" w:color="auto" w:fill="auto"/>
            <w:vAlign w:val="center"/>
          </w:tcPr>
          <w:p w14:paraId="3E778C57" w14:textId="34C810D2" w:rsidR="00281D2B" w:rsidRPr="00545ACF" w:rsidRDefault="00281D2B" w:rsidP="00281D2B">
            <w:pPr>
              <w:spacing w:after="0"/>
              <w:jc w:val="center"/>
              <w:rPr>
                <w:rFonts w:ascii="Times New Roman" w:hAnsi="Times New Roman" w:cs="Times New Roman"/>
                <w:b/>
                <w:bCs/>
                <w:color w:val="000000"/>
                <w:sz w:val="20"/>
                <w:szCs w:val="20"/>
                <w:lang w:val="es-ES"/>
              </w:rPr>
            </w:pPr>
            <w:r w:rsidRPr="00545ACF">
              <w:rPr>
                <w:rFonts w:ascii="Times New Roman" w:hAnsi="Times New Roman" w:cs="Times New Roman"/>
                <w:b/>
                <w:bCs/>
                <w:color w:val="000000"/>
                <w:sz w:val="20"/>
                <w:szCs w:val="20"/>
                <w:lang w:val="es-ES"/>
              </w:rPr>
              <w:t>12,</w:t>
            </w:r>
            <w:r>
              <w:rPr>
                <w:rFonts w:ascii="Times New Roman" w:hAnsi="Times New Roman" w:cs="Times New Roman"/>
                <w:b/>
                <w:bCs/>
                <w:color w:val="000000"/>
                <w:sz w:val="20"/>
                <w:szCs w:val="20"/>
                <w:lang w:val="es-ES"/>
              </w:rPr>
              <w:t>83</w:t>
            </w:r>
          </w:p>
        </w:tc>
      </w:tr>
      <w:tr w:rsidR="00281D2B" w:rsidRPr="00545ACF" w14:paraId="28DE60AC" w14:textId="77777777" w:rsidTr="00FE4F5F">
        <w:trPr>
          <w:jc w:val="center"/>
        </w:trPr>
        <w:tc>
          <w:tcPr>
            <w:tcW w:w="425" w:type="dxa"/>
            <w:vMerge/>
            <w:tcBorders>
              <w:bottom w:val="single" w:sz="4" w:space="0" w:color="auto"/>
            </w:tcBorders>
            <w:shd w:val="clear" w:color="auto" w:fill="C2D69B" w:themeFill="accent3" w:themeFillTint="99"/>
            <w:vAlign w:val="center"/>
          </w:tcPr>
          <w:p w14:paraId="0B45830D"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2831" w:type="dxa"/>
            <w:vMerge/>
            <w:tcBorders>
              <w:bottom w:val="single" w:sz="4" w:space="0" w:color="auto"/>
            </w:tcBorders>
            <w:shd w:val="clear" w:color="auto" w:fill="auto"/>
            <w:vAlign w:val="center"/>
          </w:tcPr>
          <w:p w14:paraId="04C1327D"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985" w:type="dxa"/>
            <w:shd w:val="clear" w:color="auto" w:fill="auto"/>
            <w:vAlign w:val="center"/>
          </w:tcPr>
          <w:p w14:paraId="4A741A8D"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importante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integración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estos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4</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temas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debido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competencia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recursos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naturales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fines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energéticos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y</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energéticos.</w:t>
            </w:r>
          </w:p>
        </w:tc>
        <w:tc>
          <w:tcPr>
            <w:tcW w:w="1842" w:type="dxa"/>
            <w:shd w:val="clear" w:color="auto" w:fill="auto"/>
            <w:vAlign w:val="center"/>
          </w:tcPr>
          <w:p w14:paraId="15BE9393"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atención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este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tema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llevara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un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uso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racional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recursos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naturales.</w:t>
            </w:r>
          </w:p>
        </w:tc>
        <w:tc>
          <w:tcPr>
            <w:tcW w:w="1701" w:type="dxa"/>
            <w:shd w:val="clear" w:color="auto" w:fill="auto"/>
            <w:vAlign w:val="center"/>
          </w:tcPr>
          <w:p w14:paraId="11C41893"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actuar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todos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países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latinoamericana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y</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caribe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habla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hispana.</w:t>
            </w:r>
          </w:p>
        </w:tc>
        <w:tc>
          <w:tcPr>
            <w:tcW w:w="1701" w:type="dxa"/>
            <w:shd w:val="clear" w:color="auto" w:fill="auto"/>
            <w:vAlign w:val="center"/>
          </w:tcPr>
          <w:p w14:paraId="41EE32B1"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Esta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actuar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efectivamente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atención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integración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estos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4</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temas.</w:t>
            </w:r>
          </w:p>
        </w:tc>
        <w:tc>
          <w:tcPr>
            <w:tcW w:w="993" w:type="dxa"/>
            <w:vAlign w:val="center"/>
          </w:tcPr>
          <w:p w14:paraId="6A1B82DF"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702" w:type="dxa"/>
            <w:vAlign w:val="center"/>
          </w:tcPr>
          <w:p w14:paraId="08F2F760" w14:textId="116A0D63"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Implementación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depende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creación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incorporación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tema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agendas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planificación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energética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países.</w:t>
            </w:r>
          </w:p>
        </w:tc>
        <w:tc>
          <w:tcPr>
            <w:tcW w:w="849" w:type="dxa"/>
            <w:vAlign w:val="center"/>
          </w:tcPr>
          <w:p w14:paraId="746C8E4D" w14:textId="77777777" w:rsidR="00281D2B" w:rsidRPr="00545ACF" w:rsidRDefault="00281D2B" w:rsidP="00281D2B">
            <w:pPr>
              <w:spacing w:after="0"/>
              <w:jc w:val="center"/>
              <w:rPr>
                <w:rFonts w:ascii="Times New Roman" w:hAnsi="Times New Roman" w:cs="Times New Roman"/>
                <w:b/>
                <w:bCs/>
                <w:color w:val="000000"/>
                <w:sz w:val="20"/>
                <w:szCs w:val="20"/>
                <w:lang w:val="es-ES"/>
              </w:rPr>
            </w:pPr>
          </w:p>
        </w:tc>
        <w:tc>
          <w:tcPr>
            <w:tcW w:w="849" w:type="dxa"/>
            <w:shd w:val="clear" w:color="auto" w:fill="auto"/>
            <w:vAlign w:val="center"/>
          </w:tcPr>
          <w:p w14:paraId="6C08CE47" w14:textId="1F7C08DB" w:rsidR="00281D2B" w:rsidRPr="00545ACF" w:rsidRDefault="00281D2B" w:rsidP="00281D2B">
            <w:pPr>
              <w:spacing w:after="0"/>
              <w:jc w:val="center"/>
              <w:rPr>
                <w:rFonts w:ascii="Times New Roman" w:hAnsi="Times New Roman" w:cs="Times New Roman"/>
                <w:b/>
                <w:bCs/>
                <w:color w:val="000000"/>
                <w:sz w:val="20"/>
                <w:szCs w:val="20"/>
                <w:lang w:val="es-ES"/>
              </w:rPr>
            </w:pPr>
          </w:p>
        </w:tc>
      </w:tr>
      <w:tr w:rsidR="00281D2B" w:rsidRPr="00545ACF" w14:paraId="07917FD8" w14:textId="77777777" w:rsidTr="00FE4F5F">
        <w:trPr>
          <w:jc w:val="center"/>
        </w:trPr>
        <w:tc>
          <w:tcPr>
            <w:tcW w:w="425" w:type="dxa"/>
            <w:vMerge w:val="restart"/>
            <w:shd w:val="clear" w:color="auto" w:fill="C2D69B" w:themeFill="accent3" w:themeFillTint="99"/>
            <w:vAlign w:val="center"/>
          </w:tcPr>
          <w:p w14:paraId="762F6918" w14:textId="77777777" w:rsidR="00281D2B" w:rsidRPr="00545ACF" w:rsidRDefault="00281D2B" w:rsidP="00281D2B">
            <w:pPr>
              <w:spacing w:after="0"/>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3</w:t>
            </w:r>
          </w:p>
        </w:tc>
        <w:tc>
          <w:tcPr>
            <w:tcW w:w="2831" w:type="dxa"/>
            <w:vMerge w:val="restart"/>
            <w:shd w:val="clear" w:color="auto" w:fill="auto"/>
            <w:vAlign w:val="center"/>
          </w:tcPr>
          <w:p w14:paraId="13DFA9EB"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rPr>
              <w:t>E5</w:t>
            </w:r>
          </w:p>
          <w:p w14:paraId="06865AF1" w14:textId="77777777" w:rsidR="00281D2B" w:rsidRPr="00545ACF" w:rsidRDefault="00281D2B" w:rsidP="00281D2B">
            <w:pPr>
              <w:spacing w:after="0"/>
              <w:jc w:val="center"/>
              <w:rPr>
                <w:rFonts w:ascii="Times New Roman" w:hAnsi="Times New Roman" w:cs="Times New Roman"/>
                <w:b/>
                <w:bCs/>
                <w:sz w:val="20"/>
                <w:szCs w:val="20"/>
              </w:rPr>
            </w:pPr>
            <w:r w:rsidRPr="00545ACF">
              <w:rPr>
                <w:rFonts w:ascii="Times New Roman" w:hAnsi="Times New Roman" w:cs="Times New Roman"/>
                <w:b/>
                <w:bCs/>
                <w:sz w:val="20"/>
                <w:szCs w:val="20"/>
              </w:rPr>
              <w:t>Extensión</w:t>
            </w:r>
            <w:r>
              <w:rPr>
                <w:rFonts w:ascii="Times New Roman" w:hAnsi="Times New Roman" w:cs="Times New Roman"/>
                <w:b/>
                <w:bCs/>
                <w:sz w:val="20"/>
                <w:szCs w:val="20"/>
              </w:rPr>
              <w:t xml:space="preserve"> </w:t>
            </w:r>
            <w:r w:rsidRPr="00545ACF">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45ACF">
              <w:rPr>
                <w:rFonts w:ascii="Times New Roman" w:hAnsi="Times New Roman" w:cs="Times New Roman"/>
                <w:b/>
                <w:bCs/>
                <w:sz w:val="20"/>
                <w:szCs w:val="20"/>
              </w:rPr>
              <w:t>vida</w:t>
            </w:r>
            <w:r>
              <w:rPr>
                <w:rFonts w:ascii="Times New Roman" w:hAnsi="Times New Roman" w:cs="Times New Roman"/>
                <w:b/>
                <w:bCs/>
                <w:sz w:val="20"/>
                <w:szCs w:val="20"/>
              </w:rPr>
              <w:t xml:space="preserve"> </w:t>
            </w:r>
            <w:r w:rsidRPr="00545ACF">
              <w:rPr>
                <w:rFonts w:ascii="Times New Roman" w:hAnsi="Times New Roman" w:cs="Times New Roman"/>
                <w:b/>
                <w:bCs/>
                <w:sz w:val="20"/>
                <w:szCs w:val="20"/>
              </w:rPr>
              <w:t>útil</w:t>
            </w:r>
            <w:r>
              <w:rPr>
                <w:rFonts w:ascii="Times New Roman" w:hAnsi="Times New Roman" w:cs="Times New Roman"/>
                <w:b/>
                <w:bCs/>
                <w:sz w:val="20"/>
                <w:szCs w:val="20"/>
              </w:rPr>
              <w:t xml:space="preserve"> </w:t>
            </w:r>
            <w:r w:rsidRPr="00545ACF">
              <w:rPr>
                <w:rFonts w:ascii="Times New Roman" w:hAnsi="Times New Roman" w:cs="Times New Roman"/>
                <w:b/>
                <w:bCs/>
                <w:sz w:val="20"/>
                <w:szCs w:val="20"/>
              </w:rPr>
              <w:t>de</w:t>
            </w:r>
            <w:r>
              <w:rPr>
                <w:rFonts w:ascii="Times New Roman" w:hAnsi="Times New Roman" w:cs="Times New Roman"/>
                <w:b/>
                <w:bCs/>
                <w:sz w:val="20"/>
                <w:szCs w:val="20"/>
              </w:rPr>
              <w:t xml:space="preserve"> </w:t>
            </w:r>
            <w:r w:rsidRPr="00545ACF">
              <w:rPr>
                <w:rFonts w:ascii="Times New Roman" w:hAnsi="Times New Roman" w:cs="Times New Roman"/>
                <w:b/>
                <w:bCs/>
                <w:sz w:val="20"/>
                <w:szCs w:val="20"/>
              </w:rPr>
              <w:t>las</w:t>
            </w:r>
            <w:r>
              <w:rPr>
                <w:rFonts w:ascii="Times New Roman" w:hAnsi="Times New Roman" w:cs="Times New Roman"/>
                <w:b/>
                <w:bCs/>
                <w:sz w:val="20"/>
                <w:szCs w:val="20"/>
              </w:rPr>
              <w:t xml:space="preserve"> </w:t>
            </w:r>
            <w:r w:rsidRPr="00545ACF">
              <w:rPr>
                <w:rFonts w:ascii="Times New Roman" w:hAnsi="Times New Roman" w:cs="Times New Roman"/>
                <w:b/>
                <w:bCs/>
                <w:sz w:val="20"/>
                <w:szCs w:val="20"/>
              </w:rPr>
              <w:t>centrales</w:t>
            </w:r>
            <w:r>
              <w:rPr>
                <w:rFonts w:ascii="Times New Roman" w:hAnsi="Times New Roman" w:cs="Times New Roman"/>
                <w:b/>
                <w:bCs/>
                <w:sz w:val="20"/>
                <w:szCs w:val="20"/>
              </w:rPr>
              <w:t xml:space="preserve"> </w:t>
            </w:r>
            <w:r w:rsidRPr="00545ACF">
              <w:rPr>
                <w:rFonts w:ascii="Times New Roman" w:hAnsi="Times New Roman" w:cs="Times New Roman"/>
                <w:b/>
                <w:bCs/>
                <w:sz w:val="20"/>
                <w:szCs w:val="20"/>
              </w:rPr>
              <w:t>nucleares</w:t>
            </w:r>
          </w:p>
          <w:p w14:paraId="6B5B765C"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985" w:type="dxa"/>
            <w:shd w:val="clear" w:color="auto" w:fill="auto"/>
            <w:vAlign w:val="center"/>
          </w:tcPr>
          <w:p w14:paraId="2ED8AB12" w14:textId="17EB13E5" w:rsidR="00281D2B" w:rsidRPr="00545ACF" w:rsidRDefault="00281D2B" w:rsidP="00281D2B">
            <w:pPr>
              <w:spacing w:after="0"/>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4</w:t>
            </w:r>
          </w:p>
        </w:tc>
        <w:tc>
          <w:tcPr>
            <w:tcW w:w="1842" w:type="dxa"/>
            <w:shd w:val="clear" w:color="auto" w:fill="auto"/>
            <w:vAlign w:val="center"/>
          </w:tcPr>
          <w:p w14:paraId="4927B0EC"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4,5</w:t>
            </w:r>
          </w:p>
        </w:tc>
        <w:tc>
          <w:tcPr>
            <w:tcW w:w="1701" w:type="dxa"/>
            <w:shd w:val="clear" w:color="auto" w:fill="auto"/>
            <w:vAlign w:val="center"/>
          </w:tcPr>
          <w:p w14:paraId="12BB3058"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2</w:t>
            </w:r>
          </w:p>
        </w:tc>
        <w:tc>
          <w:tcPr>
            <w:tcW w:w="1701" w:type="dxa"/>
            <w:shd w:val="clear" w:color="auto" w:fill="auto"/>
            <w:vAlign w:val="center"/>
          </w:tcPr>
          <w:p w14:paraId="323A54F2"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4</w:t>
            </w:r>
          </w:p>
        </w:tc>
        <w:tc>
          <w:tcPr>
            <w:tcW w:w="993" w:type="dxa"/>
            <w:vAlign w:val="center"/>
          </w:tcPr>
          <w:p w14:paraId="02D98B81" w14:textId="3066EB12"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14</w:t>
            </w:r>
            <w:r>
              <w:rPr>
                <w:rFonts w:ascii="Times New Roman" w:hAnsi="Times New Roman" w:cs="Times New Roman"/>
                <w:b/>
                <w:bCs/>
                <w:sz w:val="20"/>
                <w:szCs w:val="20"/>
                <w:lang w:val="es-ES"/>
              </w:rPr>
              <w:t>,5</w:t>
            </w:r>
          </w:p>
        </w:tc>
        <w:tc>
          <w:tcPr>
            <w:tcW w:w="1702" w:type="dxa"/>
            <w:vAlign w:val="center"/>
          </w:tcPr>
          <w:p w14:paraId="436E30E2"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3,5</w:t>
            </w:r>
          </w:p>
        </w:tc>
        <w:tc>
          <w:tcPr>
            <w:tcW w:w="849" w:type="dxa"/>
            <w:vAlign w:val="center"/>
          </w:tcPr>
          <w:p w14:paraId="144C758C" w14:textId="682F2CD2" w:rsidR="00281D2B" w:rsidRPr="00545ACF" w:rsidRDefault="00281D2B" w:rsidP="00281D2B">
            <w:pPr>
              <w:spacing w:after="0"/>
              <w:jc w:val="center"/>
              <w:rPr>
                <w:rFonts w:ascii="Times New Roman" w:hAnsi="Times New Roman" w:cs="Times New Roman"/>
                <w:b/>
                <w:bCs/>
                <w:color w:val="000000"/>
                <w:sz w:val="20"/>
                <w:szCs w:val="20"/>
                <w:lang w:val="es-ES"/>
              </w:rPr>
            </w:pPr>
            <w:r w:rsidRPr="00545ACF">
              <w:rPr>
                <w:rFonts w:ascii="Times New Roman" w:hAnsi="Times New Roman" w:cs="Times New Roman"/>
                <w:b/>
                <w:sz w:val="20"/>
                <w:szCs w:val="20"/>
                <w:lang w:val="es-ES"/>
              </w:rPr>
              <w:t>1,14</w:t>
            </w:r>
          </w:p>
        </w:tc>
        <w:tc>
          <w:tcPr>
            <w:tcW w:w="849" w:type="dxa"/>
            <w:shd w:val="clear" w:color="auto" w:fill="auto"/>
            <w:vAlign w:val="center"/>
          </w:tcPr>
          <w:p w14:paraId="75563739" w14:textId="060408F5" w:rsidR="00281D2B" w:rsidRPr="00545ACF" w:rsidRDefault="00281D2B" w:rsidP="00281D2B">
            <w:pPr>
              <w:spacing w:after="0"/>
              <w:jc w:val="center"/>
              <w:rPr>
                <w:rFonts w:ascii="Times New Roman" w:hAnsi="Times New Roman" w:cs="Times New Roman"/>
                <w:b/>
                <w:bCs/>
                <w:color w:val="000000"/>
                <w:sz w:val="20"/>
                <w:szCs w:val="20"/>
                <w:lang w:val="es-ES"/>
              </w:rPr>
            </w:pPr>
            <w:r w:rsidRPr="00545ACF">
              <w:rPr>
                <w:rFonts w:ascii="Times New Roman" w:hAnsi="Times New Roman" w:cs="Times New Roman"/>
                <w:b/>
                <w:bCs/>
                <w:color w:val="000000"/>
                <w:sz w:val="20"/>
                <w:szCs w:val="20"/>
                <w:lang w:val="es-ES"/>
              </w:rPr>
              <w:t>1</w:t>
            </w:r>
            <w:r>
              <w:rPr>
                <w:rFonts w:ascii="Times New Roman" w:hAnsi="Times New Roman" w:cs="Times New Roman"/>
                <w:b/>
                <w:bCs/>
                <w:color w:val="000000"/>
                <w:sz w:val="20"/>
                <w:szCs w:val="20"/>
                <w:lang w:val="es-ES"/>
              </w:rPr>
              <w:t>6</w:t>
            </w:r>
            <w:r w:rsidRPr="00545ACF">
              <w:rPr>
                <w:rFonts w:ascii="Times New Roman" w:hAnsi="Times New Roman" w:cs="Times New Roman"/>
                <w:b/>
                <w:bCs/>
                <w:color w:val="000000"/>
                <w:sz w:val="20"/>
                <w:szCs w:val="20"/>
                <w:lang w:val="es-ES"/>
              </w:rPr>
              <w:t>,</w:t>
            </w:r>
            <w:r>
              <w:rPr>
                <w:rFonts w:ascii="Times New Roman" w:hAnsi="Times New Roman" w:cs="Times New Roman"/>
                <w:b/>
                <w:bCs/>
                <w:color w:val="000000"/>
                <w:sz w:val="20"/>
                <w:szCs w:val="20"/>
                <w:lang w:val="es-ES"/>
              </w:rPr>
              <w:t>57</w:t>
            </w:r>
          </w:p>
        </w:tc>
      </w:tr>
      <w:tr w:rsidR="00281D2B" w:rsidRPr="00545ACF" w14:paraId="5B1C6BEF" w14:textId="77777777" w:rsidTr="00FE4F5F">
        <w:trPr>
          <w:jc w:val="center"/>
        </w:trPr>
        <w:tc>
          <w:tcPr>
            <w:tcW w:w="425" w:type="dxa"/>
            <w:vMerge/>
            <w:shd w:val="clear" w:color="auto" w:fill="C2D69B" w:themeFill="accent3" w:themeFillTint="99"/>
            <w:vAlign w:val="center"/>
          </w:tcPr>
          <w:p w14:paraId="73E237F0"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2831" w:type="dxa"/>
            <w:vMerge/>
            <w:shd w:val="clear" w:color="auto" w:fill="auto"/>
            <w:vAlign w:val="center"/>
          </w:tcPr>
          <w:p w14:paraId="4888F46A"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985" w:type="dxa"/>
            <w:shd w:val="clear" w:color="auto" w:fill="auto"/>
            <w:vAlign w:val="center"/>
          </w:tcPr>
          <w:p w14:paraId="491554A8"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mayoría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centrales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nucleares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región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requieren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extensión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vida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por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lastRenderedPageBreak/>
              <w:t>tener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centrales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más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30</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años.</w:t>
            </w:r>
          </w:p>
        </w:tc>
        <w:tc>
          <w:tcPr>
            <w:tcW w:w="1842" w:type="dxa"/>
            <w:shd w:val="clear" w:color="auto" w:fill="auto"/>
            <w:vAlign w:val="center"/>
          </w:tcPr>
          <w:p w14:paraId="525D9C2E"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sz w:val="20"/>
                <w:szCs w:val="20"/>
                <w:lang w:val="es-ES"/>
              </w:rPr>
              <w:lastRenderedPageBreak/>
              <w:t>El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proceso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licenciamiento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PLEX</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largo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y</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requiere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atención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lastRenderedPageBreak/>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Autoridad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Regulatoria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Nuclear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nacional.</w:t>
            </w:r>
          </w:p>
        </w:tc>
        <w:tc>
          <w:tcPr>
            <w:tcW w:w="1701" w:type="dxa"/>
            <w:shd w:val="clear" w:color="auto" w:fill="auto"/>
            <w:vAlign w:val="center"/>
          </w:tcPr>
          <w:p w14:paraId="6C3D60CF"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lastRenderedPageBreak/>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actuar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países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disponen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lastRenderedPageBreak/>
              <w:t>centrales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nucleares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más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30</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años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operación</w:t>
            </w:r>
          </w:p>
        </w:tc>
        <w:tc>
          <w:tcPr>
            <w:tcW w:w="1701" w:type="dxa"/>
            <w:shd w:val="clear" w:color="auto" w:fill="auto"/>
            <w:vAlign w:val="center"/>
          </w:tcPr>
          <w:p w14:paraId="09B7C5B6"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lastRenderedPageBreak/>
              <w:t>Contribuye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desarrollo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tecnológico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países,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mantiene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lastRenderedPageBreak/>
              <w:t>preserva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contribución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energía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nuclear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diversificación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matrices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eléctricas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y</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evita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emisiones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gases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efecto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invernadero.</w:t>
            </w:r>
          </w:p>
        </w:tc>
        <w:tc>
          <w:tcPr>
            <w:tcW w:w="993" w:type="dxa"/>
            <w:vAlign w:val="center"/>
          </w:tcPr>
          <w:p w14:paraId="6A2888CB"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702" w:type="dxa"/>
            <w:vAlign w:val="center"/>
          </w:tcPr>
          <w:p w14:paraId="26C9A8D8" w14:textId="77777777"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Si</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bien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existen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dificultades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técnicas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observa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lastRenderedPageBreak/>
              <w:t>requieren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recursos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presupuestarios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nacionales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envergadura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el</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proyecto.</w:t>
            </w:r>
          </w:p>
        </w:tc>
        <w:tc>
          <w:tcPr>
            <w:tcW w:w="849" w:type="dxa"/>
            <w:vAlign w:val="center"/>
          </w:tcPr>
          <w:p w14:paraId="25DA4DAA" w14:textId="77777777" w:rsidR="00281D2B" w:rsidRPr="00545ACF" w:rsidRDefault="00281D2B" w:rsidP="00281D2B">
            <w:pPr>
              <w:spacing w:after="0"/>
              <w:jc w:val="center"/>
              <w:rPr>
                <w:rFonts w:ascii="Times New Roman" w:hAnsi="Times New Roman" w:cs="Times New Roman"/>
                <w:b/>
                <w:bCs/>
                <w:color w:val="000000"/>
                <w:sz w:val="20"/>
                <w:szCs w:val="20"/>
                <w:lang w:val="es-ES"/>
              </w:rPr>
            </w:pPr>
          </w:p>
        </w:tc>
        <w:tc>
          <w:tcPr>
            <w:tcW w:w="849" w:type="dxa"/>
            <w:shd w:val="clear" w:color="auto" w:fill="auto"/>
            <w:vAlign w:val="center"/>
          </w:tcPr>
          <w:p w14:paraId="215F2BB4" w14:textId="54463E8B" w:rsidR="00281D2B" w:rsidRPr="00545ACF" w:rsidRDefault="00281D2B" w:rsidP="00281D2B">
            <w:pPr>
              <w:spacing w:after="0"/>
              <w:jc w:val="center"/>
              <w:rPr>
                <w:rFonts w:ascii="Times New Roman" w:hAnsi="Times New Roman" w:cs="Times New Roman"/>
                <w:b/>
                <w:bCs/>
                <w:color w:val="000000"/>
                <w:sz w:val="20"/>
                <w:szCs w:val="20"/>
                <w:lang w:val="es-ES"/>
              </w:rPr>
            </w:pPr>
            <w:r w:rsidRPr="00545ACF">
              <w:rPr>
                <w:rFonts w:ascii="Times New Roman" w:hAnsi="Times New Roman" w:cs="Times New Roman"/>
                <w:b/>
                <w:bCs/>
                <w:color w:val="000000"/>
                <w:sz w:val="20"/>
                <w:szCs w:val="20"/>
                <w:lang w:val="es-ES"/>
              </w:rPr>
              <w:t>15,96</w:t>
            </w:r>
          </w:p>
        </w:tc>
      </w:tr>
      <w:tr w:rsidR="00281D2B" w:rsidRPr="00545ACF" w14:paraId="43D531A3" w14:textId="77777777" w:rsidTr="00FE4F5F">
        <w:trPr>
          <w:jc w:val="center"/>
        </w:trPr>
        <w:tc>
          <w:tcPr>
            <w:tcW w:w="425" w:type="dxa"/>
            <w:vMerge w:val="restart"/>
            <w:shd w:val="clear" w:color="auto" w:fill="C2D69B" w:themeFill="accent3" w:themeFillTint="99"/>
            <w:vAlign w:val="center"/>
          </w:tcPr>
          <w:p w14:paraId="7CC11249" w14:textId="38247559" w:rsidR="00281D2B" w:rsidRPr="00545ACF" w:rsidRDefault="00281D2B" w:rsidP="00281D2B">
            <w:pPr>
              <w:spacing w:after="0"/>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4</w:t>
            </w:r>
          </w:p>
        </w:tc>
        <w:tc>
          <w:tcPr>
            <w:tcW w:w="2831" w:type="dxa"/>
            <w:vMerge w:val="restart"/>
            <w:shd w:val="clear" w:color="auto" w:fill="auto"/>
            <w:vAlign w:val="center"/>
          </w:tcPr>
          <w:p w14:paraId="45B1D379" w14:textId="77777777" w:rsidR="00281D2B"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E1</w:t>
            </w:r>
          </w:p>
          <w:p w14:paraId="6C4D7DAC" w14:textId="0E9D3E2E"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Incorporación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del</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tema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sistemas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energéticos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programas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educativos,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diferentes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niveles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educación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desde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escolar</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grado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universitario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región.</w:t>
            </w:r>
          </w:p>
        </w:tc>
        <w:tc>
          <w:tcPr>
            <w:tcW w:w="1985" w:type="dxa"/>
            <w:shd w:val="clear" w:color="auto" w:fill="auto"/>
            <w:vAlign w:val="center"/>
          </w:tcPr>
          <w:p w14:paraId="73DB2B6A"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3</w:t>
            </w:r>
          </w:p>
        </w:tc>
        <w:tc>
          <w:tcPr>
            <w:tcW w:w="1842" w:type="dxa"/>
            <w:shd w:val="clear" w:color="auto" w:fill="auto"/>
            <w:vAlign w:val="center"/>
          </w:tcPr>
          <w:p w14:paraId="3A1D6C22"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2</w:t>
            </w:r>
          </w:p>
        </w:tc>
        <w:tc>
          <w:tcPr>
            <w:tcW w:w="1701" w:type="dxa"/>
            <w:shd w:val="clear" w:color="auto" w:fill="auto"/>
            <w:vAlign w:val="center"/>
          </w:tcPr>
          <w:p w14:paraId="15CA1A1D"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5</w:t>
            </w:r>
          </w:p>
        </w:tc>
        <w:tc>
          <w:tcPr>
            <w:tcW w:w="1701" w:type="dxa"/>
            <w:shd w:val="clear" w:color="auto" w:fill="auto"/>
            <w:vAlign w:val="center"/>
          </w:tcPr>
          <w:p w14:paraId="05588223"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3,5</w:t>
            </w:r>
          </w:p>
        </w:tc>
        <w:tc>
          <w:tcPr>
            <w:tcW w:w="993" w:type="dxa"/>
            <w:vAlign w:val="center"/>
          </w:tcPr>
          <w:p w14:paraId="2F8523A6" w14:textId="77777777" w:rsidR="00281D2B" w:rsidRPr="00545ACF" w:rsidRDefault="00281D2B" w:rsidP="00281D2B">
            <w:pPr>
              <w:spacing w:after="0"/>
              <w:jc w:val="center"/>
              <w:rPr>
                <w:rFonts w:ascii="Times New Roman" w:hAnsi="Times New Roman" w:cs="Times New Roman"/>
                <w:b/>
                <w:sz w:val="20"/>
                <w:szCs w:val="20"/>
                <w:lang w:val="es-ES"/>
              </w:rPr>
            </w:pPr>
            <w:r w:rsidRPr="00545ACF">
              <w:rPr>
                <w:rFonts w:ascii="Times New Roman" w:hAnsi="Times New Roman" w:cs="Times New Roman"/>
                <w:b/>
                <w:sz w:val="20"/>
                <w:szCs w:val="20"/>
                <w:lang w:val="es-ES"/>
              </w:rPr>
              <w:t>13,5</w:t>
            </w:r>
          </w:p>
        </w:tc>
        <w:tc>
          <w:tcPr>
            <w:tcW w:w="1702" w:type="dxa"/>
            <w:vAlign w:val="center"/>
          </w:tcPr>
          <w:p w14:paraId="493844D0"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3,5</w:t>
            </w:r>
          </w:p>
        </w:tc>
        <w:tc>
          <w:tcPr>
            <w:tcW w:w="849" w:type="dxa"/>
            <w:vAlign w:val="center"/>
          </w:tcPr>
          <w:p w14:paraId="79ECF170" w14:textId="74D77503" w:rsidR="00281D2B" w:rsidRPr="00545ACF" w:rsidRDefault="00281D2B" w:rsidP="00281D2B">
            <w:pPr>
              <w:spacing w:after="0"/>
              <w:jc w:val="center"/>
              <w:rPr>
                <w:rFonts w:ascii="Times New Roman" w:hAnsi="Times New Roman" w:cs="Times New Roman"/>
                <w:b/>
                <w:sz w:val="20"/>
                <w:szCs w:val="20"/>
                <w:lang w:val="es-ES"/>
              </w:rPr>
            </w:pPr>
            <w:r w:rsidRPr="00545ACF">
              <w:rPr>
                <w:rFonts w:ascii="Times New Roman" w:hAnsi="Times New Roman" w:cs="Times New Roman"/>
                <w:b/>
                <w:sz w:val="20"/>
                <w:szCs w:val="20"/>
                <w:lang w:val="es-ES"/>
              </w:rPr>
              <w:t>1</w:t>
            </w:r>
          </w:p>
        </w:tc>
        <w:tc>
          <w:tcPr>
            <w:tcW w:w="849" w:type="dxa"/>
            <w:shd w:val="clear" w:color="auto" w:fill="auto"/>
            <w:vAlign w:val="center"/>
          </w:tcPr>
          <w:p w14:paraId="0EB4A972" w14:textId="42E22D34" w:rsidR="00281D2B" w:rsidRPr="00545ACF" w:rsidRDefault="00281D2B" w:rsidP="00281D2B">
            <w:pPr>
              <w:spacing w:after="0"/>
              <w:jc w:val="center"/>
              <w:rPr>
                <w:rFonts w:ascii="Times New Roman" w:hAnsi="Times New Roman" w:cs="Times New Roman"/>
                <w:b/>
                <w:sz w:val="20"/>
                <w:szCs w:val="20"/>
                <w:lang w:val="es-ES"/>
              </w:rPr>
            </w:pPr>
            <w:r w:rsidRPr="00545ACF">
              <w:rPr>
                <w:rFonts w:ascii="Times New Roman" w:hAnsi="Times New Roman" w:cs="Times New Roman"/>
                <w:b/>
                <w:sz w:val="20"/>
                <w:szCs w:val="20"/>
                <w:lang w:val="es-ES"/>
              </w:rPr>
              <w:t>13,5</w:t>
            </w:r>
          </w:p>
        </w:tc>
      </w:tr>
      <w:tr w:rsidR="00281D2B" w:rsidRPr="00545ACF" w14:paraId="1818A7FA" w14:textId="77777777" w:rsidTr="00FE4F5F">
        <w:trPr>
          <w:jc w:val="center"/>
        </w:trPr>
        <w:tc>
          <w:tcPr>
            <w:tcW w:w="425" w:type="dxa"/>
            <w:vMerge/>
            <w:shd w:val="clear" w:color="auto" w:fill="C2D69B" w:themeFill="accent3" w:themeFillTint="99"/>
            <w:vAlign w:val="center"/>
          </w:tcPr>
          <w:p w14:paraId="64DE0F08"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2831" w:type="dxa"/>
            <w:vMerge/>
            <w:shd w:val="clear" w:color="auto" w:fill="auto"/>
            <w:vAlign w:val="center"/>
          </w:tcPr>
          <w:p w14:paraId="35F3976C"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985" w:type="dxa"/>
            <w:shd w:val="clear" w:color="auto" w:fill="auto"/>
            <w:vAlign w:val="center"/>
          </w:tcPr>
          <w:p w14:paraId="20BF924A" w14:textId="333CE69A"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aclarar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opinión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pública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relación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energía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nuclear</w:t>
            </w:r>
          </w:p>
        </w:tc>
        <w:tc>
          <w:tcPr>
            <w:tcW w:w="1842" w:type="dxa"/>
            <w:shd w:val="clear" w:color="auto" w:fill="auto"/>
            <w:vAlign w:val="center"/>
          </w:tcPr>
          <w:p w14:paraId="126F4B3D" w14:textId="0CF70376"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Se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puede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trabajar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medio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plazo</w:t>
            </w:r>
          </w:p>
        </w:tc>
        <w:tc>
          <w:tcPr>
            <w:tcW w:w="1701" w:type="dxa"/>
            <w:shd w:val="clear" w:color="auto" w:fill="auto"/>
            <w:vAlign w:val="center"/>
          </w:tcPr>
          <w:p w14:paraId="4840C294" w14:textId="6B1B09A5"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actuar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toda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sociedad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latinoamericana</w:t>
            </w:r>
          </w:p>
        </w:tc>
        <w:tc>
          <w:tcPr>
            <w:tcW w:w="1701" w:type="dxa"/>
            <w:shd w:val="clear" w:color="auto" w:fill="auto"/>
            <w:vAlign w:val="center"/>
          </w:tcPr>
          <w:p w14:paraId="70563BDC" w14:textId="3E954C7D"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atención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ayudara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modificar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opinión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publica</w:t>
            </w:r>
          </w:p>
        </w:tc>
        <w:tc>
          <w:tcPr>
            <w:tcW w:w="993" w:type="dxa"/>
            <w:vAlign w:val="center"/>
          </w:tcPr>
          <w:p w14:paraId="37435A89" w14:textId="77777777" w:rsidR="00281D2B" w:rsidRPr="00545ACF" w:rsidRDefault="00281D2B" w:rsidP="00281D2B">
            <w:pPr>
              <w:spacing w:after="0"/>
              <w:jc w:val="center"/>
              <w:rPr>
                <w:rFonts w:ascii="Times New Roman" w:hAnsi="Times New Roman" w:cs="Times New Roman"/>
                <w:b/>
                <w:sz w:val="20"/>
                <w:szCs w:val="20"/>
                <w:lang w:val="es-ES"/>
              </w:rPr>
            </w:pPr>
          </w:p>
        </w:tc>
        <w:tc>
          <w:tcPr>
            <w:tcW w:w="1702" w:type="dxa"/>
            <w:vAlign w:val="center"/>
          </w:tcPr>
          <w:p w14:paraId="7A985A08" w14:textId="6846A94F"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No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observan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dificultades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implementación</w:t>
            </w:r>
          </w:p>
        </w:tc>
        <w:tc>
          <w:tcPr>
            <w:tcW w:w="849" w:type="dxa"/>
            <w:vAlign w:val="center"/>
          </w:tcPr>
          <w:p w14:paraId="58A3FDC7" w14:textId="77777777" w:rsidR="00281D2B" w:rsidRPr="00545ACF" w:rsidRDefault="00281D2B" w:rsidP="00281D2B">
            <w:pPr>
              <w:spacing w:after="0"/>
              <w:jc w:val="center"/>
              <w:rPr>
                <w:rFonts w:ascii="Times New Roman" w:hAnsi="Times New Roman" w:cs="Times New Roman"/>
                <w:b/>
                <w:sz w:val="20"/>
                <w:szCs w:val="20"/>
                <w:lang w:val="es-ES"/>
              </w:rPr>
            </w:pPr>
          </w:p>
        </w:tc>
        <w:tc>
          <w:tcPr>
            <w:tcW w:w="849" w:type="dxa"/>
            <w:shd w:val="clear" w:color="auto" w:fill="auto"/>
            <w:vAlign w:val="center"/>
          </w:tcPr>
          <w:p w14:paraId="6B9A4367" w14:textId="11F755D1" w:rsidR="00281D2B" w:rsidRPr="00545ACF" w:rsidRDefault="00281D2B" w:rsidP="00281D2B">
            <w:pPr>
              <w:spacing w:after="0"/>
              <w:jc w:val="center"/>
              <w:rPr>
                <w:rFonts w:ascii="Times New Roman" w:hAnsi="Times New Roman" w:cs="Times New Roman"/>
                <w:b/>
                <w:sz w:val="20"/>
                <w:szCs w:val="20"/>
                <w:lang w:val="es-ES"/>
              </w:rPr>
            </w:pPr>
          </w:p>
        </w:tc>
      </w:tr>
      <w:tr w:rsidR="00281D2B" w:rsidRPr="00545ACF" w14:paraId="59F3A495" w14:textId="77777777" w:rsidTr="00FE4F5F">
        <w:trPr>
          <w:jc w:val="center"/>
        </w:trPr>
        <w:tc>
          <w:tcPr>
            <w:tcW w:w="425" w:type="dxa"/>
            <w:vMerge w:val="restart"/>
            <w:shd w:val="clear" w:color="auto" w:fill="C2D69B" w:themeFill="accent3" w:themeFillTint="99"/>
            <w:vAlign w:val="center"/>
          </w:tcPr>
          <w:p w14:paraId="04F0E87B" w14:textId="45F3E1A6" w:rsidR="00281D2B" w:rsidRPr="00545ACF" w:rsidRDefault="00281D2B" w:rsidP="00281D2B">
            <w:pPr>
              <w:spacing w:after="0"/>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5</w:t>
            </w:r>
          </w:p>
        </w:tc>
        <w:tc>
          <w:tcPr>
            <w:tcW w:w="2831" w:type="dxa"/>
            <w:vMerge w:val="restart"/>
            <w:shd w:val="clear" w:color="auto" w:fill="auto"/>
            <w:vAlign w:val="center"/>
          </w:tcPr>
          <w:p w14:paraId="70E46017" w14:textId="77777777" w:rsidR="00281D2B"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E2</w:t>
            </w:r>
          </w:p>
          <w:p w14:paraId="3F78F9FE" w14:textId="2B151396"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Consolidación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una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red</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para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el</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intercambio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información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y</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coordinación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estrategias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desde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operadores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reactores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investigación</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hasta</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el</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usuario</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final</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de</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los</w:t>
            </w:r>
            <w:r>
              <w:rPr>
                <w:rFonts w:ascii="Times New Roman" w:hAnsi="Times New Roman" w:cs="Times New Roman"/>
                <w:b/>
                <w:bCs/>
                <w:sz w:val="20"/>
                <w:szCs w:val="20"/>
                <w:lang w:val="es-ES"/>
              </w:rPr>
              <w:t xml:space="preserve"> </w:t>
            </w:r>
            <w:r w:rsidRPr="00545ACF">
              <w:rPr>
                <w:rFonts w:ascii="Times New Roman" w:hAnsi="Times New Roman" w:cs="Times New Roman"/>
                <w:b/>
                <w:bCs/>
                <w:sz w:val="20"/>
                <w:szCs w:val="20"/>
                <w:lang w:val="es-ES"/>
              </w:rPr>
              <w:t>radioisótopos.</w:t>
            </w:r>
          </w:p>
        </w:tc>
        <w:tc>
          <w:tcPr>
            <w:tcW w:w="1985" w:type="dxa"/>
            <w:shd w:val="clear" w:color="auto" w:fill="auto"/>
            <w:vAlign w:val="center"/>
          </w:tcPr>
          <w:p w14:paraId="1F1B6436"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3</w:t>
            </w:r>
          </w:p>
        </w:tc>
        <w:tc>
          <w:tcPr>
            <w:tcW w:w="1842" w:type="dxa"/>
            <w:shd w:val="clear" w:color="auto" w:fill="auto"/>
            <w:vAlign w:val="center"/>
          </w:tcPr>
          <w:p w14:paraId="78E02469"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2</w:t>
            </w:r>
          </w:p>
        </w:tc>
        <w:tc>
          <w:tcPr>
            <w:tcW w:w="1701" w:type="dxa"/>
            <w:shd w:val="clear" w:color="auto" w:fill="auto"/>
            <w:vAlign w:val="center"/>
          </w:tcPr>
          <w:p w14:paraId="49E1C435"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3</w:t>
            </w:r>
          </w:p>
        </w:tc>
        <w:tc>
          <w:tcPr>
            <w:tcW w:w="1701" w:type="dxa"/>
            <w:shd w:val="clear" w:color="auto" w:fill="auto"/>
            <w:vAlign w:val="center"/>
          </w:tcPr>
          <w:p w14:paraId="75310D07" w14:textId="77777777" w:rsidR="00281D2B" w:rsidRPr="00545ACF" w:rsidRDefault="00281D2B" w:rsidP="00281D2B">
            <w:pPr>
              <w:spacing w:after="0"/>
              <w:jc w:val="center"/>
              <w:rPr>
                <w:rFonts w:ascii="Times New Roman" w:hAnsi="Times New Roman" w:cs="Times New Roman"/>
                <w:b/>
                <w:bCs/>
                <w:sz w:val="20"/>
                <w:szCs w:val="20"/>
                <w:lang w:val="es-ES"/>
              </w:rPr>
            </w:pPr>
            <w:r w:rsidRPr="00545ACF">
              <w:rPr>
                <w:rFonts w:ascii="Times New Roman" w:hAnsi="Times New Roman" w:cs="Times New Roman"/>
                <w:b/>
                <w:bCs/>
                <w:sz w:val="20"/>
                <w:szCs w:val="20"/>
                <w:lang w:val="es-ES"/>
              </w:rPr>
              <w:t>3,75</w:t>
            </w:r>
          </w:p>
        </w:tc>
        <w:tc>
          <w:tcPr>
            <w:tcW w:w="993" w:type="dxa"/>
            <w:vAlign w:val="center"/>
          </w:tcPr>
          <w:p w14:paraId="75CDB555" w14:textId="77777777" w:rsidR="00281D2B" w:rsidRPr="00545ACF" w:rsidRDefault="00281D2B" w:rsidP="00281D2B">
            <w:pPr>
              <w:spacing w:after="0"/>
              <w:jc w:val="center"/>
              <w:rPr>
                <w:rFonts w:ascii="Times New Roman" w:hAnsi="Times New Roman" w:cs="Times New Roman"/>
                <w:b/>
                <w:sz w:val="20"/>
                <w:szCs w:val="20"/>
                <w:lang w:val="es-ES"/>
              </w:rPr>
            </w:pPr>
            <w:r w:rsidRPr="00545ACF">
              <w:rPr>
                <w:rFonts w:ascii="Times New Roman" w:hAnsi="Times New Roman" w:cs="Times New Roman"/>
                <w:b/>
                <w:sz w:val="20"/>
                <w:szCs w:val="20"/>
                <w:lang w:val="es-ES"/>
              </w:rPr>
              <w:t>11,75</w:t>
            </w:r>
          </w:p>
        </w:tc>
        <w:tc>
          <w:tcPr>
            <w:tcW w:w="1702" w:type="dxa"/>
            <w:vAlign w:val="center"/>
          </w:tcPr>
          <w:p w14:paraId="2DA73CDC" w14:textId="77777777" w:rsidR="00281D2B" w:rsidRPr="00545ACF" w:rsidRDefault="00281D2B" w:rsidP="00281D2B">
            <w:pPr>
              <w:spacing w:after="0"/>
              <w:jc w:val="center"/>
              <w:rPr>
                <w:rFonts w:ascii="Times New Roman" w:hAnsi="Times New Roman" w:cs="Times New Roman"/>
                <w:b/>
                <w:sz w:val="20"/>
                <w:szCs w:val="20"/>
                <w:lang w:val="es-ES"/>
              </w:rPr>
            </w:pPr>
            <w:r w:rsidRPr="00545ACF">
              <w:rPr>
                <w:rFonts w:ascii="Times New Roman" w:hAnsi="Times New Roman" w:cs="Times New Roman"/>
                <w:b/>
                <w:sz w:val="20"/>
                <w:szCs w:val="20"/>
                <w:lang w:val="es-ES"/>
              </w:rPr>
              <w:t>2</w:t>
            </w:r>
          </w:p>
        </w:tc>
        <w:tc>
          <w:tcPr>
            <w:tcW w:w="849" w:type="dxa"/>
            <w:vAlign w:val="center"/>
          </w:tcPr>
          <w:p w14:paraId="3F488CA2" w14:textId="08B0F68B" w:rsidR="00281D2B" w:rsidRPr="00545ACF" w:rsidRDefault="00281D2B" w:rsidP="00281D2B">
            <w:pPr>
              <w:spacing w:after="0"/>
              <w:jc w:val="center"/>
              <w:rPr>
                <w:rFonts w:ascii="Times New Roman" w:hAnsi="Times New Roman" w:cs="Times New Roman"/>
                <w:b/>
                <w:sz w:val="20"/>
                <w:szCs w:val="20"/>
                <w:lang w:val="es-ES"/>
              </w:rPr>
            </w:pPr>
            <w:r w:rsidRPr="00545ACF">
              <w:rPr>
                <w:rFonts w:ascii="Times New Roman" w:hAnsi="Times New Roman" w:cs="Times New Roman"/>
                <w:b/>
                <w:sz w:val="20"/>
                <w:szCs w:val="20"/>
                <w:lang w:val="es-ES"/>
              </w:rPr>
              <w:t>1,88</w:t>
            </w:r>
          </w:p>
        </w:tc>
        <w:tc>
          <w:tcPr>
            <w:tcW w:w="849" w:type="dxa"/>
            <w:shd w:val="clear" w:color="auto" w:fill="auto"/>
            <w:vAlign w:val="center"/>
          </w:tcPr>
          <w:p w14:paraId="03D693E0" w14:textId="264BA6BE" w:rsidR="00281D2B" w:rsidRPr="00545ACF" w:rsidRDefault="00281D2B" w:rsidP="00281D2B">
            <w:pPr>
              <w:spacing w:after="0"/>
              <w:jc w:val="center"/>
              <w:rPr>
                <w:rFonts w:ascii="Times New Roman" w:hAnsi="Times New Roman" w:cs="Times New Roman"/>
                <w:b/>
                <w:sz w:val="20"/>
                <w:szCs w:val="20"/>
                <w:lang w:val="es-ES"/>
              </w:rPr>
            </w:pPr>
            <w:r w:rsidRPr="00545ACF">
              <w:rPr>
                <w:rFonts w:ascii="Times New Roman" w:hAnsi="Times New Roman" w:cs="Times New Roman"/>
                <w:b/>
                <w:sz w:val="20"/>
                <w:szCs w:val="20"/>
                <w:lang w:val="es-ES"/>
              </w:rPr>
              <w:t>22,03</w:t>
            </w:r>
          </w:p>
        </w:tc>
      </w:tr>
      <w:tr w:rsidR="00281D2B" w:rsidRPr="00545ACF" w14:paraId="012D3ADC" w14:textId="77777777" w:rsidTr="00FE4F5F">
        <w:trPr>
          <w:jc w:val="center"/>
        </w:trPr>
        <w:tc>
          <w:tcPr>
            <w:tcW w:w="425" w:type="dxa"/>
            <w:vMerge/>
            <w:shd w:val="clear" w:color="auto" w:fill="C2D69B" w:themeFill="accent3" w:themeFillTint="99"/>
            <w:vAlign w:val="center"/>
          </w:tcPr>
          <w:p w14:paraId="72FDC869"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2831" w:type="dxa"/>
            <w:vMerge/>
            <w:shd w:val="clear" w:color="auto" w:fill="auto"/>
            <w:vAlign w:val="center"/>
          </w:tcPr>
          <w:p w14:paraId="0CFE4DA6" w14:textId="77777777" w:rsidR="00281D2B" w:rsidRPr="00545ACF" w:rsidRDefault="00281D2B" w:rsidP="00281D2B">
            <w:pPr>
              <w:spacing w:after="0"/>
              <w:jc w:val="center"/>
              <w:rPr>
                <w:rFonts w:ascii="Times New Roman" w:hAnsi="Times New Roman" w:cs="Times New Roman"/>
                <w:b/>
                <w:bCs/>
                <w:sz w:val="20"/>
                <w:szCs w:val="20"/>
                <w:lang w:val="es-ES"/>
              </w:rPr>
            </w:pPr>
          </w:p>
        </w:tc>
        <w:tc>
          <w:tcPr>
            <w:tcW w:w="1985" w:type="dxa"/>
            <w:shd w:val="clear" w:color="auto" w:fill="auto"/>
            <w:vAlign w:val="center"/>
          </w:tcPr>
          <w:p w14:paraId="6FB6B6E1" w14:textId="4FBDF86C"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creación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una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un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perfeccionamiento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situación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disminuye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subutilización.</w:t>
            </w:r>
          </w:p>
        </w:tc>
        <w:tc>
          <w:tcPr>
            <w:tcW w:w="1842" w:type="dxa"/>
            <w:shd w:val="clear" w:color="auto" w:fill="auto"/>
            <w:vAlign w:val="center"/>
          </w:tcPr>
          <w:p w14:paraId="4DA521A0" w14:textId="7ABAA9E0"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No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identifican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cambios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impliquen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necesidad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una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acción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corto.</w:t>
            </w:r>
          </w:p>
        </w:tc>
        <w:tc>
          <w:tcPr>
            <w:tcW w:w="1701" w:type="dxa"/>
            <w:shd w:val="clear" w:color="auto" w:fill="auto"/>
            <w:vAlign w:val="center"/>
          </w:tcPr>
          <w:p w14:paraId="71272006" w14:textId="42BD86EA"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Sería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positivo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región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lograr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una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mejor</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integración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entre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países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disponen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R.I.</w:t>
            </w:r>
          </w:p>
        </w:tc>
        <w:tc>
          <w:tcPr>
            <w:tcW w:w="1701" w:type="dxa"/>
            <w:shd w:val="clear" w:color="auto" w:fill="auto"/>
            <w:vAlign w:val="center"/>
          </w:tcPr>
          <w:p w14:paraId="1950D32D" w14:textId="17E0B963"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importante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se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explore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toda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potencialidad</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los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R.I.</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disponibles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región.</w:t>
            </w:r>
          </w:p>
        </w:tc>
        <w:tc>
          <w:tcPr>
            <w:tcW w:w="993" w:type="dxa"/>
            <w:vAlign w:val="center"/>
          </w:tcPr>
          <w:p w14:paraId="4CC22ABB" w14:textId="77777777" w:rsidR="00281D2B" w:rsidRPr="00545ACF" w:rsidRDefault="00281D2B" w:rsidP="00281D2B">
            <w:pPr>
              <w:spacing w:after="0"/>
              <w:jc w:val="center"/>
              <w:rPr>
                <w:rFonts w:ascii="Times New Roman" w:hAnsi="Times New Roman" w:cs="Times New Roman"/>
                <w:b/>
                <w:sz w:val="20"/>
                <w:szCs w:val="20"/>
                <w:lang w:val="es-ES"/>
              </w:rPr>
            </w:pPr>
          </w:p>
        </w:tc>
        <w:tc>
          <w:tcPr>
            <w:tcW w:w="1702" w:type="dxa"/>
            <w:vAlign w:val="center"/>
          </w:tcPr>
          <w:p w14:paraId="6784702E" w14:textId="060E1ACA" w:rsidR="00281D2B" w:rsidRPr="00545ACF" w:rsidRDefault="00281D2B" w:rsidP="00281D2B">
            <w:pPr>
              <w:spacing w:after="0"/>
              <w:jc w:val="center"/>
              <w:rPr>
                <w:rFonts w:ascii="Times New Roman" w:hAnsi="Times New Roman" w:cs="Times New Roman"/>
                <w:sz w:val="20"/>
                <w:szCs w:val="20"/>
                <w:lang w:val="es-ES"/>
              </w:rPr>
            </w:pPr>
            <w:r w:rsidRPr="00545ACF">
              <w:rPr>
                <w:rFonts w:ascii="Times New Roman" w:hAnsi="Times New Roman" w:cs="Times New Roman"/>
                <w:sz w:val="20"/>
                <w:szCs w:val="20"/>
                <w:lang w:val="es-ES"/>
              </w:rPr>
              <w:t>Se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requiere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un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impulso</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para</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las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instituciones</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que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posean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R.I.</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cooperen</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entre</w:t>
            </w:r>
            <w:r>
              <w:rPr>
                <w:rFonts w:ascii="Times New Roman" w:hAnsi="Times New Roman" w:cs="Times New Roman"/>
                <w:sz w:val="20"/>
                <w:szCs w:val="20"/>
                <w:lang w:val="es-ES"/>
              </w:rPr>
              <w:t xml:space="preserve"> </w:t>
            </w:r>
            <w:r w:rsidRPr="00545ACF">
              <w:rPr>
                <w:rFonts w:ascii="Times New Roman" w:hAnsi="Times New Roman" w:cs="Times New Roman"/>
                <w:sz w:val="20"/>
                <w:szCs w:val="20"/>
                <w:lang w:val="es-ES"/>
              </w:rPr>
              <w:t>ellas.</w:t>
            </w:r>
          </w:p>
        </w:tc>
        <w:tc>
          <w:tcPr>
            <w:tcW w:w="849" w:type="dxa"/>
            <w:vAlign w:val="center"/>
          </w:tcPr>
          <w:p w14:paraId="2C3D54EA" w14:textId="77777777" w:rsidR="00281D2B" w:rsidRPr="00545ACF" w:rsidRDefault="00281D2B" w:rsidP="00281D2B">
            <w:pPr>
              <w:spacing w:after="0"/>
              <w:jc w:val="center"/>
              <w:rPr>
                <w:rFonts w:ascii="Times New Roman" w:hAnsi="Times New Roman" w:cs="Times New Roman"/>
                <w:b/>
                <w:sz w:val="20"/>
                <w:szCs w:val="20"/>
                <w:lang w:val="es-ES"/>
              </w:rPr>
            </w:pPr>
          </w:p>
        </w:tc>
        <w:tc>
          <w:tcPr>
            <w:tcW w:w="849" w:type="dxa"/>
            <w:shd w:val="clear" w:color="auto" w:fill="auto"/>
            <w:vAlign w:val="center"/>
          </w:tcPr>
          <w:p w14:paraId="5ED08939" w14:textId="5D47F2E0" w:rsidR="00281D2B" w:rsidRPr="00545ACF" w:rsidRDefault="00281D2B" w:rsidP="00281D2B">
            <w:pPr>
              <w:spacing w:after="0"/>
              <w:jc w:val="center"/>
              <w:rPr>
                <w:rFonts w:ascii="Times New Roman" w:hAnsi="Times New Roman" w:cs="Times New Roman"/>
                <w:b/>
                <w:sz w:val="20"/>
                <w:szCs w:val="20"/>
                <w:lang w:val="es-ES"/>
              </w:rPr>
            </w:pPr>
          </w:p>
        </w:tc>
      </w:tr>
    </w:tbl>
    <w:p w14:paraId="14DE8C1E" w14:textId="77777777" w:rsidR="00234DFC" w:rsidRPr="005E489C" w:rsidRDefault="00234DFC" w:rsidP="00234DFC"/>
    <w:p w14:paraId="49883C3D" w14:textId="6C1EB5B8" w:rsidR="005E489C" w:rsidRDefault="005E489C" w:rsidP="00D136BB">
      <w:pPr>
        <w:jc w:val="center"/>
        <w:rPr>
          <w:lang w:val="es-ES"/>
        </w:rPr>
      </w:pPr>
      <w:r>
        <w:rPr>
          <w:noProof/>
          <w:lang w:val="pt-BR" w:eastAsia="pt-BR"/>
        </w:rPr>
        <w:lastRenderedPageBreak/>
        <w:drawing>
          <wp:inline distT="0" distB="0" distL="0" distR="0" wp14:anchorId="45B7C136" wp14:editId="3C8F839D">
            <wp:extent cx="4990596" cy="34194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5354" cy="3443291"/>
                    </a:xfrm>
                    <a:prstGeom prst="rect">
                      <a:avLst/>
                    </a:prstGeom>
                    <a:noFill/>
                  </pic:spPr>
                </pic:pic>
              </a:graphicData>
            </a:graphic>
          </wp:inline>
        </w:drawing>
      </w:r>
    </w:p>
    <w:p w14:paraId="3BA01802" w14:textId="77777777" w:rsidR="00D136BB" w:rsidRDefault="00D136BB" w:rsidP="00234DFC">
      <w:pPr>
        <w:rPr>
          <w:lang w:val="es-ES"/>
        </w:rPr>
      </w:pPr>
    </w:p>
    <w:p w14:paraId="68B8EF55" w14:textId="77777777" w:rsidR="00917F73" w:rsidRDefault="00917F73" w:rsidP="00234DFC">
      <w:pPr>
        <w:rPr>
          <w:lang w:val="es-ES"/>
        </w:rPr>
        <w:sectPr w:rsidR="00917F73" w:rsidSect="00132971">
          <w:headerReference w:type="default" r:id="rId22"/>
          <w:footerReference w:type="first" r:id="rId23"/>
          <w:pgSz w:w="15840" w:h="12240" w:orient="landscape"/>
          <w:pgMar w:top="1077" w:right="1440" w:bottom="1077" w:left="1440" w:header="709" w:footer="709" w:gutter="0"/>
          <w:cols w:space="720"/>
          <w:titlePg/>
          <w:docGrid w:linePitch="360"/>
        </w:sectPr>
      </w:pPr>
    </w:p>
    <w:p w14:paraId="38B221C8" w14:textId="77777777" w:rsidR="00234DFC" w:rsidRDefault="00234DFC" w:rsidP="00234DFC">
      <w:pPr>
        <w:pStyle w:val="Title"/>
        <w:jc w:val="left"/>
        <w:rPr>
          <w:lang w:val="es-ES"/>
        </w:rPr>
      </w:pPr>
    </w:p>
    <w:p w14:paraId="30504D74" w14:textId="16780152" w:rsidR="003719F8" w:rsidRPr="00C36E86" w:rsidRDefault="00D136BB" w:rsidP="00307054">
      <w:pPr>
        <w:pStyle w:val="Title"/>
        <w:jc w:val="left"/>
        <w:rPr>
          <w:lang w:val="es-ES"/>
        </w:rPr>
        <w:sectPr w:rsidR="003719F8" w:rsidRPr="00C36E86" w:rsidSect="00132971">
          <w:pgSz w:w="12240" w:h="15840"/>
          <w:pgMar w:top="1440" w:right="1077" w:bottom="1440" w:left="1077" w:header="709" w:footer="709" w:gutter="0"/>
          <w:cols w:space="720"/>
          <w:titlePg/>
          <w:docGrid w:linePitch="360"/>
        </w:sectPr>
      </w:pPr>
      <w:r>
        <w:rPr>
          <w:lang w:val="es-ES"/>
        </w:rPr>
        <w:t xml:space="preserve">          </w:t>
      </w:r>
      <w:r w:rsidR="003719F8" w:rsidRPr="00C36E86">
        <w:rPr>
          <w:lang w:val="es-ES"/>
        </w:rPr>
        <w:t>SEGURIDAD</w:t>
      </w:r>
      <w:r>
        <w:rPr>
          <w:lang w:val="es-ES"/>
        </w:rPr>
        <w:t xml:space="preserve"> </w:t>
      </w:r>
      <w:r w:rsidR="003719F8" w:rsidRPr="00C36E86">
        <w:rPr>
          <w:lang w:val="es-ES"/>
        </w:rPr>
        <w:t>RADIOLÓGICA</w:t>
      </w:r>
    </w:p>
    <w:p w14:paraId="0F2DEF29" w14:textId="2AC65545" w:rsidR="000D0F37" w:rsidRPr="000D0F37" w:rsidRDefault="000D0F37" w:rsidP="000D0F37">
      <w:pPr>
        <w:pStyle w:val="BodyText"/>
        <w:spacing w:line="276" w:lineRule="auto"/>
        <w:rPr>
          <w:b/>
          <w:bCs/>
          <w:szCs w:val="24"/>
          <w:lang w:val="es-MX"/>
        </w:rPr>
      </w:pPr>
      <w:r w:rsidRPr="00031A5F">
        <w:rPr>
          <w:b/>
          <w:bCs/>
          <w:szCs w:val="24"/>
          <w:lang w:val="es-MX"/>
        </w:rPr>
        <w:lastRenderedPageBreak/>
        <w:t>I.</w:t>
      </w:r>
      <w:r w:rsidR="00D136BB">
        <w:rPr>
          <w:b/>
          <w:bCs/>
          <w:szCs w:val="24"/>
          <w:lang w:val="es-MX"/>
        </w:rPr>
        <w:t xml:space="preserve"> </w:t>
      </w:r>
      <w:r w:rsidRPr="00031A5F">
        <w:rPr>
          <w:b/>
          <w:bCs/>
          <w:szCs w:val="24"/>
          <w:lang w:val="es-MX"/>
        </w:rPr>
        <w:t>Análisis</w:t>
      </w:r>
      <w:r w:rsidR="00D136BB">
        <w:rPr>
          <w:b/>
          <w:bCs/>
          <w:szCs w:val="24"/>
          <w:lang w:val="es-MX"/>
        </w:rPr>
        <w:t xml:space="preserve"> </w:t>
      </w:r>
      <w:r>
        <w:rPr>
          <w:b/>
          <w:bCs/>
          <w:szCs w:val="24"/>
          <w:lang w:val="es-MX"/>
        </w:rPr>
        <w:t>G</w:t>
      </w:r>
      <w:r w:rsidRPr="00031A5F">
        <w:rPr>
          <w:b/>
          <w:bCs/>
          <w:szCs w:val="24"/>
          <w:lang w:val="es-MX"/>
        </w:rPr>
        <w:t>eneral</w:t>
      </w:r>
      <w:r w:rsidR="00D136BB">
        <w:rPr>
          <w:b/>
          <w:bCs/>
          <w:szCs w:val="24"/>
          <w:lang w:val="es-MX"/>
        </w:rPr>
        <w:t xml:space="preserve"> </w:t>
      </w:r>
      <w:r w:rsidRPr="00031A5F">
        <w:rPr>
          <w:b/>
          <w:bCs/>
          <w:szCs w:val="24"/>
          <w:lang w:val="es-MX"/>
        </w:rPr>
        <w:t>de</w:t>
      </w:r>
      <w:r w:rsidR="00D136BB">
        <w:rPr>
          <w:b/>
          <w:bCs/>
          <w:szCs w:val="24"/>
          <w:lang w:val="es-MX"/>
        </w:rPr>
        <w:t xml:space="preserve"> </w:t>
      </w:r>
      <w:r w:rsidRPr="00031A5F">
        <w:rPr>
          <w:b/>
          <w:bCs/>
          <w:szCs w:val="24"/>
          <w:lang w:val="es-MX"/>
        </w:rPr>
        <w:t>la</w:t>
      </w:r>
      <w:r w:rsidR="00D136BB">
        <w:rPr>
          <w:b/>
          <w:bCs/>
          <w:szCs w:val="24"/>
          <w:lang w:val="es-MX"/>
        </w:rPr>
        <w:t xml:space="preserve"> </w:t>
      </w:r>
      <w:r>
        <w:rPr>
          <w:b/>
          <w:bCs/>
          <w:szCs w:val="24"/>
          <w:lang w:val="es-MX"/>
        </w:rPr>
        <w:t>S</w:t>
      </w:r>
      <w:r w:rsidRPr="00031A5F">
        <w:rPr>
          <w:b/>
          <w:bCs/>
          <w:szCs w:val="24"/>
          <w:lang w:val="es-MX"/>
        </w:rPr>
        <w:t>ituación</w:t>
      </w:r>
      <w:r w:rsidR="00D136BB">
        <w:rPr>
          <w:b/>
          <w:bCs/>
          <w:szCs w:val="24"/>
          <w:lang w:val="es-MX"/>
        </w:rPr>
        <w:t xml:space="preserve"> </w:t>
      </w:r>
      <w:r>
        <w:rPr>
          <w:b/>
          <w:bCs/>
          <w:szCs w:val="24"/>
          <w:lang w:val="es-MX"/>
        </w:rPr>
        <w:t>R</w:t>
      </w:r>
      <w:r w:rsidRPr="00031A5F">
        <w:rPr>
          <w:b/>
          <w:bCs/>
          <w:szCs w:val="24"/>
          <w:lang w:val="es-MX"/>
        </w:rPr>
        <w:t>egional.</w:t>
      </w:r>
    </w:p>
    <w:p w14:paraId="19DE7500" w14:textId="6287FE50" w:rsidR="005D0292" w:rsidRPr="00AE1E0D" w:rsidRDefault="005D0292" w:rsidP="005D0292">
      <w:pPr>
        <w:pStyle w:val="BodyText"/>
        <w:rPr>
          <w:szCs w:val="24"/>
          <w:lang w:val="es-ES"/>
        </w:rPr>
      </w:pPr>
      <w:r w:rsidRPr="00AE1E0D">
        <w:rPr>
          <w:szCs w:val="24"/>
          <w:lang w:val="es-ES"/>
        </w:rPr>
        <w:t>La</w:t>
      </w:r>
      <w:r w:rsidR="00D136BB">
        <w:rPr>
          <w:szCs w:val="24"/>
          <w:lang w:val="es-ES"/>
        </w:rPr>
        <w:t xml:space="preserve"> </w:t>
      </w:r>
      <w:r w:rsidRPr="00AE1E0D">
        <w:rPr>
          <w:szCs w:val="24"/>
          <w:lang w:val="es-ES"/>
        </w:rPr>
        <w:t>aceptación</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sociedad</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riesgos</w:t>
      </w:r>
      <w:r w:rsidR="00D136BB">
        <w:rPr>
          <w:szCs w:val="24"/>
          <w:lang w:val="es-ES"/>
        </w:rPr>
        <w:t xml:space="preserve"> </w:t>
      </w:r>
      <w:r w:rsidRPr="00AE1E0D">
        <w:rPr>
          <w:szCs w:val="24"/>
          <w:lang w:val="es-ES"/>
        </w:rPr>
        <w:t>derivados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radiación</w:t>
      </w:r>
      <w:r w:rsidR="00D136BB">
        <w:rPr>
          <w:szCs w:val="24"/>
          <w:lang w:val="es-ES"/>
        </w:rPr>
        <w:t xml:space="preserve"> </w:t>
      </w:r>
      <w:r w:rsidRPr="00AE1E0D">
        <w:rPr>
          <w:szCs w:val="24"/>
          <w:lang w:val="es-ES"/>
        </w:rPr>
        <w:t>se</w:t>
      </w:r>
      <w:r w:rsidR="00D136BB">
        <w:rPr>
          <w:szCs w:val="24"/>
          <w:lang w:val="es-ES"/>
        </w:rPr>
        <w:t xml:space="preserve"> </w:t>
      </w:r>
      <w:r w:rsidRPr="00AE1E0D">
        <w:rPr>
          <w:szCs w:val="24"/>
          <w:lang w:val="es-ES"/>
        </w:rPr>
        <w:t>condiciona</w:t>
      </w:r>
      <w:r w:rsidR="00D136BB">
        <w:rPr>
          <w:szCs w:val="24"/>
          <w:lang w:val="es-ES"/>
        </w:rPr>
        <w:t xml:space="preserve"> </w:t>
      </w:r>
      <w:r w:rsidRPr="00AE1E0D">
        <w:rPr>
          <w:szCs w:val="24"/>
          <w:lang w:val="es-ES"/>
        </w:rPr>
        <w:t>al</w:t>
      </w:r>
      <w:r w:rsidR="00D136BB">
        <w:rPr>
          <w:szCs w:val="24"/>
          <w:lang w:val="es-ES"/>
        </w:rPr>
        <w:t xml:space="preserve"> </w:t>
      </w:r>
      <w:r w:rsidRPr="00AE1E0D">
        <w:rPr>
          <w:szCs w:val="24"/>
          <w:lang w:val="es-ES"/>
        </w:rPr>
        <w:t>beneficio</w:t>
      </w:r>
      <w:r w:rsidR="00D136BB">
        <w:rPr>
          <w:szCs w:val="24"/>
          <w:lang w:val="es-ES"/>
        </w:rPr>
        <w:t xml:space="preserve"> </w:t>
      </w:r>
      <w:r w:rsidRPr="00AE1E0D">
        <w:rPr>
          <w:szCs w:val="24"/>
          <w:lang w:val="es-ES"/>
        </w:rPr>
        <w:t>neto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sus</w:t>
      </w:r>
      <w:r w:rsidR="00D136BB">
        <w:rPr>
          <w:szCs w:val="24"/>
          <w:lang w:val="es-ES"/>
        </w:rPr>
        <w:t xml:space="preserve"> </w:t>
      </w:r>
      <w:r w:rsidRPr="00AE1E0D">
        <w:rPr>
          <w:szCs w:val="24"/>
          <w:lang w:val="es-ES"/>
        </w:rPr>
        <w:t>múltiples</w:t>
      </w:r>
      <w:r w:rsidR="00D136BB">
        <w:rPr>
          <w:szCs w:val="24"/>
          <w:lang w:val="es-ES"/>
        </w:rPr>
        <w:t xml:space="preserve"> </w:t>
      </w:r>
      <w:r w:rsidRPr="00AE1E0D">
        <w:rPr>
          <w:szCs w:val="24"/>
          <w:lang w:val="es-ES"/>
        </w:rPr>
        <w:t>aplicaciones.</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radiológica</w:t>
      </w:r>
      <w:r w:rsidR="00D136BB">
        <w:rPr>
          <w:szCs w:val="24"/>
          <w:lang w:val="es-ES"/>
        </w:rPr>
        <w:t xml:space="preserve"> </w:t>
      </w:r>
      <w:r w:rsidRPr="00AE1E0D">
        <w:rPr>
          <w:szCs w:val="24"/>
          <w:lang w:val="es-ES"/>
        </w:rPr>
        <w:t>pretende</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protección</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trabajadores,</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público,</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pacientes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medio</w:t>
      </w:r>
      <w:r w:rsidR="00D136BB">
        <w:rPr>
          <w:szCs w:val="24"/>
          <w:lang w:val="es-ES"/>
        </w:rPr>
        <w:t xml:space="preserve"> </w:t>
      </w:r>
      <w:r w:rsidRPr="00AE1E0D">
        <w:rPr>
          <w:szCs w:val="24"/>
          <w:lang w:val="es-ES"/>
        </w:rPr>
        <w:t>ambiente</w:t>
      </w:r>
      <w:r w:rsidR="00D136BB">
        <w:rPr>
          <w:szCs w:val="24"/>
          <w:lang w:val="es-ES"/>
        </w:rPr>
        <w:t xml:space="preserve"> </w:t>
      </w:r>
      <w:r w:rsidRPr="00AE1E0D">
        <w:rPr>
          <w:szCs w:val="24"/>
          <w:lang w:val="es-ES"/>
        </w:rPr>
        <w:t>contra</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efectos</w:t>
      </w:r>
      <w:r w:rsidR="00D136BB">
        <w:rPr>
          <w:szCs w:val="24"/>
          <w:lang w:val="es-ES"/>
        </w:rPr>
        <w:t xml:space="preserve"> </w:t>
      </w:r>
      <w:r w:rsidRPr="00AE1E0D">
        <w:rPr>
          <w:szCs w:val="24"/>
          <w:lang w:val="es-ES"/>
        </w:rPr>
        <w:t>dañinos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las</w:t>
      </w:r>
      <w:r w:rsidR="00D136BB">
        <w:rPr>
          <w:szCs w:val="24"/>
          <w:lang w:val="es-ES"/>
        </w:rPr>
        <w:t xml:space="preserve"> </w:t>
      </w:r>
      <w:r w:rsidRPr="00AE1E0D">
        <w:rPr>
          <w:szCs w:val="24"/>
          <w:lang w:val="es-ES"/>
        </w:rPr>
        <w:t>radiaciones</w:t>
      </w:r>
      <w:r w:rsidR="00D136BB">
        <w:rPr>
          <w:szCs w:val="24"/>
          <w:lang w:val="es-ES"/>
        </w:rPr>
        <w:t xml:space="preserve"> </w:t>
      </w:r>
      <w:r w:rsidRPr="00AE1E0D">
        <w:rPr>
          <w:szCs w:val="24"/>
          <w:lang w:val="es-ES"/>
        </w:rPr>
        <w:t>ionizantes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con</w:t>
      </w:r>
      <w:r w:rsidR="00D136BB">
        <w:rPr>
          <w:szCs w:val="24"/>
          <w:lang w:val="es-ES"/>
        </w:rPr>
        <w:t xml:space="preserve"> </w:t>
      </w:r>
      <w:r w:rsidRPr="00AE1E0D">
        <w:rPr>
          <w:szCs w:val="24"/>
          <w:lang w:val="es-ES"/>
        </w:rPr>
        <w:t>ello</w:t>
      </w:r>
      <w:r w:rsidR="00D136BB">
        <w:rPr>
          <w:szCs w:val="24"/>
          <w:lang w:val="es-ES"/>
        </w:rPr>
        <w:t xml:space="preserve"> </w:t>
      </w:r>
      <w:r w:rsidRPr="00AE1E0D">
        <w:rPr>
          <w:szCs w:val="24"/>
          <w:lang w:val="es-ES"/>
        </w:rPr>
        <w:t>asegurar</w:t>
      </w:r>
      <w:r w:rsidR="00D136BB">
        <w:rPr>
          <w:szCs w:val="24"/>
          <w:lang w:val="es-ES"/>
        </w:rPr>
        <w:t xml:space="preserve"> </w:t>
      </w:r>
      <w:r w:rsidRPr="00AE1E0D">
        <w:rPr>
          <w:szCs w:val="24"/>
          <w:lang w:val="es-ES"/>
        </w:rPr>
        <w:t>una</w:t>
      </w:r>
      <w:r w:rsidR="00D136BB">
        <w:rPr>
          <w:szCs w:val="24"/>
          <w:lang w:val="es-ES"/>
        </w:rPr>
        <w:t xml:space="preserve"> </w:t>
      </w:r>
      <w:r w:rsidRPr="00AE1E0D">
        <w:rPr>
          <w:szCs w:val="24"/>
          <w:lang w:val="es-ES"/>
        </w:rPr>
        <w:t>adecuada</w:t>
      </w:r>
      <w:r w:rsidR="00D136BB">
        <w:rPr>
          <w:szCs w:val="24"/>
          <w:lang w:val="es-ES"/>
        </w:rPr>
        <w:t xml:space="preserve"> </w:t>
      </w:r>
      <w:r w:rsidRPr="00AE1E0D">
        <w:rPr>
          <w:szCs w:val="24"/>
          <w:lang w:val="es-ES"/>
        </w:rPr>
        <w:t>protección</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las</w:t>
      </w:r>
      <w:r w:rsidR="00D136BB">
        <w:rPr>
          <w:szCs w:val="24"/>
          <w:lang w:val="es-ES"/>
        </w:rPr>
        <w:t xml:space="preserve"> </w:t>
      </w:r>
      <w:r w:rsidRPr="00AE1E0D">
        <w:rPr>
          <w:szCs w:val="24"/>
          <w:lang w:val="es-ES"/>
        </w:rPr>
        <w:t>generaciones</w:t>
      </w:r>
      <w:r w:rsidR="00D136BB">
        <w:rPr>
          <w:szCs w:val="24"/>
          <w:lang w:val="es-ES"/>
        </w:rPr>
        <w:t xml:space="preserve"> </w:t>
      </w:r>
      <w:r w:rsidRPr="00AE1E0D">
        <w:rPr>
          <w:szCs w:val="24"/>
          <w:lang w:val="es-ES"/>
        </w:rPr>
        <w:t>presentes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futuras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toda</w:t>
      </w:r>
      <w:r w:rsidR="00D136BB">
        <w:rPr>
          <w:szCs w:val="24"/>
          <w:lang w:val="es-ES"/>
        </w:rPr>
        <w:t xml:space="preserve"> </w:t>
      </w:r>
      <w:r w:rsidRPr="00AE1E0D">
        <w:rPr>
          <w:szCs w:val="24"/>
          <w:lang w:val="es-ES"/>
        </w:rPr>
        <w:t>actividad</w:t>
      </w:r>
      <w:r w:rsidR="00D136BB">
        <w:rPr>
          <w:szCs w:val="24"/>
          <w:lang w:val="es-ES"/>
        </w:rPr>
        <w:t xml:space="preserve"> </w:t>
      </w:r>
      <w:r w:rsidRPr="00AE1E0D">
        <w:rPr>
          <w:szCs w:val="24"/>
          <w:lang w:val="es-ES"/>
        </w:rPr>
        <w:t>que</w:t>
      </w:r>
      <w:r w:rsidR="00D136BB">
        <w:rPr>
          <w:szCs w:val="24"/>
          <w:lang w:val="es-ES"/>
        </w:rPr>
        <w:t xml:space="preserve"> </w:t>
      </w:r>
      <w:r w:rsidRPr="00AE1E0D">
        <w:rPr>
          <w:szCs w:val="24"/>
          <w:lang w:val="es-ES"/>
        </w:rPr>
        <w:t>implique</w:t>
      </w:r>
      <w:r w:rsidR="00D136BB">
        <w:rPr>
          <w:szCs w:val="24"/>
          <w:lang w:val="es-ES"/>
        </w:rPr>
        <w:t xml:space="preserve"> </w:t>
      </w:r>
      <w:r w:rsidRPr="00AE1E0D">
        <w:rPr>
          <w:szCs w:val="24"/>
          <w:lang w:val="es-ES"/>
        </w:rPr>
        <w:t>exposición</w:t>
      </w:r>
      <w:r w:rsidR="00D136BB">
        <w:rPr>
          <w:szCs w:val="24"/>
          <w:lang w:val="es-ES"/>
        </w:rPr>
        <w:t xml:space="preserve"> </w:t>
      </w:r>
      <w:r w:rsidRPr="00AE1E0D">
        <w:rPr>
          <w:szCs w:val="24"/>
          <w:lang w:val="es-ES"/>
        </w:rPr>
        <w:t>a</w:t>
      </w:r>
      <w:r w:rsidR="00D136BB">
        <w:rPr>
          <w:szCs w:val="24"/>
          <w:lang w:val="es-ES"/>
        </w:rPr>
        <w:t xml:space="preserve"> </w:t>
      </w:r>
      <w:r w:rsidR="00FC07E5">
        <w:rPr>
          <w:szCs w:val="24"/>
          <w:lang w:val="es-ES"/>
        </w:rPr>
        <w:t>dichas</w:t>
      </w:r>
      <w:r w:rsidR="00D136BB">
        <w:rPr>
          <w:szCs w:val="24"/>
          <w:lang w:val="es-ES"/>
        </w:rPr>
        <w:t xml:space="preserve"> </w:t>
      </w:r>
      <w:r w:rsidR="00FC07E5">
        <w:rPr>
          <w:szCs w:val="24"/>
          <w:lang w:val="es-ES"/>
        </w:rPr>
        <w:t>exposiciones</w:t>
      </w:r>
      <w:r w:rsidRPr="00AE1E0D">
        <w:rPr>
          <w:szCs w:val="24"/>
          <w:lang w:val="es-ES"/>
        </w:rPr>
        <w:t>.</w:t>
      </w:r>
    </w:p>
    <w:p w14:paraId="063B41D1" w14:textId="000565EE" w:rsidR="005D0292" w:rsidRPr="00AE1E0D" w:rsidRDefault="005D0292" w:rsidP="005D0292">
      <w:pPr>
        <w:pStyle w:val="BodyText"/>
        <w:rPr>
          <w:szCs w:val="24"/>
          <w:lang w:val="es-ES"/>
        </w:rPr>
      </w:pPr>
      <w:r w:rsidRPr="00AE1E0D">
        <w:rPr>
          <w:szCs w:val="24"/>
          <w:lang w:val="es-ES"/>
        </w:rPr>
        <w:t>El</w:t>
      </w:r>
      <w:r w:rsidR="00D136BB">
        <w:rPr>
          <w:szCs w:val="24"/>
          <w:lang w:val="es-ES"/>
        </w:rPr>
        <w:t xml:space="preserve"> </w:t>
      </w:r>
      <w:r w:rsidRPr="00AE1E0D">
        <w:rPr>
          <w:szCs w:val="24"/>
          <w:lang w:val="es-ES"/>
        </w:rPr>
        <w:t>OIEA</w:t>
      </w:r>
      <w:r w:rsidR="00D136BB">
        <w:rPr>
          <w:szCs w:val="24"/>
          <w:lang w:val="es-ES"/>
        </w:rPr>
        <w:t xml:space="preserve"> </w:t>
      </w:r>
      <w:r w:rsidRPr="00AE1E0D">
        <w:rPr>
          <w:szCs w:val="24"/>
          <w:lang w:val="es-ES"/>
        </w:rPr>
        <w:t>con</w:t>
      </w:r>
      <w:r w:rsidR="00D136BB">
        <w:rPr>
          <w:szCs w:val="24"/>
          <w:lang w:val="es-ES"/>
        </w:rPr>
        <w:t xml:space="preserve"> </w:t>
      </w:r>
      <w:r w:rsidRPr="00AE1E0D">
        <w:rPr>
          <w:szCs w:val="24"/>
          <w:lang w:val="es-ES"/>
        </w:rPr>
        <w:t>arreglo</w:t>
      </w:r>
      <w:r w:rsidR="00D136BB">
        <w:rPr>
          <w:szCs w:val="24"/>
          <w:lang w:val="es-ES"/>
        </w:rPr>
        <w:t xml:space="preserve"> </w:t>
      </w:r>
      <w:r w:rsidRPr="00AE1E0D">
        <w:rPr>
          <w:szCs w:val="24"/>
          <w:lang w:val="es-ES"/>
        </w:rPr>
        <w:t>al</w:t>
      </w:r>
      <w:r w:rsidR="00D136BB">
        <w:rPr>
          <w:szCs w:val="24"/>
          <w:lang w:val="es-ES"/>
        </w:rPr>
        <w:t xml:space="preserve"> </w:t>
      </w:r>
      <w:r w:rsidRPr="00AE1E0D">
        <w:rPr>
          <w:szCs w:val="24"/>
          <w:lang w:val="es-ES"/>
        </w:rPr>
        <w:t>artículo</w:t>
      </w:r>
      <w:r w:rsidR="00D136BB">
        <w:rPr>
          <w:szCs w:val="24"/>
          <w:lang w:val="es-ES"/>
        </w:rPr>
        <w:t xml:space="preserve"> </w:t>
      </w:r>
      <w:r w:rsidRPr="00AE1E0D">
        <w:rPr>
          <w:szCs w:val="24"/>
          <w:lang w:val="es-ES"/>
        </w:rPr>
        <w:t>III</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su</w:t>
      </w:r>
      <w:r w:rsidR="00D136BB">
        <w:rPr>
          <w:szCs w:val="24"/>
          <w:lang w:val="es-ES"/>
        </w:rPr>
        <w:t xml:space="preserve"> </w:t>
      </w:r>
      <w:r w:rsidRPr="00AE1E0D">
        <w:rPr>
          <w:szCs w:val="24"/>
          <w:lang w:val="es-ES"/>
        </w:rPr>
        <w:t>Estatuto,</w:t>
      </w:r>
      <w:r w:rsidR="00D136BB">
        <w:rPr>
          <w:szCs w:val="24"/>
          <w:lang w:val="es-ES"/>
        </w:rPr>
        <w:t xml:space="preserve"> </w:t>
      </w:r>
      <w:r w:rsidRPr="00AE1E0D">
        <w:rPr>
          <w:szCs w:val="24"/>
          <w:lang w:val="es-ES"/>
        </w:rPr>
        <w:t>está</w:t>
      </w:r>
      <w:r w:rsidR="00D136BB">
        <w:rPr>
          <w:szCs w:val="24"/>
          <w:lang w:val="es-ES"/>
        </w:rPr>
        <w:t xml:space="preserve"> </w:t>
      </w:r>
      <w:r w:rsidRPr="00AE1E0D">
        <w:rPr>
          <w:szCs w:val="24"/>
          <w:lang w:val="es-ES"/>
        </w:rPr>
        <w:t>autorizado</w:t>
      </w:r>
      <w:r w:rsidR="00D136BB">
        <w:rPr>
          <w:szCs w:val="24"/>
          <w:lang w:val="es-ES"/>
        </w:rPr>
        <w:t xml:space="preserve"> </w:t>
      </w:r>
      <w:r w:rsidRPr="00AE1E0D">
        <w:rPr>
          <w:szCs w:val="24"/>
          <w:lang w:val="es-ES"/>
        </w:rPr>
        <w:t>a</w:t>
      </w:r>
      <w:r w:rsidR="00D136BB">
        <w:rPr>
          <w:szCs w:val="24"/>
          <w:lang w:val="es-ES"/>
        </w:rPr>
        <w:t xml:space="preserve"> </w:t>
      </w:r>
      <w:r w:rsidRPr="00AE1E0D">
        <w:rPr>
          <w:szCs w:val="24"/>
          <w:lang w:val="es-ES"/>
        </w:rPr>
        <w:t>elaborar</w:t>
      </w:r>
      <w:r w:rsidR="00D136BB">
        <w:rPr>
          <w:szCs w:val="24"/>
          <w:lang w:val="es-ES"/>
        </w:rPr>
        <w:t xml:space="preserve"> </w:t>
      </w:r>
      <w:r w:rsidRPr="00AE1E0D">
        <w:rPr>
          <w:szCs w:val="24"/>
          <w:lang w:val="es-ES"/>
        </w:rPr>
        <w:t>estándares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proteger</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salud</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reducir</w:t>
      </w:r>
      <w:r w:rsidR="00D136BB">
        <w:rPr>
          <w:szCs w:val="24"/>
          <w:lang w:val="es-ES"/>
        </w:rPr>
        <w:t xml:space="preserve"> </w:t>
      </w:r>
      <w:r w:rsidRPr="00AE1E0D">
        <w:rPr>
          <w:szCs w:val="24"/>
          <w:lang w:val="es-ES"/>
        </w:rPr>
        <w:t>al</w:t>
      </w:r>
      <w:r w:rsidR="00D136BB">
        <w:rPr>
          <w:szCs w:val="24"/>
          <w:lang w:val="es-ES"/>
        </w:rPr>
        <w:t xml:space="preserve"> </w:t>
      </w:r>
      <w:r w:rsidRPr="00AE1E0D">
        <w:rPr>
          <w:szCs w:val="24"/>
          <w:lang w:val="es-ES"/>
        </w:rPr>
        <w:t>mínimo</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riesgos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aplicación</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las</w:t>
      </w:r>
      <w:r w:rsidR="00D136BB">
        <w:rPr>
          <w:szCs w:val="24"/>
          <w:lang w:val="es-ES"/>
        </w:rPr>
        <w:t xml:space="preserve"> </w:t>
      </w:r>
      <w:r w:rsidRPr="00AE1E0D">
        <w:rPr>
          <w:szCs w:val="24"/>
          <w:lang w:val="es-ES"/>
        </w:rPr>
        <w:t>radiaciones</w:t>
      </w:r>
      <w:r w:rsidR="00D136BB">
        <w:rPr>
          <w:szCs w:val="24"/>
          <w:lang w:val="es-ES"/>
        </w:rPr>
        <w:t xml:space="preserve"> </w:t>
      </w:r>
      <w:r w:rsidRPr="00AE1E0D">
        <w:rPr>
          <w:szCs w:val="24"/>
          <w:lang w:val="es-ES"/>
        </w:rPr>
        <w:t>ionizantes</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vida</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propiedad,</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a</w:t>
      </w:r>
      <w:r w:rsidR="00D136BB">
        <w:rPr>
          <w:szCs w:val="24"/>
          <w:lang w:val="es-ES"/>
        </w:rPr>
        <w:t xml:space="preserve"> </w:t>
      </w:r>
      <w:r w:rsidRPr="00AE1E0D">
        <w:rPr>
          <w:szCs w:val="24"/>
          <w:lang w:val="es-ES"/>
        </w:rPr>
        <w:t>facilitar</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aplicación</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mismos.</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estándares</w:t>
      </w:r>
      <w:r w:rsidR="00D136BB">
        <w:rPr>
          <w:szCs w:val="24"/>
          <w:lang w:val="es-ES"/>
        </w:rPr>
        <w:t xml:space="preserve"> </w:t>
      </w:r>
      <w:r w:rsidRPr="00AE1E0D">
        <w:rPr>
          <w:szCs w:val="24"/>
          <w:lang w:val="es-ES"/>
        </w:rPr>
        <w:t>del</w:t>
      </w:r>
      <w:r w:rsidR="00D136BB">
        <w:rPr>
          <w:szCs w:val="24"/>
          <w:lang w:val="es-ES"/>
        </w:rPr>
        <w:t xml:space="preserve"> </w:t>
      </w:r>
      <w:r w:rsidRPr="00AE1E0D">
        <w:rPr>
          <w:szCs w:val="24"/>
          <w:lang w:val="es-ES"/>
        </w:rPr>
        <w:t>OIEA</w:t>
      </w:r>
      <w:r w:rsidR="00D136BB">
        <w:rPr>
          <w:szCs w:val="24"/>
          <w:lang w:val="es-ES"/>
        </w:rPr>
        <w:t xml:space="preserve"> </w:t>
      </w:r>
      <w:r w:rsidRPr="00AE1E0D">
        <w:rPr>
          <w:szCs w:val="24"/>
          <w:lang w:val="es-ES"/>
        </w:rPr>
        <w:t>cubren</w:t>
      </w:r>
      <w:r w:rsidR="00D136BB">
        <w:rPr>
          <w:szCs w:val="24"/>
          <w:lang w:val="es-ES"/>
        </w:rPr>
        <w:t xml:space="preserve"> </w:t>
      </w:r>
      <w:r w:rsidRPr="00AE1E0D">
        <w:rPr>
          <w:szCs w:val="24"/>
          <w:lang w:val="es-ES"/>
        </w:rPr>
        <w:t>las</w:t>
      </w:r>
      <w:r w:rsidR="00D136BB">
        <w:rPr>
          <w:szCs w:val="24"/>
          <w:lang w:val="es-ES"/>
        </w:rPr>
        <w:t xml:space="preserve"> </w:t>
      </w:r>
      <w:r w:rsidRPr="00AE1E0D">
        <w:rPr>
          <w:szCs w:val="24"/>
          <w:lang w:val="es-ES"/>
        </w:rPr>
        <w:t>áreas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nuclear,</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radiológica,</w:t>
      </w:r>
      <w:r w:rsidR="00D136BB">
        <w:rPr>
          <w:szCs w:val="24"/>
          <w:lang w:val="es-ES"/>
        </w:rPr>
        <w:t xml:space="preserve"> </w:t>
      </w:r>
      <w:r w:rsidRPr="00AE1E0D">
        <w:rPr>
          <w:szCs w:val="24"/>
          <w:lang w:val="es-ES"/>
        </w:rPr>
        <w:t>transporte</w:t>
      </w:r>
      <w:r w:rsidR="00D136BB">
        <w:rPr>
          <w:szCs w:val="24"/>
          <w:lang w:val="es-ES"/>
        </w:rPr>
        <w:t xml:space="preserve"> </w:t>
      </w:r>
      <w:r w:rsidRPr="00AE1E0D">
        <w:rPr>
          <w:szCs w:val="24"/>
          <w:lang w:val="es-ES"/>
        </w:rPr>
        <w:t>seguro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material</w:t>
      </w:r>
      <w:r w:rsidR="00D136BB">
        <w:rPr>
          <w:szCs w:val="24"/>
          <w:lang w:val="es-ES"/>
        </w:rPr>
        <w:t xml:space="preserve"> </w:t>
      </w:r>
      <w:r w:rsidRPr="00AE1E0D">
        <w:rPr>
          <w:szCs w:val="24"/>
          <w:lang w:val="es-ES"/>
        </w:rPr>
        <w:t>radioactivo</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gestión</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desechos</w:t>
      </w:r>
      <w:r w:rsidR="00D136BB">
        <w:rPr>
          <w:szCs w:val="24"/>
          <w:lang w:val="es-ES"/>
        </w:rPr>
        <w:t xml:space="preserve"> </w:t>
      </w:r>
      <w:r w:rsidRPr="00AE1E0D">
        <w:rPr>
          <w:szCs w:val="24"/>
          <w:lang w:val="es-ES"/>
        </w:rPr>
        <w:t>radioactivos.</w:t>
      </w:r>
    </w:p>
    <w:p w14:paraId="2A58A6F9" w14:textId="14CCFE1C" w:rsidR="005D0292" w:rsidRPr="00AE1E0D" w:rsidRDefault="005D0292" w:rsidP="005D0292">
      <w:pPr>
        <w:pStyle w:val="BodyText"/>
        <w:rPr>
          <w:szCs w:val="24"/>
          <w:lang w:val="es-ES"/>
        </w:rPr>
      </w:pPr>
      <w:r w:rsidRPr="00AE1E0D">
        <w:rPr>
          <w:szCs w:val="24"/>
          <w:lang w:val="es-ES"/>
        </w:rPr>
        <w:t>Los</w:t>
      </w:r>
      <w:r w:rsidR="00D136BB">
        <w:rPr>
          <w:szCs w:val="24"/>
          <w:lang w:val="es-ES"/>
        </w:rPr>
        <w:t xml:space="preserve"> </w:t>
      </w:r>
      <w:r w:rsidRPr="00AE1E0D">
        <w:rPr>
          <w:szCs w:val="24"/>
          <w:lang w:val="es-ES"/>
        </w:rPr>
        <w:t>Principios</w:t>
      </w:r>
      <w:r w:rsidR="00D136BB">
        <w:rPr>
          <w:szCs w:val="24"/>
          <w:lang w:val="es-ES"/>
        </w:rPr>
        <w:t xml:space="preserve"> </w:t>
      </w:r>
      <w:r w:rsidRPr="00AE1E0D">
        <w:rPr>
          <w:szCs w:val="24"/>
          <w:lang w:val="es-ES"/>
        </w:rPr>
        <w:t>Fundamentales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[SR-1]</w:t>
      </w:r>
      <w:r w:rsidR="00D136BB">
        <w:rPr>
          <w:szCs w:val="24"/>
          <w:lang w:val="es-ES"/>
        </w:rPr>
        <w:t xml:space="preserve"> </w:t>
      </w:r>
      <w:r w:rsidRPr="00AE1E0D">
        <w:rPr>
          <w:szCs w:val="24"/>
          <w:lang w:val="es-ES"/>
        </w:rPr>
        <w:t>establecen</w:t>
      </w:r>
      <w:r w:rsidR="00D136BB">
        <w:rPr>
          <w:szCs w:val="24"/>
          <w:lang w:val="es-ES"/>
        </w:rPr>
        <w:t xml:space="preserve"> </w:t>
      </w:r>
      <w:r w:rsidRPr="00AE1E0D">
        <w:rPr>
          <w:szCs w:val="24"/>
          <w:lang w:val="es-ES"/>
        </w:rPr>
        <w:t>que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Estados</w:t>
      </w:r>
      <w:r w:rsidR="00D136BB">
        <w:rPr>
          <w:szCs w:val="24"/>
          <w:lang w:val="es-ES"/>
        </w:rPr>
        <w:t xml:space="preserve"> </w:t>
      </w:r>
      <w:r w:rsidRPr="00AE1E0D">
        <w:rPr>
          <w:szCs w:val="24"/>
          <w:lang w:val="es-ES"/>
        </w:rPr>
        <w:t>deben</w:t>
      </w:r>
      <w:r w:rsidR="00D136BB">
        <w:rPr>
          <w:szCs w:val="24"/>
          <w:lang w:val="es-ES"/>
        </w:rPr>
        <w:t xml:space="preserve"> </w:t>
      </w:r>
      <w:r w:rsidRPr="00AE1E0D">
        <w:rPr>
          <w:szCs w:val="24"/>
          <w:lang w:val="es-ES"/>
        </w:rPr>
        <w:t>poseer</w:t>
      </w:r>
      <w:r w:rsidR="00D136BB">
        <w:rPr>
          <w:szCs w:val="24"/>
          <w:lang w:val="es-ES"/>
        </w:rPr>
        <w:t xml:space="preserve"> </w:t>
      </w:r>
      <w:r w:rsidRPr="00AE1E0D">
        <w:rPr>
          <w:szCs w:val="24"/>
          <w:lang w:val="es-ES"/>
        </w:rPr>
        <w:t>un</w:t>
      </w:r>
      <w:r w:rsidR="00D136BB">
        <w:rPr>
          <w:szCs w:val="24"/>
          <w:lang w:val="es-ES"/>
        </w:rPr>
        <w:t xml:space="preserve"> </w:t>
      </w:r>
      <w:r w:rsidRPr="00AE1E0D">
        <w:rPr>
          <w:szCs w:val="24"/>
          <w:lang w:val="es-ES"/>
        </w:rPr>
        <w:t>sistema</w:t>
      </w:r>
      <w:r w:rsidR="00D136BB">
        <w:rPr>
          <w:szCs w:val="24"/>
          <w:lang w:val="es-ES"/>
        </w:rPr>
        <w:t xml:space="preserve"> </w:t>
      </w:r>
      <w:r w:rsidRPr="00AE1E0D">
        <w:rPr>
          <w:szCs w:val="24"/>
          <w:lang w:val="es-ES"/>
        </w:rPr>
        <w:t>nacional</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control</w:t>
      </w:r>
      <w:r w:rsidR="00D136BB">
        <w:rPr>
          <w:szCs w:val="24"/>
          <w:lang w:val="es-ES"/>
        </w:rPr>
        <w:t xml:space="preserve"> </w:t>
      </w:r>
      <w:r w:rsidRPr="00AE1E0D">
        <w:rPr>
          <w:szCs w:val="24"/>
          <w:lang w:val="es-ES"/>
        </w:rPr>
        <w:t>efectivo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todas</w:t>
      </w:r>
      <w:r w:rsidR="00D136BB">
        <w:rPr>
          <w:szCs w:val="24"/>
          <w:lang w:val="es-ES"/>
        </w:rPr>
        <w:t xml:space="preserve"> </w:t>
      </w:r>
      <w:r w:rsidRPr="00AE1E0D">
        <w:rPr>
          <w:szCs w:val="24"/>
          <w:lang w:val="es-ES"/>
        </w:rPr>
        <w:t>las</w:t>
      </w:r>
      <w:r w:rsidR="00D136BB">
        <w:rPr>
          <w:szCs w:val="24"/>
          <w:lang w:val="es-ES"/>
        </w:rPr>
        <w:t xml:space="preserve"> </w:t>
      </w:r>
      <w:r w:rsidRPr="00AE1E0D">
        <w:rPr>
          <w:szCs w:val="24"/>
          <w:lang w:val="es-ES"/>
        </w:rPr>
        <w:t>fuentes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radiación,</w:t>
      </w:r>
      <w:r w:rsidR="00D136BB">
        <w:rPr>
          <w:szCs w:val="24"/>
          <w:lang w:val="es-ES"/>
        </w:rPr>
        <w:t xml:space="preserve"> </w:t>
      </w:r>
      <w:r w:rsidRPr="00AE1E0D">
        <w:rPr>
          <w:szCs w:val="24"/>
          <w:lang w:val="es-ES"/>
        </w:rPr>
        <w:t>incluyendo</w:t>
      </w:r>
      <w:r w:rsidR="00D136BB">
        <w:rPr>
          <w:szCs w:val="24"/>
          <w:lang w:val="es-ES"/>
        </w:rPr>
        <w:t xml:space="preserve"> </w:t>
      </w:r>
      <w:r w:rsidRPr="00AE1E0D">
        <w:rPr>
          <w:szCs w:val="24"/>
          <w:lang w:val="es-ES"/>
        </w:rPr>
        <w:t>un</w:t>
      </w:r>
      <w:r w:rsidR="00D136BB">
        <w:rPr>
          <w:szCs w:val="24"/>
          <w:lang w:val="es-ES"/>
        </w:rPr>
        <w:t xml:space="preserve"> </w:t>
      </w:r>
      <w:r w:rsidRPr="00AE1E0D">
        <w:rPr>
          <w:szCs w:val="24"/>
          <w:lang w:val="es-ES"/>
        </w:rPr>
        <w:t>Órgano</w:t>
      </w:r>
      <w:r w:rsidR="00D136BB">
        <w:rPr>
          <w:szCs w:val="24"/>
          <w:lang w:val="es-ES"/>
        </w:rPr>
        <w:t xml:space="preserve"> </w:t>
      </w:r>
      <w:r w:rsidRPr="00AE1E0D">
        <w:rPr>
          <w:szCs w:val="24"/>
          <w:lang w:val="es-ES"/>
        </w:rPr>
        <w:t>Regulador,</w:t>
      </w:r>
      <w:r w:rsidR="00D136BB">
        <w:rPr>
          <w:szCs w:val="24"/>
          <w:lang w:val="es-ES"/>
        </w:rPr>
        <w:t xml:space="preserve"> </w:t>
      </w:r>
      <w:r w:rsidRPr="00AE1E0D">
        <w:rPr>
          <w:szCs w:val="24"/>
          <w:lang w:val="es-ES"/>
        </w:rPr>
        <w:t>con</w:t>
      </w:r>
      <w:r w:rsidR="00D136BB">
        <w:rPr>
          <w:szCs w:val="24"/>
          <w:lang w:val="es-ES"/>
        </w:rPr>
        <w:t xml:space="preserve"> </w:t>
      </w:r>
      <w:r w:rsidRPr="00AE1E0D">
        <w:rPr>
          <w:szCs w:val="24"/>
          <w:lang w:val="es-ES"/>
        </w:rPr>
        <w:t>responsabilidades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atribuciones</w:t>
      </w:r>
      <w:r w:rsidR="00D136BB">
        <w:rPr>
          <w:szCs w:val="24"/>
          <w:lang w:val="es-ES"/>
        </w:rPr>
        <w:t xml:space="preserve"> </w:t>
      </w:r>
      <w:r w:rsidRPr="00AE1E0D">
        <w:rPr>
          <w:szCs w:val="24"/>
          <w:lang w:val="es-ES"/>
        </w:rPr>
        <w:t>claramente</w:t>
      </w:r>
      <w:r w:rsidR="00D136BB">
        <w:rPr>
          <w:szCs w:val="24"/>
          <w:lang w:val="es-ES"/>
        </w:rPr>
        <w:t xml:space="preserve"> </w:t>
      </w:r>
      <w:r w:rsidRPr="00AE1E0D">
        <w:rPr>
          <w:szCs w:val="24"/>
          <w:lang w:val="es-ES"/>
        </w:rPr>
        <w:t>establecidas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recursos</w:t>
      </w:r>
      <w:r w:rsidR="00D136BB">
        <w:rPr>
          <w:szCs w:val="24"/>
          <w:lang w:val="es-ES"/>
        </w:rPr>
        <w:t xml:space="preserve"> </w:t>
      </w:r>
      <w:r w:rsidRPr="00AE1E0D">
        <w:rPr>
          <w:szCs w:val="24"/>
          <w:lang w:val="es-ES"/>
        </w:rPr>
        <w:t>adecuados,</w:t>
      </w:r>
      <w:r w:rsidR="00D136BB">
        <w:rPr>
          <w:szCs w:val="24"/>
          <w:lang w:val="es-ES"/>
        </w:rPr>
        <w:t xml:space="preserve"> </w:t>
      </w:r>
      <w:r w:rsidRPr="00AE1E0D">
        <w:rPr>
          <w:szCs w:val="24"/>
          <w:lang w:val="es-ES"/>
        </w:rPr>
        <w:t>que</w:t>
      </w:r>
      <w:r w:rsidR="00D136BB">
        <w:rPr>
          <w:szCs w:val="24"/>
          <w:lang w:val="es-ES"/>
        </w:rPr>
        <w:t xml:space="preserve"> </w:t>
      </w:r>
      <w:r w:rsidRPr="00AE1E0D">
        <w:rPr>
          <w:szCs w:val="24"/>
          <w:lang w:val="es-ES"/>
        </w:rPr>
        <w:t>le</w:t>
      </w:r>
      <w:r w:rsidR="00D136BB">
        <w:rPr>
          <w:szCs w:val="24"/>
          <w:lang w:val="es-ES"/>
        </w:rPr>
        <w:t xml:space="preserve"> </w:t>
      </w:r>
      <w:r w:rsidRPr="00AE1E0D">
        <w:rPr>
          <w:szCs w:val="24"/>
          <w:lang w:val="es-ES"/>
        </w:rPr>
        <w:t>permitan</w:t>
      </w:r>
      <w:r w:rsidR="00D136BB">
        <w:rPr>
          <w:szCs w:val="24"/>
          <w:lang w:val="es-ES"/>
        </w:rPr>
        <w:t xml:space="preserve"> </w:t>
      </w:r>
      <w:r w:rsidRPr="00AE1E0D">
        <w:rPr>
          <w:szCs w:val="24"/>
          <w:lang w:val="es-ES"/>
        </w:rPr>
        <w:t>cumplir</w:t>
      </w:r>
      <w:r w:rsidR="00D136BB">
        <w:rPr>
          <w:szCs w:val="24"/>
          <w:lang w:val="es-ES"/>
        </w:rPr>
        <w:t xml:space="preserve"> </w:t>
      </w:r>
      <w:r w:rsidRPr="00AE1E0D">
        <w:rPr>
          <w:szCs w:val="24"/>
          <w:lang w:val="es-ES"/>
        </w:rPr>
        <w:t>con</w:t>
      </w:r>
      <w:r w:rsidR="00D136BB">
        <w:rPr>
          <w:szCs w:val="24"/>
          <w:lang w:val="es-ES"/>
        </w:rPr>
        <w:t xml:space="preserve"> </w:t>
      </w:r>
      <w:r w:rsidRPr="00AE1E0D">
        <w:rPr>
          <w:szCs w:val="24"/>
          <w:lang w:val="es-ES"/>
        </w:rPr>
        <w:t>su</w:t>
      </w:r>
      <w:r w:rsidR="00D136BB">
        <w:rPr>
          <w:szCs w:val="24"/>
          <w:lang w:val="es-ES"/>
        </w:rPr>
        <w:t xml:space="preserve"> </w:t>
      </w:r>
      <w:r w:rsidRPr="00AE1E0D">
        <w:rPr>
          <w:szCs w:val="24"/>
          <w:lang w:val="es-ES"/>
        </w:rPr>
        <w:t>mandato</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reglamentar,</w:t>
      </w:r>
      <w:r w:rsidR="00D136BB">
        <w:rPr>
          <w:szCs w:val="24"/>
          <w:lang w:val="es-ES"/>
        </w:rPr>
        <w:t xml:space="preserve"> </w:t>
      </w:r>
      <w:r w:rsidRPr="00AE1E0D">
        <w:rPr>
          <w:szCs w:val="24"/>
          <w:lang w:val="es-ES"/>
        </w:rPr>
        <w:t>autorizar,</w:t>
      </w:r>
      <w:r w:rsidR="00D136BB">
        <w:rPr>
          <w:szCs w:val="24"/>
          <w:lang w:val="es-ES"/>
        </w:rPr>
        <w:t xml:space="preserve"> </w:t>
      </w:r>
      <w:r w:rsidRPr="00AE1E0D">
        <w:rPr>
          <w:szCs w:val="24"/>
          <w:lang w:val="es-ES"/>
        </w:rPr>
        <w:t>controlar</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sancionar,</w:t>
      </w:r>
      <w:r w:rsidR="00D136BB">
        <w:rPr>
          <w:szCs w:val="24"/>
          <w:lang w:val="es-ES"/>
        </w:rPr>
        <w:t xml:space="preserve"> </w:t>
      </w:r>
      <w:r w:rsidRPr="00AE1E0D">
        <w:rPr>
          <w:szCs w:val="24"/>
          <w:lang w:val="es-ES"/>
        </w:rPr>
        <w:t>así</w:t>
      </w:r>
      <w:r w:rsidR="00D136BB">
        <w:rPr>
          <w:szCs w:val="24"/>
          <w:lang w:val="es-ES"/>
        </w:rPr>
        <w:t xml:space="preserve"> </w:t>
      </w:r>
      <w:r w:rsidRPr="00AE1E0D">
        <w:rPr>
          <w:szCs w:val="24"/>
          <w:lang w:val="es-ES"/>
        </w:rPr>
        <w:t>como</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dar</w:t>
      </w:r>
      <w:r w:rsidR="00D136BB">
        <w:rPr>
          <w:szCs w:val="24"/>
          <w:lang w:val="es-ES"/>
        </w:rPr>
        <w:t xml:space="preserve"> </w:t>
      </w:r>
      <w:r w:rsidRPr="00AE1E0D">
        <w:rPr>
          <w:szCs w:val="24"/>
          <w:lang w:val="es-ES"/>
        </w:rPr>
        <w:t>cumplimiento</w:t>
      </w:r>
      <w:r w:rsidR="00D136BB">
        <w:rPr>
          <w:szCs w:val="24"/>
          <w:lang w:val="es-ES"/>
        </w:rPr>
        <w:t xml:space="preserve"> </w:t>
      </w:r>
      <w:r w:rsidRPr="00AE1E0D">
        <w:rPr>
          <w:szCs w:val="24"/>
          <w:lang w:val="es-ES"/>
        </w:rPr>
        <w:t>a</w:t>
      </w:r>
      <w:r w:rsidR="00D136BB">
        <w:rPr>
          <w:szCs w:val="24"/>
          <w:lang w:val="es-ES"/>
        </w:rPr>
        <w:t xml:space="preserve"> </w:t>
      </w:r>
      <w:r w:rsidRPr="00AE1E0D">
        <w:rPr>
          <w:szCs w:val="24"/>
          <w:lang w:val="es-ES"/>
        </w:rPr>
        <w:t>compromisos</w:t>
      </w:r>
      <w:r w:rsidR="00D136BB">
        <w:rPr>
          <w:szCs w:val="24"/>
          <w:lang w:val="es-ES"/>
        </w:rPr>
        <w:t xml:space="preserve"> </w:t>
      </w:r>
      <w:r w:rsidRPr="00AE1E0D">
        <w:rPr>
          <w:szCs w:val="24"/>
          <w:lang w:val="es-ES"/>
        </w:rPr>
        <w:t>internacionales</w:t>
      </w:r>
      <w:r w:rsidR="00D136BB">
        <w:rPr>
          <w:szCs w:val="24"/>
          <w:lang w:val="es-ES"/>
        </w:rPr>
        <w:t xml:space="preserve"> </w:t>
      </w:r>
      <w:r w:rsidRPr="00AE1E0D">
        <w:rPr>
          <w:szCs w:val="24"/>
          <w:lang w:val="es-ES"/>
        </w:rPr>
        <w:t>establecidos</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convenios,</w:t>
      </w:r>
      <w:r w:rsidR="00D136BB">
        <w:rPr>
          <w:szCs w:val="24"/>
          <w:lang w:val="es-ES"/>
        </w:rPr>
        <w:t xml:space="preserve"> </w:t>
      </w:r>
      <w:r w:rsidRPr="00AE1E0D">
        <w:rPr>
          <w:szCs w:val="24"/>
          <w:lang w:val="es-ES"/>
        </w:rPr>
        <w:t>acuerdos,</w:t>
      </w:r>
      <w:r w:rsidR="00D136BB">
        <w:rPr>
          <w:szCs w:val="24"/>
          <w:lang w:val="es-ES"/>
        </w:rPr>
        <w:t xml:space="preserve"> </w:t>
      </w:r>
      <w:r w:rsidRPr="00AE1E0D">
        <w:rPr>
          <w:szCs w:val="24"/>
          <w:lang w:val="es-ES"/>
        </w:rPr>
        <w:t>protocolos</w:t>
      </w:r>
      <w:r w:rsidR="00D136BB">
        <w:rPr>
          <w:szCs w:val="24"/>
          <w:lang w:val="es-ES"/>
        </w:rPr>
        <w:t xml:space="preserve"> </w:t>
      </w:r>
      <w:r w:rsidRPr="00AE1E0D">
        <w:rPr>
          <w:szCs w:val="24"/>
          <w:lang w:val="es-ES"/>
        </w:rPr>
        <w:t>o</w:t>
      </w:r>
      <w:r w:rsidR="00D136BB">
        <w:rPr>
          <w:szCs w:val="24"/>
          <w:lang w:val="es-ES"/>
        </w:rPr>
        <w:t xml:space="preserve"> </w:t>
      </w:r>
      <w:r w:rsidRPr="00AE1E0D">
        <w:rPr>
          <w:szCs w:val="24"/>
          <w:lang w:val="es-ES"/>
        </w:rPr>
        <w:t>convenciones</w:t>
      </w:r>
      <w:r w:rsidR="00D136BB">
        <w:rPr>
          <w:szCs w:val="24"/>
          <w:lang w:val="es-ES"/>
        </w:rPr>
        <w:t xml:space="preserve"> </w:t>
      </w:r>
      <w:r w:rsidRPr="00AE1E0D">
        <w:rPr>
          <w:szCs w:val="24"/>
          <w:lang w:val="es-ES"/>
        </w:rPr>
        <w:t>internacionales.</w:t>
      </w:r>
      <w:r w:rsidR="00D136BB">
        <w:rPr>
          <w:szCs w:val="24"/>
          <w:lang w:val="es-ES"/>
        </w:rPr>
        <w:t xml:space="preserve"> </w:t>
      </w:r>
      <w:r w:rsidRPr="00AE1E0D">
        <w:rPr>
          <w:szCs w:val="24"/>
          <w:lang w:val="es-ES"/>
        </w:rPr>
        <w:t>También</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Estados</w:t>
      </w:r>
      <w:r w:rsidR="00D136BB">
        <w:rPr>
          <w:szCs w:val="24"/>
          <w:lang w:val="es-ES"/>
        </w:rPr>
        <w:t xml:space="preserve"> </w:t>
      </w:r>
      <w:r w:rsidRPr="00AE1E0D">
        <w:rPr>
          <w:szCs w:val="24"/>
          <w:lang w:val="es-ES"/>
        </w:rPr>
        <w:t>deben</w:t>
      </w:r>
      <w:r w:rsidR="00D136BB">
        <w:rPr>
          <w:szCs w:val="24"/>
          <w:lang w:val="es-ES"/>
        </w:rPr>
        <w:t xml:space="preserve"> </w:t>
      </w:r>
      <w:r w:rsidRPr="00AE1E0D">
        <w:rPr>
          <w:szCs w:val="24"/>
          <w:lang w:val="es-ES"/>
        </w:rPr>
        <w:t>disponer</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arreglos</w:t>
      </w:r>
      <w:r w:rsidR="00D136BB">
        <w:rPr>
          <w:szCs w:val="24"/>
          <w:lang w:val="es-ES"/>
        </w:rPr>
        <w:t xml:space="preserve"> </w:t>
      </w:r>
      <w:r w:rsidRPr="00AE1E0D">
        <w:rPr>
          <w:szCs w:val="24"/>
          <w:lang w:val="es-ES"/>
        </w:rPr>
        <w:t>necesarios</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que,</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ser</w:t>
      </w:r>
      <w:r w:rsidR="00D136BB">
        <w:rPr>
          <w:szCs w:val="24"/>
          <w:lang w:val="es-ES"/>
        </w:rPr>
        <w:t xml:space="preserve"> </w:t>
      </w:r>
      <w:r w:rsidRPr="00AE1E0D">
        <w:rPr>
          <w:szCs w:val="24"/>
          <w:lang w:val="es-ES"/>
        </w:rPr>
        <w:t>necesario,</w:t>
      </w:r>
      <w:r w:rsidR="00D136BB">
        <w:rPr>
          <w:szCs w:val="24"/>
          <w:lang w:val="es-ES"/>
        </w:rPr>
        <w:t xml:space="preserve"> </w:t>
      </w:r>
      <w:r w:rsidRPr="00AE1E0D">
        <w:rPr>
          <w:szCs w:val="24"/>
          <w:lang w:val="es-ES"/>
        </w:rPr>
        <w:t>exista</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capacidad</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intervención</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mitigación</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caso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accidentes.</w:t>
      </w:r>
    </w:p>
    <w:p w14:paraId="260A7334" w14:textId="32D490D2" w:rsidR="005D0292" w:rsidRPr="00AE1E0D" w:rsidRDefault="005D0292" w:rsidP="005D0292">
      <w:pPr>
        <w:pStyle w:val="BodyText"/>
        <w:rPr>
          <w:szCs w:val="24"/>
          <w:lang w:val="es-ES"/>
        </w:rPr>
      </w:pPr>
      <w:r w:rsidRPr="00AE1E0D">
        <w:rPr>
          <w:szCs w:val="24"/>
          <w:lang w:val="es-ES"/>
        </w:rPr>
        <w:t>En</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ámbito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radiológica,</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Perfil</w:t>
      </w:r>
      <w:r w:rsidR="00D136BB">
        <w:rPr>
          <w:szCs w:val="24"/>
          <w:lang w:val="es-ES"/>
        </w:rPr>
        <w:t xml:space="preserve"> </w:t>
      </w:r>
      <w:r w:rsidRPr="00AE1E0D">
        <w:rPr>
          <w:szCs w:val="24"/>
          <w:lang w:val="es-ES"/>
        </w:rPr>
        <w:t>Estratégico</w:t>
      </w:r>
      <w:r w:rsidR="00D136BB">
        <w:rPr>
          <w:szCs w:val="24"/>
          <w:lang w:val="es-ES"/>
        </w:rPr>
        <w:t xml:space="preserve"> </w:t>
      </w:r>
      <w:r w:rsidRPr="00AE1E0D">
        <w:rPr>
          <w:szCs w:val="24"/>
          <w:lang w:val="es-ES"/>
        </w:rPr>
        <w:t>Regional</w:t>
      </w:r>
      <w:r w:rsidR="00D136BB">
        <w:rPr>
          <w:szCs w:val="24"/>
          <w:lang w:val="es-ES"/>
        </w:rPr>
        <w:t xml:space="preserve"> </w:t>
      </w:r>
      <w:r w:rsidRPr="00AE1E0D">
        <w:rPr>
          <w:szCs w:val="24"/>
          <w:lang w:val="es-ES"/>
        </w:rPr>
        <w:t>(PER)</w:t>
      </w:r>
      <w:r w:rsidR="00D136BB">
        <w:rPr>
          <w:szCs w:val="24"/>
          <w:lang w:val="es-ES"/>
        </w:rPr>
        <w:t xml:space="preserve"> </w:t>
      </w:r>
      <w:r w:rsidRPr="00AE1E0D">
        <w:rPr>
          <w:szCs w:val="24"/>
          <w:lang w:val="es-ES"/>
        </w:rPr>
        <w:t>aprobado</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años</w:t>
      </w:r>
      <w:r w:rsidR="00D136BB">
        <w:rPr>
          <w:szCs w:val="24"/>
          <w:lang w:val="es-ES"/>
        </w:rPr>
        <w:t xml:space="preserve"> </w:t>
      </w:r>
      <w:r w:rsidRPr="00AE1E0D">
        <w:rPr>
          <w:szCs w:val="24"/>
          <w:lang w:val="es-ES"/>
        </w:rPr>
        <w:t>2016–2021</w:t>
      </w:r>
      <w:r w:rsidR="00D136BB">
        <w:rPr>
          <w:szCs w:val="24"/>
          <w:lang w:val="es-ES"/>
        </w:rPr>
        <w:t xml:space="preserve"> </w:t>
      </w:r>
      <w:r w:rsidRPr="00AE1E0D">
        <w:rPr>
          <w:szCs w:val="24"/>
          <w:lang w:val="es-ES"/>
        </w:rPr>
        <w:t>tomó</w:t>
      </w:r>
      <w:r w:rsidR="00D136BB">
        <w:rPr>
          <w:szCs w:val="24"/>
          <w:lang w:val="es-ES"/>
        </w:rPr>
        <w:t xml:space="preserve"> </w:t>
      </w:r>
      <w:r w:rsidRPr="00AE1E0D">
        <w:rPr>
          <w:szCs w:val="24"/>
          <w:lang w:val="es-ES"/>
        </w:rPr>
        <w:t>como</w:t>
      </w:r>
      <w:r w:rsidR="00D136BB">
        <w:rPr>
          <w:szCs w:val="24"/>
          <w:lang w:val="es-ES"/>
        </w:rPr>
        <w:t xml:space="preserve"> </w:t>
      </w:r>
      <w:r w:rsidRPr="00AE1E0D">
        <w:rPr>
          <w:szCs w:val="24"/>
          <w:lang w:val="es-ES"/>
        </w:rPr>
        <w:t>punto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referencia</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información</w:t>
      </w:r>
      <w:r w:rsidR="00D136BB">
        <w:rPr>
          <w:szCs w:val="24"/>
          <w:lang w:val="es-ES"/>
        </w:rPr>
        <w:t xml:space="preserve"> </w:t>
      </w:r>
      <w:r w:rsidRPr="00AE1E0D">
        <w:rPr>
          <w:szCs w:val="24"/>
          <w:lang w:val="es-ES"/>
        </w:rPr>
        <w:t>proporcionada</w:t>
      </w:r>
      <w:r w:rsidR="00D136BB">
        <w:rPr>
          <w:szCs w:val="24"/>
          <w:lang w:val="es-ES"/>
        </w:rPr>
        <w:t xml:space="preserve"> </w:t>
      </w:r>
      <w:r w:rsidRPr="00AE1E0D">
        <w:rPr>
          <w:szCs w:val="24"/>
          <w:lang w:val="es-ES"/>
        </w:rPr>
        <w:t>por</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Organismo</w:t>
      </w:r>
      <w:r w:rsidR="00D136BB">
        <w:rPr>
          <w:szCs w:val="24"/>
          <w:lang w:val="es-ES"/>
        </w:rPr>
        <w:t xml:space="preserve"> </w:t>
      </w:r>
      <w:r w:rsidRPr="00AE1E0D">
        <w:rPr>
          <w:szCs w:val="24"/>
          <w:lang w:val="es-ES"/>
        </w:rPr>
        <w:t>Internacional</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Energía</w:t>
      </w:r>
      <w:r w:rsidR="00D136BB">
        <w:rPr>
          <w:szCs w:val="24"/>
          <w:lang w:val="es-ES"/>
        </w:rPr>
        <w:t xml:space="preserve"> </w:t>
      </w:r>
      <w:r w:rsidRPr="00AE1E0D">
        <w:rPr>
          <w:szCs w:val="24"/>
          <w:lang w:val="es-ES"/>
        </w:rPr>
        <w:t>Atómica</w:t>
      </w:r>
      <w:r w:rsidR="00D136BB">
        <w:rPr>
          <w:szCs w:val="24"/>
          <w:lang w:val="es-ES"/>
        </w:rPr>
        <w:t xml:space="preserve"> </w:t>
      </w:r>
      <w:r w:rsidRPr="00AE1E0D">
        <w:rPr>
          <w:szCs w:val="24"/>
          <w:lang w:val="es-ES"/>
        </w:rPr>
        <w:t>(OIEA),</w:t>
      </w:r>
      <w:r w:rsidR="00D136BB">
        <w:rPr>
          <w:szCs w:val="24"/>
          <w:lang w:val="es-ES"/>
        </w:rPr>
        <w:t xml:space="preserve"> </w:t>
      </w:r>
      <w:r w:rsidRPr="00AE1E0D">
        <w:rPr>
          <w:szCs w:val="24"/>
          <w:lang w:val="es-ES"/>
        </w:rPr>
        <w:t>tales</w:t>
      </w:r>
      <w:r w:rsidR="00D136BB">
        <w:rPr>
          <w:szCs w:val="24"/>
          <w:lang w:val="es-ES"/>
        </w:rPr>
        <w:t xml:space="preserve"> </w:t>
      </w:r>
      <w:r w:rsidRPr="00AE1E0D">
        <w:rPr>
          <w:szCs w:val="24"/>
          <w:lang w:val="es-ES"/>
        </w:rPr>
        <w:t>como:</w:t>
      </w:r>
      <w:r w:rsidR="00D136BB">
        <w:rPr>
          <w:szCs w:val="24"/>
          <w:lang w:val="es-ES"/>
        </w:rPr>
        <w:t xml:space="preserve"> </w:t>
      </w:r>
      <w:r w:rsidRPr="00AE1E0D">
        <w:rPr>
          <w:szCs w:val="24"/>
          <w:lang w:val="es-ES"/>
        </w:rPr>
        <w:t>misiones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expertos,</w:t>
      </w:r>
      <w:r w:rsidR="00D136BB">
        <w:rPr>
          <w:szCs w:val="24"/>
          <w:lang w:val="es-ES"/>
        </w:rPr>
        <w:t xml:space="preserve"> </w:t>
      </w:r>
      <w:r w:rsidRPr="00AE1E0D">
        <w:rPr>
          <w:szCs w:val="24"/>
          <w:lang w:val="es-ES"/>
        </w:rPr>
        <w:t>reportes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misiones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evaluación</w:t>
      </w:r>
      <w:r w:rsidR="00D136BB">
        <w:rPr>
          <w:szCs w:val="24"/>
          <w:lang w:val="es-ES"/>
        </w:rPr>
        <w:t xml:space="preserve"> </w:t>
      </w:r>
      <w:r w:rsidRPr="00AE1E0D">
        <w:rPr>
          <w:szCs w:val="24"/>
          <w:lang w:val="es-ES"/>
        </w:rPr>
        <w:t>(IRRS,</w:t>
      </w:r>
      <w:r w:rsidR="00D136BB">
        <w:rPr>
          <w:szCs w:val="24"/>
          <w:lang w:val="es-ES"/>
        </w:rPr>
        <w:t xml:space="preserve"> </w:t>
      </w:r>
      <w:r w:rsidRPr="00AE1E0D">
        <w:rPr>
          <w:szCs w:val="24"/>
          <w:lang w:val="es-ES"/>
        </w:rPr>
        <w:t>ORPAS,</w:t>
      </w:r>
      <w:r w:rsidR="00D136BB">
        <w:rPr>
          <w:szCs w:val="24"/>
          <w:lang w:val="es-ES"/>
        </w:rPr>
        <w:t xml:space="preserve"> </w:t>
      </w:r>
      <w:r w:rsidRPr="00AE1E0D">
        <w:rPr>
          <w:szCs w:val="24"/>
          <w:lang w:val="es-ES"/>
        </w:rPr>
        <w:t>EPREV,</w:t>
      </w:r>
      <w:r w:rsidR="00D136BB">
        <w:rPr>
          <w:szCs w:val="24"/>
          <w:lang w:val="es-ES"/>
        </w:rPr>
        <w:t xml:space="preserve"> </w:t>
      </w:r>
      <w:r w:rsidRPr="00AE1E0D">
        <w:rPr>
          <w:szCs w:val="24"/>
          <w:lang w:val="es-ES"/>
        </w:rPr>
        <w:t>EDUTA</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otras),</w:t>
      </w:r>
      <w:r w:rsidR="00D136BB">
        <w:rPr>
          <w:szCs w:val="24"/>
          <w:lang w:val="es-ES"/>
        </w:rPr>
        <w:t xml:space="preserve"> </w:t>
      </w:r>
      <w:r w:rsidRPr="00AE1E0D">
        <w:rPr>
          <w:szCs w:val="24"/>
          <w:lang w:val="es-ES"/>
        </w:rPr>
        <w:t>información</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reuniones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congresos</w:t>
      </w:r>
      <w:r w:rsidR="00D136BB">
        <w:rPr>
          <w:szCs w:val="24"/>
          <w:lang w:val="es-ES"/>
        </w:rPr>
        <w:t xml:space="preserve"> </w:t>
      </w:r>
      <w:r w:rsidRPr="00AE1E0D">
        <w:rPr>
          <w:szCs w:val="24"/>
          <w:lang w:val="es-ES"/>
        </w:rPr>
        <w:t>internacionales,</w:t>
      </w:r>
      <w:r w:rsidR="00D136BB">
        <w:rPr>
          <w:szCs w:val="24"/>
          <w:lang w:val="es-ES"/>
        </w:rPr>
        <w:t xml:space="preserve"> </w:t>
      </w:r>
      <w:r w:rsidRPr="00AE1E0D">
        <w:rPr>
          <w:szCs w:val="24"/>
          <w:lang w:val="es-ES"/>
        </w:rPr>
        <w:t>informes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países</w:t>
      </w:r>
      <w:r w:rsidR="00D136BB">
        <w:rPr>
          <w:szCs w:val="24"/>
          <w:lang w:val="es-ES"/>
        </w:rPr>
        <w:t xml:space="preserve"> </w:t>
      </w:r>
      <w:r w:rsidRPr="00AE1E0D">
        <w:rPr>
          <w:szCs w:val="24"/>
          <w:lang w:val="es-ES"/>
        </w:rPr>
        <w:t>presentados</w:t>
      </w:r>
      <w:r w:rsidR="00D136BB">
        <w:rPr>
          <w:szCs w:val="24"/>
          <w:lang w:val="es-ES"/>
        </w:rPr>
        <w:t xml:space="preserve"> </w:t>
      </w:r>
      <w:r w:rsidRPr="00AE1E0D">
        <w:rPr>
          <w:szCs w:val="24"/>
          <w:lang w:val="es-ES"/>
        </w:rPr>
        <w:t>o</w:t>
      </w:r>
      <w:r w:rsidR="00D136BB">
        <w:rPr>
          <w:szCs w:val="24"/>
          <w:lang w:val="es-ES"/>
        </w:rPr>
        <w:t xml:space="preserve"> </w:t>
      </w:r>
      <w:r w:rsidRPr="00AE1E0D">
        <w:rPr>
          <w:szCs w:val="24"/>
          <w:lang w:val="es-ES"/>
        </w:rPr>
        <w:t>reuniones</w:t>
      </w:r>
      <w:r w:rsidR="00D136BB">
        <w:rPr>
          <w:szCs w:val="24"/>
          <w:lang w:val="es-ES"/>
        </w:rPr>
        <w:t xml:space="preserve"> </w:t>
      </w:r>
      <w:r w:rsidRPr="00AE1E0D">
        <w:rPr>
          <w:szCs w:val="24"/>
          <w:lang w:val="es-ES"/>
        </w:rPr>
        <w:t>regionales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coordinación,</w:t>
      </w:r>
      <w:r w:rsidR="00D136BB">
        <w:rPr>
          <w:szCs w:val="24"/>
          <w:lang w:val="es-ES"/>
        </w:rPr>
        <w:t xml:space="preserve"> </w:t>
      </w:r>
      <w:r w:rsidRPr="00AE1E0D">
        <w:rPr>
          <w:szCs w:val="24"/>
          <w:lang w:val="es-ES"/>
        </w:rPr>
        <w:t>Perfiles</w:t>
      </w:r>
      <w:r w:rsidR="00D136BB">
        <w:rPr>
          <w:szCs w:val="24"/>
          <w:lang w:val="es-ES"/>
        </w:rPr>
        <w:t xml:space="preserve"> </w:t>
      </w:r>
      <w:r w:rsidRPr="00AE1E0D">
        <w:rPr>
          <w:szCs w:val="24"/>
          <w:lang w:val="es-ES"/>
        </w:rPr>
        <w:t>Nacionales</w:t>
      </w:r>
      <w:r w:rsidR="00D136BB">
        <w:rPr>
          <w:szCs w:val="24"/>
          <w:lang w:val="es-ES"/>
        </w:rPr>
        <w:t xml:space="preserve"> </w:t>
      </w:r>
      <w:r w:rsidRPr="00AE1E0D">
        <w:rPr>
          <w:szCs w:val="24"/>
          <w:lang w:val="es-ES"/>
        </w:rPr>
        <w:t>respecto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fuentes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radiación</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desechos</w:t>
      </w:r>
      <w:r w:rsidR="00D136BB">
        <w:rPr>
          <w:szCs w:val="24"/>
          <w:lang w:val="es-ES"/>
        </w:rPr>
        <w:t xml:space="preserve"> </w:t>
      </w:r>
      <w:r w:rsidRPr="00AE1E0D">
        <w:rPr>
          <w:szCs w:val="24"/>
          <w:lang w:val="es-ES"/>
        </w:rPr>
        <w:t>radiactivos</w:t>
      </w:r>
      <w:r w:rsidR="00D136BB">
        <w:rPr>
          <w:szCs w:val="24"/>
          <w:lang w:val="es-ES"/>
        </w:rPr>
        <w:t xml:space="preserve"> </w:t>
      </w:r>
      <w:r w:rsidRPr="00AE1E0D">
        <w:rPr>
          <w:szCs w:val="24"/>
          <w:lang w:val="es-ES"/>
        </w:rPr>
        <w:t>(RASIMS,</w:t>
      </w:r>
      <w:r w:rsidR="00D136BB">
        <w:rPr>
          <w:szCs w:val="24"/>
          <w:lang w:val="es-ES"/>
        </w:rPr>
        <w:t xml:space="preserve"> </w:t>
      </w:r>
      <w:r w:rsidRPr="00AE1E0D">
        <w:rPr>
          <w:szCs w:val="24"/>
          <w:lang w:val="es-ES"/>
        </w:rPr>
        <w:t>EPRIMS),</w:t>
      </w:r>
      <w:r w:rsidR="00D136BB">
        <w:rPr>
          <w:szCs w:val="24"/>
          <w:lang w:val="es-ES"/>
        </w:rPr>
        <w:t xml:space="preserve"> </w:t>
      </w:r>
      <w:r w:rsidRPr="00AE1E0D">
        <w:rPr>
          <w:szCs w:val="24"/>
          <w:lang w:val="es-ES"/>
        </w:rPr>
        <w:t>Marcos</w:t>
      </w:r>
      <w:r w:rsidR="00D136BB">
        <w:rPr>
          <w:szCs w:val="24"/>
          <w:lang w:val="es-ES"/>
        </w:rPr>
        <w:t xml:space="preserve"> </w:t>
      </w:r>
      <w:r w:rsidRPr="00AE1E0D">
        <w:rPr>
          <w:szCs w:val="24"/>
          <w:lang w:val="es-ES"/>
        </w:rPr>
        <w:t>Programáticos</w:t>
      </w:r>
      <w:r w:rsidR="00D136BB">
        <w:rPr>
          <w:szCs w:val="24"/>
          <w:lang w:val="es-ES"/>
        </w:rPr>
        <w:t xml:space="preserve"> </w:t>
      </w:r>
      <w:r w:rsidRPr="00AE1E0D">
        <w:rPr>
          <w:szCs w:val="24"/>
          <w:lang w:val="es-ES"/>
        </w:rPr>
        <w:t>Nacionales</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programa</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Cooperación</w:t>
      </w:r>
      <w:r w:rsidR="00D136BB">
        <w:rPr>
          <w:szCs w:val="24"/>
          <w:lang w:val="es-ES"/>
        </w:rPr>
        <w:t xml:space="preserve"> </w:t>
      </w:r>
      <w:r w:rsidRPr="00AE1E0D">
        <w:rPr>
          <w:szCs w:val="24"/>
          <w:lang w:val="es-ES"/>
        </w:rPr>
        <w:t>Técnica,</w:t>
      </w:r>
      <w:r w:rsidR="00D136BB">
        <w:rPr>
          <w:szCs w:val="24"/>
          <w:lang w:val="es-ES"/>
        </w:rPr>
        <w:t xml:space="preserve"> </w:t>
      </w:r>
      <w:r w:rsidRPr="00AE1E0D">
        <w:rPr>
          <w:szCs w:val="24"/>
          <w:lang w:val="es-ES"/>
        </w:rPr>
        <w:t>encuestas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otras</w:t>
      </w:r>
      <w:r w:rsidR="00D136BB">
        <w:rPr>
          <w:szCs w:val="24"/>
          <w:lang w:val="es-ES"/>
        </w:rPr>
        <w:t xml:space="preserve"> </w:t>
      </w:r>
      <w:r w:rsidRPr="00AE1E0D">
        <w:rPr>
          <w:szCs w:val="24"/>
          <w:lang w:val="es-ES"/>
        </w:rPr>
        <w:t>fuentes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información.</w:t>
      </w:r>
    </w:p>
    <w:p w14:paraId="79F25612" w14:textId="55C1CDD8" w:rsidR="005D0292" w:rsidRPr="00AE1E0D" w:rsidRDefault="005D0292" w:rsidP="005D0292">
      <w:pPr>
        <w:spacing w:after="120"/>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Sobre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base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necesidades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identificadas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PER,</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Organismo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Internacional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Energía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Atómica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ha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venido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gestionando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proyectos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cooperación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técnica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han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contribuido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significativamente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mejorar</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infraestructura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regulatoria,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protección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radiológica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trabajadores,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paciente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público,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preparación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respuesta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emergencias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radiológicas,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educación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00FC07E5">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capacitación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radiológica,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gestión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residuos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radioactivos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transporte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materiales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radioactivos.</w:t>
      </w:r>
    </w:p>
    <w:p w14:paraId="60DCFBFB" w14:textId="3B2B4AB5" w:rsidR="005D0292" w:rsidRPr="00AE1E0D" w:rsidRDefault="005D0292" w:rsidP="005D0292">
      <w:pPr>
        <w:jc w:val="both"/>
        <w:rPr>
          <w:rFonts w:ascii="Times New Roman" w:eastAsia="Times New Roman" w:hAnsi="Times New Roman" w:cs="Times New Roman"/>
          <w:sz w:val="24"/>
          <w:szCs w:val="24"/>
          <w:lang w:val="es-ES"/>
        </w:rPr>
      </w:pPr>
      <w:bookmarkStart w:id="28" w:name="_Toc385241589"/>
      <w:r w:rsidRPr="00AE1E0D">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elaboración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este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informe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han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consultado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siguientes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documentos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referencia:</w:t>
      </w:r>
    </w:p>
    <w:p w14:paraId="18BBA760" w14:textId="1B62E7F2"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Informe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Reunión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Grupo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Seguimiento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Evaluación,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llevó</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cabo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01</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05</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abril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2019.</w:t>
      </w:r>
    </w:p>
    <w:p w14:paraId="7210C385" w14:textId="3B79942E"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Informe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XX</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Reunión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OCTA.</w:t>
      </w:r>
    </w:p>
    <w:p w14:paraId="0829C79F" w14:textId="758B4971"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Informe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XX</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Reunión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ORA.</w:t>
      </w:r>
    </w:p>
    <w:p w14:paraId="45DBCD71" w14:textId="2A3D209D"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TEC</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DOC</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PER</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2016-2021.</w:t>
      </w:r>
    </w:p>
    <w:p w14:paraId="1C65481D" w14:textId="10313DB8"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Guía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Implementación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PER</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2016-2021</w:t>
      </w:r>
    </w:p>
    <w:p w14:paraId="748C2EC3" w14:textId="106327F1"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Convocatoria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Proyectos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Ciclo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2022-2023</w:t>
      </w:r>
    </w:p>
    <w:p w14:paraId="40EAF1D1" w14:textId="474868FD"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lastRenderedPageBreak/>
        <w:t>Marco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gubernamental,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jurídico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regulador</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Requisitos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Generales,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1.</w:t>
      </w:r>
    </w:p>
    <w:p w14:paraId="104BA5E3" w14:textId="1F47133B"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Liderazgo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gestión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pro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Requisitos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Generales,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2.</w:t>
      </w:r>
    </w:p>
    <w:p w14:paraId="4127A977" w14:textId="2107041B"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Protección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radiológica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fuentes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Normas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básicas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internacionales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Requisitos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Generales,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3.</w:t>
      </w:r>
    </w:p>
    <w:p w14:paraId="299D1652" w14:textId="32BF4FF8"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Evaluación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instalaciones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actividades.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Requisitos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Generales,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4.</w:t>
      </w:r>
    </w:p>
    <w:p w14:paraId="0A6E0456" w14:textId="2ED8FC5C"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Gestión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previa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disposición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final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desechos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radiactivos.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Requisitos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Generales,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5.</w:t>
      </w:r>
    </w:p>
    <w:p w14:paraId="39A901BA" w14:textId="3AB6443F"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Clausura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instalaciones.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Requisitos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Generales,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6.</w:t>
      </w:r>
    </w:p>
    <w:p w14:paraId="23B41609" w14:textId="62CB12CA"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Preparación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respuesta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emergencia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nuclear</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radiológica.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Requisitos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Generales,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7.</w:t>
      </w:r>
    </w:p>
    <w:p w14:paraId="4EBE2C76" w14:textId="2B9A7797" w:rsidR="005D0292" w:rsidRPr="00AE1E0D" w:rsidRDefault="005D0292" w:rsidP="00BE3BCB">
      <w:pPr>
        <w:numPr>
          <w:ilvl w:val="0"/>
          <w:numId w:val="37"/>
        </w:numPr>
        <w:tabs>
          <w:tab w:val="clear" w:pos="720"/>
        </w:tabs>
        <w:spacing w:after="0" w:line="240" w:lineRule="auto"/>
        <w:ind w:left="709" w:hanging="426"/>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Reglamento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Transporte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Materiales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Radiactivos.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Requisitos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Específicos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SSR-6</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(Rev.1).</w:t>
      </w:r>
    </w:p>
    <w:p w14:paraId="70BC98DC" w14:textId="77777777" w:rsidR="005D0292" w:rsidRPr="00AE1E0D" w:rsidRDefault="005D0292" w:rsidP="005D0292">
      <w:pPr>
        <w:contextualSpacing/>
        <w:jc w:val="both"/>
        <w:rPr>
          <w:rFonts w:ascii="Times New Roman" w:eastAsia="Times New Roman" w:hAnsi="Times New Roman" w:cs="Times New Roman"/>
          <w:sz w:val="24"/>
          <w:szCs w:val="24"/>
          <w:lang w:val="es-ES"/>
        </w:rPr>
      </w:pPr>
    </w:p>
    <w:p w14:paraId="0E4122A4" w14:textId="680266EC" w:rsidR="005D0292" w:rsidRPr="00AE1E0D" w:rsidRDefault="005D0292" w:rsidP="005D0292">
      <w:pPr>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Además,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otros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documentos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apoyo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que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han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tenido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cuenta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son:</w:t>
      </w:r>
    </w:p>
    <w:p w14:paraId="73DAA4A6" w14:textId="77777777" w:rsidR="005D0292" w:rsidRPr="00AE1E0D" w:rsidRDefault="005D0292" w:rsidP="005D0292">
      <w:pPr>
        <w:contextualSpacing/>
        <w:jc w:val="both"/>
        <w:rPr>
          <w:rFonts w:ascii="Times New Roman" w:eastAsia="Times New Roman" w:hAnsi="Times New Roman" w:cs="Times New Roman"/>
          <w:sz w:val="24"/>
          <w:szCs w:val="24"/>
          <w:lang w:val="es-ES"/>
        </w:rPr>
      </w:pPr>
    </w:p>
    <w:p w14:paraId="25EB618D" w14:textId="59BFD37B" w:rsidR="005D0292" w:rsidRPr="00AE1E0D" w:rsidRDefault="005D0292" w:rsidP="005D0292">
      <w:pPr>
        <w:ind w:left="704" w:hanging="420"/>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b/>
        <w:t>Antecedentes,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Metodología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Proceso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Elaboración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PER</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para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América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Latina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y</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Caribe.</w:t>
      </w:r>
    </w:p>
    <w:p w14:paraId="520A31C4" w14:textId="7651A558" w:rsidR="005D0292" w:rsidRPr="00AE1E0D" w:rsidRDefault="005D0292" w:rsidP="005D0292">
      <w:pPr>
        <w:ind w:left="567" w:hanging="283"/>
        <w:contextualSpacing/>
        <w:jc w:val="both"/>
        <w:rPr>
          <w:rFonts w:ascii="Times New Roman" w:eastAsia="Times New Roman" w:hAnsi="Times New Roman" w:cs="Times New Roman"/>
          <w:sz w:val="24"/>
          <w:szCs w:val="24"/>
          <w:lang w:val="es-ES"/>
        </w:rPr>
      </w:pPr>
      <w:r w:rsidRPr="00AE1E0D">
        <w:rPr>
          <w:rFonts w:ascii="Times New Roman" w:eastAsia="Times New Roman" w:hAnsi="Times New Roman" w:cs="Times New Roman"/>
          <w:sz w:val="24"/>
          <w:szCs w:val="24"/>
          <w:lang w:val="es-ES"/>
        </w:rPr>
        <w:t>(b)</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b/>
        <w:t>Objetivos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Desarrollo</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Sostenibles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Organización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Naciones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Unidas</w:t>
      </w:r>
    </w:p>
    <w:p w14:paraId="6C241A58" w14:textId="77777777" w:rsidR="005D0292" w:rsidRPr="00AE1E0D" w:rsidRDefault="005D0292" w:rsidP="005D0292">
      <w:pPr>
        <w:ind w:left="567" w:hanging="283"/>
        <w:contextualSpacing/>
        <w:jc w:val="both"/>
        <w:rPr>
          <w:rFonts w:ascii="Times New Roman" w:eastAsia="Times New Roman" w:hAnsi="Times New Roman" w:cs="Times New Roman"/>
          <w:sz w:val="24"/>
          <w:szCs w:val="24"/>
          <w:lang w:val="es-ES"/>
        </w:rPr>
      </w:pPr>
    </w:p>
    <w:p w14:paraId="4013A29F" w14:textId="77777777" w:rsidR="005D0292" w:rsidRPr="00AE1E0D" w:rsidRDefault="005D0292" w:rsidP="005D0292">
      <w:pPr>
        <w:spacing w:after="120"/>
        <w:jc w:val="both"/>
        <w:rPr>
          <w:rFonts w:ascii="Times New Roman" w:eastAsia="Times New Roman" w:hAnsi="Times New Roman" w:cs="Times New Roman"/>
          <w:sz w:val="24"/>
          <w:szCs w:val="24"/>
          <w:lang w:val="es-ES"/>
        </w:rPr>
      </w:pPr>
    </w:p>
    <w:bookmarkEnd w:id="28"/>
    <w:p w14:paraId="4C5282F4" w14:textId="2636EF3D" w:rsidR="005D0292" w:rsidRPr="00AE1E0D" w:rsidRDefault="005D0292" w:rsidP="005D0292">
      <w:pPr>
        <w:pStyle w:val="BodyText"/>
        <w:rPr>
          <w:szCs w:val="24"/>
          <w:lang w:val="es-ES"/>
        </w:rPr>
      </w:pPr>
      <w:r w:rsidRPr="00AE1E0D">
        <w:rPr>
          <w:szCs w:val="24"/>
          <w:lang w:val="es-ES"/>
        </w:rPr>
        <w:t>Para</w:t>
      </w:r>
      <w:r w:rsidR="00D136BB">
        <w:rPr>
          <w:szCs w:val="24"/>
          <w:lang w:val="es-ES"/>
        </w:rPr>
        <w:t xml:space="preserve"> </w:t>
      </w:r>
      <w:r w:rsidRPr="00AE1E0D">
        <w:rPr>
          <w:szCs w:val="24"/>
          <w:lang w:val="es-ES"/>
        </w:rPr>
        <w:t>realizar</w:t>
      </w:r>
      <w:r w:rsidR="00D136BB">
        <w:rPr>
          <w:szCs w:val="24"/>
          <w:lang w:val="es-ES"/>
        </w:rPr>
        <w:t xml:space="preserve"> </w:t>
      </w:r>
      <w:r w:rsidRPr="00AE1E0D">
        <w:rPr>
          <w:szCs w:val="24"/>
          <w:lang w:val="es-ES"/>
        </w:rPr>
        <w:t>un</w:t>
      </w:r>
      <w:r w:rsidR="00D136BB">
        <w:rPr>
          <w:szCs w:val="24"/>
          <w:lang w:val="es-ES"/>
        </w:rPr>
        <w:t xml:space="preserve"> </w:t>
      </w:r>
      <w:r w:rsidRPr="00AE1E0D">
        <w:rPr>
          <w:szCs w:val="24"/>
          <w:lang w:val="es-ES"/>
        </w:rPr>
        <w:t>diagnóstico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región</w:t>
      </w:r>
      <w:r w:rsidR="00D136BB">
        <w:rPr>
          <w:szCs w:val="24"/>
          <w:lang w:val="es-ES"/>
        </w:rPr>
        <w:t xml:space="preserve"> </w:t>
      </w:r>
      <w:r w:rsidRPr="00AE1E0D">
        <w:rPr>
          <w:szCs w:val="24"/>
          <w:lang w:val="es-ES"/>
        </w:rPr>
        <w:t>se</w:t>
      </w:r>
      <w:r w:rsidR="00D136BB">
        <w:rPr>
          <w:szCs w:val="24"/>
          <w:lang w:val="es-ES"/>
        </w:rPr>
        <w:t xml:space="preserve"> </w:t>
      </w:r>
      <w:r w:rsidRPr="00AE1E0D">
        <w:rPr>
          <w:szCs w:val="24"/>
          <w:lang w:val="es-ES"/>
        </w:rPr>
        <w:t>utilizó,</w:t>
      </w:r>
      <w:r w:rsidR="00D136BB">
        <w:rPr>
          <w:szCs w:val="24"/>
          <w:lang w:val="es-ES"/>
        </w:rPr>
        <w:t xml:space="preserve"> </w:t>
      </w:r>
      <w:r w:rsidRPr="00AE1E0D">
        <w:rPr>
          <w:szCs w:val="24"/>
          <w:lang w:val="es-ES"/>
        </w:rPr>
        <w:t>primordialmente,</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información</w:t>
      </w:r>
      <w:r w:rsidR="00D136BB">
        <w:rPr>
          <w:szCs w:val="24"/>
          <w:lang w:val="es-ES"/>
        </w:rPr>
        <w:t xml:space="preserve"> </w:t>
      </w:r>
      <w:r w:rsidRPr="00AE1E0D">
        <w:rPr>
          <w:szCs w:val="24"/>
          <w:lang w:val="es-ES"/>
        </w:rPr>
        <w:t>existente</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base</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datos</w:t>
      </w:r>
      <w:r w:rsidR="00D136BB">
        <w:rPr>
          <w:szCs w:val="24"/>
          <w:lang w:val="es-ES"/>
        </w:rPr>
        <w:t xml:space="preserve"> </w:t>
      </w:r>
      <w:r w:rsidRPr="00AE1E0D">
        <w:rPr>
          <w:szCs w:val="24"/>
          <w:lang w:val="es-ES"/>
        </w:rPr>
        <w:t>del</w:t>
      </w:r>
      <w:r w:rsidR="00D136BB">
        <w:rPr>
          <w:szCs w:val="24"/>
          <w:lang w:val="es-ES"/>
        </w:rPr>
        <w:t xml:space="preserve"> </w:t>
      </w:r>
      <w:r w:rsidRPr="00AE1E0D">
        <w:rPr>
          <w:szCs w:val="24"/>
          <w:lang w:val="es-ES"/>
        </w:rPr>
        <w:t>OIEA</w:t>
      </w:r>
      <w:r w:rsidR="00D136BB">
        <w:rPr>
          <w:szCs w:val="24"/>
          <w:lang w:val="es-ES"/>
        </w:rPr>
        <w:t xml:space="preserve"> </w:t>
      </w:r>
      <w:r w:rsidRPr="00AE1E0D">
        <w:rPr>
          <w:szCs w:val="24"/>
          <w:lang w:val="es-ES"/>
        </w:rPr>
        <w:t>“Radiation</w:t>
      </w:r>
      <w:r w:rsidR="00D136BB">
        <w:rPr>
          <w:szCs w:val="24"/>
          <w:lang w:val="es-ES"/>
        </w:rPr>
        <w:t xml:space="preserve"> </w:t>
      </w:r>
      <w:r w:rsidR="00FC07E5">
        <w:rPr>
          <w:szCs w:val="24"/>
          <w:lang w:val="es-ES"/>
        </w:rPr>
        <w:t>Safety</w:t>
      </w:r>
      <w:r w:rsidR="00D136BB">
        <w:rPr>
          <w:szCs w:val="24"/>
          <w:lang w:val="es-ES"/>
        </w:rPr>
        <w:t xml:space="preserve"> </w:t>
      </w:r>
      <w:r w:rsidRPr="00AE1E0D">
        <w:rPr>
          <w:szCs w:val="24"/>
          <w:lang w:val="es-ES"/>
        </w:rPr>
        <w:t>Information</w:t>
      </w:r>
      <w:r w:rsidR="00D136BB">
        <w:rPr>
          <w:szCs w:val="24"/>
          <w:lang w:val="es-ES"/>
        </w:rPr>
        <w:t xml:space="preserve"> </w:t>
      </w:r>
      <w:r w:rsidRPr="00AE1E0D">
        <w:rPr>
          <w:szCs w:val="24"/>
          <w:lang w:val="es-ES"/>
        </w:rPr>
        <w:t>Management</w:t>
      </w:r>
      <w:r w:rsidR="00D136BB">
        <w:rPr>
          <w:szCs w:val="24"/>
          <w:lang w:val="es-ES"/>
        </w:rPr>
        <w:t xml:space="preserve"> </w:t>
      </w:r>
      <w:r w:rsidRPr="00AE1E0D">
        <w:rPr>
          <w:szCs w:val="24"/>
          <w:lang w:val="es-ES"/>
        </w:rPr>
        <w:t>System</w:t>
      </w:r>
      <w:r w:rsidR="00D136BB">
        <w:rPr>
          <w:szCs w:val="24"/>
          <w:lang w:val="es-ES"/>
        </w:rPr>
        <w:t xml:space="preserve"> </w:t>
      </w:r>
      <w:r w:rsidRPr="00AE1E0D">
        <w:rPr>
          <w:szCs w:val="24"/>
          <w:lang w:val="es-ES"/>
        </w:rPr>
        <w:t>(RASIMS)”,</w:t>
      </w:r>
      <w:r w:rsidR="00D136BB">
        <w:rPr>
          <w:szCs w:val="24"/>
          <w:lang w:val="es-ES"/>
        </w:rPr>
        <w:t xml:space="preserve"> </w:t>
      </w:r>
      <w:r w:rsidRPr="00AE1E0D">
        <w:rPr>
          <w:szCs w:val="24"/>
          <w:lang w:val="es-ES"/>
        </w:rPr>
        <w:t>así</w:t>
      </w:r>
      <w:r w:rsidR="00D136BB">
        <w:rPr>
          <w:szCs w:val="24"/>
          <w:lang w:val="es-ES"/>
        </w:rPr>
        <w:t xml:space="preserve"> </w:t>
      </w:r>
      <w:r w:rsidRPr="00AE1E0D">
        <w:rPr>
          <w:szCs w:val="24"/>
          <w:lang w:val="es-ES"/>
        </w:rPr>
        <w:t>como</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asesoramiento</w:t>
      </w:r>
      <w:r w:rsidR="00D136BB">
        <w:rPr>
          <w:szCs w:val="24"/>
          <w:lang w:val="es-ES"/>
        </w:rPr>
        <w:t xml:space="preserve"> </w:t>
      </w:r>
      <w:r w:rsidRPr="00AE1E0D">
        <w:rPr>
          <w:szCs w:val="24"/>
          <w:lang w:val="es-ES"/>
        </w:rPr>
        <w:t>técnico</w:t>
      </w:r>
      <w:r w:rsidR="00D136BB">
        <w:rPr>
          <w:szCs w:val="24"/>
          <w:lang w:val="es-ES"/>
        </w:rPr>
        <w:t xml:space="preserve"> </w:t>
      </w:r>
      <w:r w:rsidRPr="00AE1E0D">
        <w:rPr>
          <w:szCs w:val="24"/>
          <w:lang w:val="es-ES"/>
        </w:rPr>
        <w:t>brindado</w:t>
      </w:r>
      <w:r w:rsidR="00D136BB">
        <w:rPr>
          <w:szCs w:val="24"/>
          <w:lang w:val="es-ES"/>
        </w:rPr>
        <w:t xml:space="preserve"> </w:t>
      </w:r>
      <w:r w:rsidRPr="00AE1E0D">
        <w:rPr>
          <w:szCs w:val="24"/>
          <w:lang w:val="es-ES"/>
        </w:rPr>
        <w:t>por</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Oficiales</w:t>
      </w:r>
      <w:r w:rsidR="00D136BB">
        <w:rPr>
          <w:szCs w:val="24"/>
          <w:lang w:val="es-ES"/>
        </w:rPr>
        <w:t xml:space="preserve"> </w:t>
      </w:r>
      <w:r w:rsidRPr="00AE1E0D">
        <w:rPr>
          <w:szCs w:val="24"/>
          <w:lang w:val="es-ES"/>
        </w:rPr>
        <w:t>Técnicos</w:t>
      </w:r>
      <w:r w:rsidR="00D136BB">
        <w:rPr>
          <w:szCs w:val="24"/>
          <w:lang w:val="es-ES"/>
        </w:rPr>
        <w:t xml:space="preserve"> </w:t>
      </w:r>
      <w:r w:rsidRPr="00AE1E0D">
        <w:rPr>
          <w:szCs w:val="24"/>
          <w:lang w:val="es-ES"/>
        </w:rPr>
        <w:t>del</w:t>
      </w:r>
      <w:r w:rsidR="00D136BB">
        <w:rPr>
          <w:szCs w:val="24"/>
          <w:lang w:val="es-ES"/>
        </w:rPr>
        <w:t xml:space="preserve"> </w:t>
      </w:r>
      <w:r w:rsidRPr="00AE1E0D">
        <w:rPr>
          <w:szCs w:val="24"/>
          <w:lang w:val="es-ES"/>
        </w:rPr>
        <w:t>Organismo</w:t>
      </w:r>
      <w:r w:rsidR="00D136BB">
        <w:rPr>
          <w:szCs w:val="24"/>
          <w:lang w:val="es-ES"/>
        </w:rPr>
        <w:t xml:space="preserve"> </w:t>
      </w:r>
      <w:r w:rsidRPr="00AE1E0D">
        <w:rPr>
          <w:szCs w:val="24"/>
          <w:lang w:val="es-ES"/>
        </w:rPr>
        <w:t>encargados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las</w:t>
      </w:r>
      <w:r w:rsidR="00D136BB">
        <w:rPr>
          <w:szCs w:val="24"/>
          <w:lang w:val="es-ES"/>
        </w:rPr>
        <w:t xml:space="preserve"> </w:t>
      </w:r>
      <w:r w:rsidRPr="00AE1E0D">
        <w:rPr>
          <w:szCs w:val="24"/>
          <w:lang w:val="es-ES"/>
        </w:rPr>
        <w:t>diferentes</w:t>
      </w:r>
      <w:r w:rsidR="00D136BB">
        <w:rPr>
          <w:szCs w:val="24"/>
          <w:lang w:val="es-ES"/>
        </w:rPr>
        <w:t xml:space="preserve"> </w:t>
      </w:r>
      <w:r w:rsidRPr="00AE1E0D">
        <w:rPr>
          <w:szCs w:val="24"/>
          <w:lang w:val="es-ES"/>
        </w:rPr>
        <w:t>áreas.</w:t>
      </w:r>
    </w:p>
    <w:p w14:paraId="1476B8A3" w14:textId="55F718D1" w:rsidR="005D0292" w:rsidRPr="00AE1E0D" w:rsidRDefault="005D0292" w:rsidP="005D0292">
      <w:pPr>
        <w:pStyle w:val="BodyText"/>
        <w:rPr>
          <w:szCs w:val="24"/>
          <w:lang w:val="es-ES"/>
        </w:rPr>
      </w:pPr>
      <w:r w:rsidRPr="00AE1E0D">
        <w:rPr>
          <w:szCs w:val="24"/>
          <w:lang w:val="es-ES"/>
        </w:rPr>
        <w:t>De</w:t>
      </w:r>
      <w:r w:rsidR="00D136BB">
        <w:rPr>
          <w:szCs w:val="24"/>
          <w:lang w:val="es-ES"/>
        </w:rPr>
        <w:t xml:space="preserve"> </w:t>
      </w:r>
      <w:r w:rsidRPr="00AE1E0D">
        <w:rPr>
          <w:szCs w:val="24"/>
          <w:lang w:val="es-ES"/>
        </w:rPr>
        <w:t>este</w:t>
      </w:r>
      <w:r w:rsidR="00D136BB">
        <w:rPr>
          <w:szCs w:val="24"/>
          <w:lang w:val="es-ES"/>
        </w:rPr>
        <w:t xml:space="preserve"> </w:t>
      </w:r>
      <w:r w:rsidRPr="00AE1E0D">
        <w:rPr>
          <w:szCs w:val="24"/>
          <w:lang w:val="es-ES"/>
        </w:rPr>
        <w:t>análisis,</w:t>
      </w:r>
      <w:r w:rsidR="00D136BB">
        <w:rPr>
          <w:szCs w:val="24"/>
          <w:lang w:val="es-ES"/>
        </w:rPr>
        <w:t xml:space="preserve"> </w:t>
      </w:r>
      <w:r w:rsidRPr="00AE1E0D">
        <w:rPr>
          <w:szCs w:val="24"/>
          <w:lang w:val="es-ES"/>
        </w:rPr>
        <w:t>se</w:t>
      </w:r>
      <w:r w:rsidR="00D136BB">
        <w:rPr>
          <w:szCs w:val="24"/>
          <w:lang w:val="es-ES"/>
        </w:rPr>
        <w:t xml:space="preserve"> </w:t>
      </w:r>
      <w:r w:rsidRPr="00AE1E0D">
        <w:rPr>
          <w:szCs w:val="24"/>
          <w:lang w:val="es-ES"/>
        </w:rPr>
        <w:t>concluyó</w:t>
      </w:r>
      <w:r w:rsidR="00D136BB">
        <w:rPr>
          <w:szCs w:val="24"/>
          <w:lang w:val="es-ES"/>
        </w:rPr>
        <w:t xml:space="preserve"> </w:t>
      </w:r>
      <w:r w:rsidRPr="00AE1E0D">
        <w:rPr>
          <w:szCs w:val="24"/>
          <w:lang w:val="es-ES"/>
        </w:rPr>
        <w:t>que</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región</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América</w:t>
      </w:r>
      <w:r w:rsidR="00D136BB">
        <w:rPr>
          <w:szCs w:val="24"/>
          <w:lang w:val="es-ES"/>
        </w:rPr>
        <w:t xml:space="preserve"> </w:t>
      </w:r>
      <w:r w:rsidRPr="00AE1E0D">
        <w:rPr>
          <w:szCs w:val="24"/>
          <w:lang w:val="es-ES"/>
        </w:rPr>
        <w:t>Latina</w:t>
      </w:r>
      <w:r w:rsidR="00D136BB">
        <w:rPr>
          <w:szCs w:val="24"/>
          <w:lang w:val="es-ES"/>
        </w:rPr>
        <w:t xml:space="preserve"> </w:t>
      </w:r>
      <w:r w:rsidRPr="00AE1E0D">
        <w:rPr>
          <w:szCs w:val="24"/>
          <w:lang w:val="es-ES"/>
        </w:rPr>
        <w:t>se</w:t>
      </w:r>
      <w:r w:rsidR="00D136BB">
        <w:rPr>
          <w:szCs w:val="24"/>
          <w:lang w:val="es-ES"/>
        </w:rPr>
        <w:t xml:space="preserve"> </w:t>
      </w:r>
      <w:r w:rsidRPr="00AE1E0D">
        <w:rPr>
          <w:szCs w:val="24"/>
          <w:lang w:val="es-ES"/>
        </w:rPr>
        <w:t>han</w:t>
      </w:r>
      <w:r w:rsidR="00D136BB">
        <w:rPr>
          <w:szCs w:val="24"/>
          <w:lang w:val="es-ES"/>
        </w:rPr>
        <w:t xml:space="preserve"> </w:t>
      </w:r>
      <w:r w:rsidRPr="00AE1E0D">
        <w:rPr>
          <w:szCs w:val="24"/>
          <w:lang w:val="es-ES"/>
        </w:rPr>
        <w:t>realizado</w:t>
      </w:r>
      <w:r w:rsidR="00D136BB">
        <w:rPr>
          <w:szCs w:val="24"/>
          <w:lang w:val="es-ES"/>
        </w:rPr>
        <w:t xml:space="preserve"> </w:t>
      </w:r>
      <w:r w:rsidRPr="00AE1E0D">
        <w:rPr>
          <w:szCs w:val="24"/>
          <w:lang w:val="es-ES"/>
        </w:rPr>
        <w:t>avances</w:t>
      </w:r>
      <w:r w:rsidR="00D136BB">
        <w:rPr>
          <w:szCs w:val="24"/>
          <w:lang w:val="es-ES"/>
        </w:rPr>
        <w:t xml:space="preserve"> </w:t>
      </w:r>
      <w:r w:rsidRPr="00AE1E0D">
        <w:rPr>
          <w:szCs w:val="24"/>
          <w:lang w:val="es-ES"/>
        </w:rPr>
        <w:t>sustanciales</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lo</w:t>
      </w:r>
      <w:r w:rsidR="00D136BB">
        <w:rPr>
          <w:szCs w:val="24"/>
          <w:lang w:val="es-ES"/>
        </w:rPr>
        <w:t xml:space="preserve"> </w:t>
      </w:r>
      <w:r w:rsidRPr="00AE1E0D">
        <w:rPr>
          <w:szCs w:val="24"/>
          <w:lang w:val="es-ES"/>
        </w:rPr>
        <w:t>referente</w:t>
      </w:r>
      <w:r w:rsidR="00D136BB">
        <w:rPr>
          <w:szCs w:val="24"/>
          <w:lang w:val="es-ES"/>
        </w:rPr>
        <w:t xml:space="preserve"> </w:t>
      </w:r>
      <w:r w:rsidRPr="00AE1E0D">
        <w:rPr>
          <w:szCs w:val="24"/>
          <w:lang w:val="es-ES"/>
        </w:rPr>
        <w:t>al</w:t>
      </w:r>
      <w:r w:rsidR="00D136BB">
        <w:rPr>
          <w:szCs w:val="24"/>
          <w:lang w:val="es-ES"/>
        </w:rPr>
        <w:t xml:space="preserve"> </w:t>
      </w:r>
      <w:r w:rsidRPr="00AE1E0D">
        <w:rPr>
          <w:szCs w:val="24"/>
          <w:lang w:val="es-ES"/>
        </w:rPr>
        <w:t>establecimiento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programas</w:t>
      </w:r>
      <w:r w:rsidR="00D136BB">
        <w:rPr>
          <w:szCs w:val="24"/>
          <w:lang w:val="es-ES"/>
        </w:rPr>
        <w:t xml:space="preserve"> </w:t>
      </w:r>
      <w:r w:rsidRPr="00AE1E0D">
        <w:rPr>
          <w:szCs w:val="24"/>
          <w:lang w:val="es-ES"/>
        </w:rPr>
        <w:t>e</w:t>
      </w:r>
      <w:r w:rsidR="00D136BB">
        <w:rPr>
          <w:szCs w:val="24"/>
          <w:lang w:val="es-ES"/>
        </w:rPr>
        <w:t xml:space="preserve"> </w:t>
      </w:r>
      <w:r w:rsidRPr="00AE1E0D">
        <w:rPr>
          <w:szCs w:val="24"/>
          <w:lang w:val="es-ES"/>
        </w:rPr>
        <w:t>infraestructuras</w:t>
      </w:r>
      <w:r w:rsidR="00D136BB">
        <w:rPr>
          <w:szCs w:val="24"/>
          <w:lang w:val="es-ES"/>
        </w:rPr>
        <w:t xml:space="preserve"> </w:t>
      </w:r>
      <w:r w:rsidRPr="00AE1E0D">
        <w:rPr>
          <w:szCs w:val="24"/>
          <w:lang w:val="es-ES"/>
        </w:rPr>
        <w:t>regulatorias</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últimos</w:t>
      </w:r>
      <w:r w:rsidR="00D136BB">
        <w:rPr>
          <w:szCs w:val="24"/>
          <w:lang w:val="es-ES"/>
        </w:rPr>
        <w:t xml:space="preserve"> </w:t>
      </w:r>
      <w:r w:rsidRPr="00AE1E0D">
        <w:rPr>
          <w:szCs w:val="24"/>
          <w:lang w:val="es-ES"/>
        </w:rPr>
        <w:t>25</w:t>
      </w:r>
      <w:r w:rsidR="00D136BB">
        <w:rPr>
          <w:szCs w:val="24"/>
          <w:lang w:val="es-ES"/>
        </w:rPr>
        <w:t xml:space="preserve"> </w:t>
      </w:r>
      <w:r w:rsidRPr="00AE1E0D">
        <w:rPr>
          <w:szCs w:val="24"/>
          <w:lang w:val="es-ES"/>
        </w:rPr>
        <w:t>años.</w:t>
      </w:r>
      <w:r w:rsidR="00D136BB">
        <w:rPr>
          <w:szCs w:val="24"/>
          <w:lang w:val="es-ES"/>
        </w:rPr>
        <w:t xml:space="preserve"> </w:t>
      </w:r>
      <w:r w:rsidRPr="00AE1E0D">
        <w:rPr>
          <w:szCs w:val="24"/>
          <w:lang w:val="es-ES"/>
        </w:rPr>
        <w:t>Esto</w:t>
      </w:r>
      <w:r w:rsidR="00D136BB">
        <w:rPr>
          <w:szCs w:val="24"/>
          <w:lang w:val="es-ES"/>
        </w:rPr>
        <w:t xml:space="preserve"> </w:t>
      </w:r>
      <w:r w:rsidRPr="00AE1E0D">
        <w:rPr>
          <w:szCs w:val="24"/>
          <w:lang w:val="es-ES"/>
        </w:rPr>
        <w:t>ha</w:t>
      </w:r>
      <w:r w:rsidR="00D136BB">
        <w:rPr>
          <w:szCs w:val="24"/>
          <w:lang w:val="es-ES"/>
        </w:rPr>
        <w:t xml:space="preserve"> </w:t>
      </w:r>
      <w:r w:rsidRPr="00AE1E0D">
        <w:rPr>
          <w:szCs w:val="24"/>
          <w:lang w:val="es-ES"/>
        </w:rPr>
        <w:t>sido</w:t>
      </w:r>
      <w:r w:rsidR="00D136BB">
        <w:rPr>
          <w:szCs w:val="24"/>
          <w:lang w:val="es-ES"/>
        </w:rPr>
        <w:t xml:space="preserve"> </w:t>
      </w:r>
      <w:r w:rsidRPr="00AE1E0D">
        <w:rPr>
          <w:szCs w:val="24"/>
          <w:lang w:val="es-ES"/>
        </w:rPr>
        <w:t>producto</w:t>
      </w:r>
      <w:r w:rsidR="00D136BB">
        <w:rPr>
          <w:szCs w:val="24"/>
          <w:lang w:val="es-ES"/>
        </w:rPr>
        <w:t xml:space="preserve"> </w:t>
      </w:r>
      <w:r w:rsidRPr="00AE1E0D">
        <w:rPr>
          <w:szCs w:val="24"/>
          <w:lang w:val="es-ES"/>
        </w:rPr>
        <w:t>del</w:t>
      </w:r>
      <w:r w:rsidR="00D136BB">
        <w:rPr>
          <w:szCs w:val="24"/>
          <w:lang w:val="es-ES"/>
        </w:rPr>
        <w:t xml:space="preserve"> </w:t>
      </w:r>
      <w:r w:rsidRPr="00AE1E0D">
        <w:rPr>
          <w:szCs w:val="24"/>
          <w:lang w:val="es-ES"/>
        </w:rPr>
        <w:t>esfuerzo</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la</w:t>
      </w:r>
      <w:r w:rsidR="00D136BB">
        <w:rPr>
          <w:szCs w:val="24"/>
          <w:lang w:val="es-ES"/>
        </w:rPr>
        <w:t xml:space="preserve"> </w:t>
      </w:r>
      <w:r w:rsidRPr="00AE1E0D">
        <w:rPr>
          <w:szCs w:val="24"/>
          <w:lang w:val="es-ES"/>
        </w:rPr>
        <w:t>cooperación</w:t>
      </w:r>
      <w:r w:rsidR="00D136BB">
        <w:rPr>
          <w:szCs w:val="24"/>
          <w:lang w:val="es-ES"/>
        </w:rPr>
        <w:t xml:space="preserve"> </w:t>
      </w:r>
      <w:r w:rsidRPr="00AE1E0D">
        <w:rPr>
          <w:szCs w:val="24"/>
          <w:lang w:val="es-ES"/>
        </w:rPr>
        <w:t>técnica</w:t>
      </w:r>
      <w:r w:rsidR="00D136BB">
        <w:rPr>
          <w:szCs w:val="24"/>
          <w:lang w:val="es-ES"/>
        </w:rPr>
        <w:t xml:space="preserve"> </w:t>
      </w:r>
      <w:r w:rsidRPr="00AE1E0D">
        <w:rPr>
          <w:szCs w:val="24"/>
          <w:lang w:val="es-ES"/>
        </w:rPr>
        <w:t>entre</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OIEA</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sus</w:t>
      </w:r>
      <w:r w:rsidR="00D136BB">
        <w:rPr>
          <w:szCs w:val="24"/>
          <w:lang w:val="es-ES"/>
        </w:rPr>
        <w:t xml:space="preserve"> </w:t>
      </w:r>
      <w:r w:rsidRPr="00AE1E0D">
        <w:rPr>
          <w:szCs w:val="24"/>
          <w:lang w:val="es-ES"/>
        </w:rPr>
        <w:t>Estados</w:t>
      </w:r>
      <w:r w:rsidR="00D136BB">
        <w:rPr>
          <w:szCs w:val="24"/>
          <w:lang w:val="es-ES"/>
        </w:rPr>
        <w:t xml:space="preserve"> </w:t>
      </w:r>
      <w:r w:rsidRPr="00AE1E0D">
        <w:rPr>
          <w:szCs w:val="24"/>
          <w:lang w:val="es-ES"/>
        </w:rPr>
        <w:t>Miembros.</w:t>
      </w:r>
      <w:r w:rsidR="00D136BB">
        <w:rPr>
          <w:szCs w:val="24"/>
          <w:lang w:val="es-ES"/>
        </w:rPr>
        <w:t xml:space="preserve"> </w:t>
      </w:r>
      <w:r w:rsidRPr="00AE1E0D">
        <w:rPr>
          <w:szCs w:val="24"/>
          <w:lang w:val="es-ES"/>
        </w:rPr>
        <w:t>No</w:t>
      </w:r>
      <w:r w:rsidR="00D136BB">
        <w:rPr>
          <w:szCs w:val="24"/>
          <w:lang w:val="es-ES"/>
        </w:rPr>
        <w:t xml:space="preserve"> </w:t>
      </w:r>
      <w:r w:rsidRPr="00AE1E0D">
        <w:rPr>
          <w:szCs w:val="24"/>
          <w:lang w:val="es-ES"/>
        </w:rPr>
        <w:t>obstante,</w:t>
      </w:r>
      <w:r w:rsidR="00D136BB">
        <w:rPr>
          <w:szCs w:val="24"/>
          <w:lang w:val="es-ES"/>
        </w:rPr>
        <w:t xml:space="preserve"> </w:t>
      </w:r>
      <w:r w:rsidRPr="00AE1E0D">
        <w:rPr>
          <w:szCs w:val="24"/>
          <w:lang w:val="es-ES"/>
        </w:rPr>
        <w:t>se</w:t>
      </w:r>
      <w:r w:rsidR="00D136BB">
        <w:rPr>
          <w:szCs w:val="24"/>
          <w:lang w:val="es-ES"/>
        </w:rPr>
        <w:t xml:space="preserve"> </w:t>
      </w:r>
      <w:r w:rsidRPr="00AE1E0D">
        <w:rPr>
          <w:szCs w:val="24"/>
          <w:lang w:val="es-ES"/>
        </w:rPr>
        <w:t>requiere</w:t>
      </w:r>
      <w:r w:rsidR="00D136BB">
        <w:rPr>
          <w:szCs w:val="24"/>
          <w:lang w:val="es-ES"/>
        </w:rPr>
        <w:t xml:space="preserve"> </w:t>
      </w:r>
      <w:r w:rsidRPr="00AE1E0D">
        <w:rPr>
          <w:szCs w:val="24"/>
          <w:lang w:val="es-ES"/>
        </w:rPr>
        <w:t>un</w:t>
      </w:r>
      <w:r w:rsidR="00D136BB">
        <w:rPr>
          <w:szCs w:val="24"/>
          <w:lang w:val="es-ES"/>
        </w:rPr>
        <w:t xml:space="preserve"> </w:t>
      </w:r>
      <w:r w:rsidRPr="00AE1E0D">
        <w:rPr>
          <w:szCs w:val="24"/>
          <w:lang w:val="es-ES"/>
        </w:rPr>
        <w:t>esfuerzo</w:t>
      </w:r>
      <w:r w:rsidR="00D136BB">
        <w:rPr>
          <w:szCs w:val="24"/>
          <w:lang w:val="es-ES"/>
        </w:rPr>
        <w:t xml:space="preserve"> </w:t>
      </w:r>
      <w:r w:rsidRPr="00AE1E0D">
        <w:rPr>
          <w:szCs w:val="24"/>
          <w:lang w:val="es-ES"/>
        </w:rPr>
        <w:t>decisivo</w:t>
      </w:r>
      <w:r w:rsidR="00D136BB">
        <w:rPr>
          <w:szCs w:val="24"/>
          <w:lang w:val="es-ES"/>
        </w:rPr>
        <w:t xml:space="preserve"> </w:t>
      </w:r>
      <w:r w:rsidRPr="00AE1E0D">
        <w:rPr>
          <w:szCs w:val="24"/>
          <w:lang w:val="es-ES"/>
        </w:rPr>
        <w:t>por</w:t>
      </w:r>
      <w:r w:rsidR="00D136BB">
        <w:rPr>
          <w:szCs w:val="24"/>
          <w:lang w:val="es-ES"/>
        </w:rPr>
        <w:t xml:space="preserve"> </w:t>
      </w:r>
      <w:r w:rsidRPr="00AE1E0D">
        <w:rPr>
          <w:szCs w:val="24"/>
          <w:lang w:val="es-ES"/>
        </w:rPr>
        <w:t>todas</w:t>
      </w:r>
      <w:r w:rsidR="00D136BB">
        <w:rPr>
          <w:szCs w:val="24"/>
          <w:lang w:val="es-ES"/>
        </w:rPr>
        <w:t xml:space="preserve"> </w:t>
      </w:r>
      <w:r w:rsidRPr="00AE1E0D">
        <w:rPr>
          <w:szCs w:val="24"/>
          <w:lang w:val="es-ES"/>
        </w:rPr>
        <w:t>las</w:t>
      </w:r>
      <w:r w:rsidR="00D136BB">
        <w:rPr>
          <w:szCs w:val="24"/>
          <w:lang w:val="es-ES"/>
        </w:rPr>
        <w:t xml:space="preserve"> </w:t>
      </w:r>
      <w:r w:rsidRPr="00AE1E0D">
        <w:rPr>
          <w:szCs w:val="24"/>
          <w:lang w:val="es-ES"/>
        </w:rPr>
        <w:t>partes</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consolidar</w:t>
      </w:r>
      <w:r w:rsidR="00D136BB">
        <w:rPr>
          <w:szCs w:val="24"/>
          <w:lang w:val="es-ES"/>
        </w:rPr>
        <w:t xml:space="preserve"> </w:t>
      </w:r>
      <w:r w:rsidRPr="00AE1E0D">
        <w:rPr>
          <w:szCs w:val="24"/>
          <w:lang w:val="es-ES"/>
        </w:rPr>
        <w:t>a</w:t>
      </w:r>
      <w:r w:rsidR="00D136BB">
        <w:rPr>
          <w:szCs w:val="24"/>
          <w:lang w:val="es-ES"/>
        </w:rPr>
        <w:t xml:space="preserve"> </w:t>
      </w:r>
      <w:r w:rsidRPr="00AE1E0D">
        <w:rPr>
          <w:szCs w:val="24"/>
          <w:lang w:val="es-ES"/>
        </w:rPr>
        <w:t>nivel</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buenas</w:t>
      </w:r>
      <w:r w:rsidR="00D136BB">
        <w:rPr>
          <w:szCs w:val="24"/>
          <w:lang w:val="es-ES"/>
        </w:rPr>
        <w:t xml:space="preserve"> </w:t>
      </w:r>
      <w:r w:rsidRPr="00AE1E0D">
        <w:rPr>
          <w:szCs w:val="24"/>
          <w:lang w:val="es-ES"/>
        </w:rPr>
        <w:t>prácticas</w:t>
      </w:r>
      <w:r w:rsidR="00D136BB">
        <w:rPr>
          <w:szCs w:val="24"/>
          <w:lang w:val="es-ES"/>
        </w:rPr>
        <w:t xml:space="preserve"> </w:t>
      </w:r>
      <w:r w:rsidRPr="00AE1E0D">
        <w:rPr>
          <w:szCs w:val="24"/>
          <w:lang w:val="es-ES"/>
        </w:rPr>
        <w:t>internacionales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logros</w:t>
      </w:r>
      <w:r w:rsidR="00D136BB">
        <w:rPr>
          <w:szCs w:val="24"/>
          <w:lang w:val="es-ES"/>
        </w:rPr>
        <w:t xml:space="preserve"> </w:t>
      </w:r>
      <w:r w:rsidRPr="00AE1E0D">
        <w:rPr>
          <w:szCs w:val="24"/>
          <w:lang w:val="es-ES"/>
        </w:rPr>
        <w:t>obtenidos.</w:t>
      </w:r>
      <w:r w:rsidR="00D136BB">
        <w:rPr>
          <w:szCs w:val="24"/>
          <w:lang w:val="es-ES"/>
        </w:rPr>
        <w:t xml:space="preserve"> </w:t>
      </w:r>
    </w:p>
    <w:p w14:paraId="29961192" w14:textId="56A5481D" w:rsidR="005D0292" w:rsidRPr="00AE1E0D" w:rsidRDefault="005D0292" w:rsidP="005D0292">
      <w:pPr>
        <w:pStyle w:val="BodyText"/>
        <w:rPr>
          <w:szCs w:val="24"/>
          <w:lang w:val="es-ES"/>
        </w:rPr>
      </w:pPr>
      <w:r w:rsidRPr="00AE1E0D">
        <w:rPr>
          <w:szCs w:val="24"/>
          <w:lang w:val="es-ES"/>
        </w:rPr>
        <w:t>Hay</w:t>
      </w:r>
      <w:r w:rsidR="00D136BB">
        <w:rPr>
          <w:szCs w:val="24"/>
          <w:lang w:val="es-ES"/>
        </w:rPr>
        <w:t xml:space="preserve"> </w:t>
      </w:r>
      <w:r w:rsidRPr="00AE1E0D">
        <w:rPr>
          <w:szCs w:val="24"/>
          <w:lang w:val="es-ES"/>
        </w:rPr>
        <w:t>que</w:t>
      </w:r>
      <w:r w:rsidR="00D136BB">
        <w:rPr>
          <w:szCs w:val="24"/>
          <w:lang w:val="es-ES"/>
        </w:rPr>
        <w:t xml:space="preserve"> </w:t>
      </w:r>
      <w:r w:rsidRPr="00AE1E0D">
        <w:rPr>
          <w:szCs w:val="24"/>
          <w:lang w:val="es-ES"/>
        </w:rPr>
        <w:t>señalar</w:t>
      </w:r>
      <w:r w:rsidR="00D136BB">
        <w:rPr>
          <w:szCs w:val="24"/>
          <w:lang w:val="es-ES"/>
        </w:rPr>
        <w:t xml:space="preserve"> </w:t>
      </w:r>
      <w:r w:rsidRPr="00AE1E0D">
        <w:rPr>
          <w:szCs w:val="24"/>
          <w:lang w:val="es-ES"/>
        </w:rPr>
        <w:t>también</w:t>
      </w:r>
      <w:r w:rsidR="00D136BB">
        <w:rPr>
          <w:szCs w:val="24"/>
          <w:lang w:val="es-ES"/>
        </w:rPr>
        <w:t xml:space="preserve"> </w:t>
      </w:r>
      <w:r w:rsidRPr="00AE1E0D">
        <w:rPr>
          <w:szCs w:val="24"/>
          <w:lang w:val="es-ES"/>
        </w:rPr>
        <w:t>que</w:t>
      </w:r>
      <w:r w:rsidR="00D136BB">
        <w:rPr>
          <w:szCs w:val="24"/>
          <w:lang w:val="es-ES"/>
        </w:rPr>
        <w:t xml:space="preserve"> </w:t>
      </w:r>
      <w:r w:rsidR="00FC07E5">
        <w:rPr>
          <w:szCs w:val="24"/>
          <w:lang w:val="es-ES"/>
        </w:rPr>
        <w:t>las</w:t>
      </w:r>
      <w:r w:rsidR="00D136BB">
        <w:rPr>
          <w:szCs w:val="24"/>
          <w:lang w:val="es-ES"/>
        </w:rPr>
        <w:t xml:space="preserve"> </w:t>
      </w:r>
      <w:r w:rsidRPr="00AE1E0D">
        <w:rPr>
          <w:szCs w:val="24"/>
          <w:lang w:val="es-ES"/>
        </w:rPr>
        <w:t>nuev</w:t>
      </w:r>
      <w:r w:rsidR="00FC07E5">
        <w:rPr>
          <w:szCs w:val="24"/>
          <w:lang w:val="es-ES"/>
        </w:rPr>
        <w:t>a</w:t>
      </w:r>
      <w:r w:rsidRPr="00AE1E0D">
        <w:rPr>
          <w:szCs w:val="24"/>
          <w:lang w:val="es-ES"/>
        </w:rPr>
        <w:t>s</w:t>
      </w:r>
      <w:r w:rsidR="00D136BB">
        <w:rPr>
          <w:szCs w:val="24"/>
          <w:lang w:val="es-ES"/>
        </w:rPr>
        <w:t xml:space="preserve"> </w:t>
      </w:r>
      <w:r w:rsidR="00FC07E5">
        <w:rPr>
          <w:szCs w:val="24"/>
          <w:lang w:val="es-ES"/>
        </w:rPr>
        <w:t>normas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del</w:t>
      </w:r>
      <w:r w:rsidR="00D136BB">
        <w:rPr>
          <w:szCs w:val="24"/>
          <w:lang w:val="es-ES"/>
        </w:rPr>
        <w:t xml:space="preserve"> </w:t>
      </w:r>
      <w:r w:rsidRPr="00AE1E0D">
        <w:rPr>
          <w:szCs w:val="24"/>
          <w:lang w:val="es-ES"/>
        </w:rPr>
        <w:t>OIEA</w:t>
      </w:r>
      <w:r w:rsidR="00D136BB">
        <w:rPr>
          <w:szCs w:val="24"/>
          <w:lang w:val="es-ES"/>
        </w:rPr>
        <w:t xml:space="preserve"> </w:t>
      </w:r>
      <w:r w:rsidRPr="00AE1E0D">
        <w:rPr>
          <w:szCs w:val="24"/>
          <w:lang w:val="es-ES"/>
        </w:rPr>
        <w:t>(GSR</w:t>
      </w:r>
      <w:r w:rsidR="00D136BB">
        <w:rPr>
          <w:szCs w:val="24"/>
          <w:lang w:val="es-ES"/>
        </w:rPr>
        <w:t xml:space="preserve"> </w:t>
      </w:r>
      <w:r w:rsidRPr="00AE1E0D">
        <w:rPr>
          <w:szCs w:val="24"/>
          <w:lang w:val="es-ES"/>
        </w:rPr>
        <w:t>Parte</w:t>
      </w:r>
      <w:r w:rsidR="00D136BB">
        <w:rPr>
          <w:szCs w:val="24"/>
          <w:lang w:val="es-ES"/>
        </w:rPr>
        <w:t xml:space="preserve"> </w:t>
      </w:r>
      <w:r w:rsidRPr="00AE1E0D">
        <w:rPr>
          <w:szCs w:val="24"/>
          <w:lang w:val="es-ES"/>
        </w:rPr>
        <w:t>1</w:t>
      </w:r>
      <w:r w:rsidR="00D136BB">
        <w:rPr>
          <w:szCs w:val="24"/>
          <w:lang w:val="es-ES"/>
        </w:rPr>
        <w:t xml:space="preserve"> </w:t>
      </w:r>
      <w:r w:rsidRPr="00AE1E0D">
        <w:rPr>
          <w:szCs w:val="24"/>
          <w:lang w:val="es-ES"/>
        </w:rPr>
        <w:t>Rev.</w:t>
      </w:r>
      <w:r w:rsidR="00D136BB">
        <w:rPr>
          <w:szCs w:val="24"/>
          <w:lang w:val="es-ES"/>
        </w:rPr>
        <w:t xml:space="preserve"> </w:t>
      </w:r>
      <w:r w:rsidRPr="00AE1E0D">
        <w:rPr>
          <w:szCs w:val="24"/>
          <w:lang w:val="es-ES"/>
        </w:rPr>
        <w:t>1,</w:t>
      </w:r>
      <w:r w:rsidR="00D136BB">
        <w:rPr>
          <w:szCs w:val="24"/>
          <w:lang w:val="es-ES"/>
        </w:rPr>
        <w:t xml:space="preserve"> </w:t>
      </w:r>
      <w:r w:rsidRPr="00AE1E0D">
        <w:rPr>
          <w:szCs w:val="24"/>
          <w:lang w:val="es-ES"/>
        </w:rPr>
        <w:t>GSR</w:t>
      </w:r>
      <w:r w:rsidR="00D136BB">
        <w:rPr>
          <w:szCs w:val="24"/>
          <w:lang w:val="es-ES"/>
        </w:rPr>
        <w:t xml:space="preserve"> </w:t>
      </w:r>
      <w:r w:rsidRPr="00AE1E0D">
        <w:rPr>
          <w:szCs w:val="24"/>
          <w:lang w:val="es-ES"/>
        </w:rPr>
        <w:t>Parte</w:t>
      </w:r>
      <w:r w:rsidR="00D136BB">
        <w:rPr>
          <w:szCs w:val="24"/>
          <w:lang w:val="es-ES"/>
        </w:rPr>
        <w:t xml:space="preserve"> </w:t>
      </w:r>
      <w:r w:rsidRPr="00AE1E0D">
        <w:rPr>
          <w:szCs w:val="24"/>
          <w:lang w:val="es-ES"/>
        </w:rPr>
        <w:t>2,</w:t>
      </w:r>
      <w:r w:rsidR="00D136BB">
        <w:rPr>
          <w:szCs w:val="24"/>
          <w:lang w:val="es-ES"/>
        </w:rPr>
        <w:t xml:space="preserve"> </w:t>
      </w:r>
      <w:r w:rsidRPr="00AE1E0D">
        <w:rPr>
          <w:szCs w:val="24"/>
          <w:lang w:val="es-ES"/>
        </w:rPr>
        <w:t>GSR</w:t>
      </w:r>
      <w:r w:rsidR="00D136BB">
        <w:rPr>
          <w:szCs w:val="24"/>
          <w:lang w:val="es-ES"/>
        </w:rPr>
        <w:t xml:space="preserve"> </w:t>
      </w:r>
      <w:r w:rsidRPr="00AE1E0D">
        <w:rPr>
          <w:szCs w:val="24"/>
          <w:lang w:val="es-ES"/>
        </w:rPr>
        <w:t>Parte</w:t>
      </w:r>
      <w:r w:rsidR="00D136BB">
        <w:rPr>
          <w:szCs w:val="24"/>
          <w:lang w:val="es-ES"/>
        </w:rPr>
        <w:t xml:space="preserve"> </w:t>
      </w:r>
      <w:r w:rsidRPr="00AE1E0D">
        <w:rPr>
          <w:szCs w:val="24"/>
          <w:lang w:val="es-ES"/>
        </w:rPr>
        <w:t>3,</w:t>
      </w:r>
      <w:r w:rsidR="00D136BB">
        <w:rPr>
          <w:szCs w:val="24"/>
          <w:lang w:val="es-ES"/>
        </w:rPr>
        <w:t xml:space="preserve"> </w:t>
      </w:r>
      <w:r w:rsidRPr="00AE1E0D">
        <w:rPr>
          <w:szCs w:val="24"/>
          <w:lang w:val="es-ES"/>
        </w:rPr>
        <w:t>GSR</w:t>
      </w:r>
      <w:r w:rsidR="00D136BB">
        <w:rPr>
          <w:szCs w:val="24"/>
          <w:lang w:val="es-ES"/>
        </w:rPr>
        <w:t xml:space="preserve"> </w:t>
      </w:r>
      <w:r w:rsidRPr="00AE1E0D">
        <w:rPr>
          <w:szCs w:val="24"/>
          <w:lang w:val="es-ES"/>
        </w:rPr>
        <w:t>Parte</w:t>
      </w:r>
      <w:r w:rsidR="00D136BB">
        <w:rPr>
          <w:szCs w:val="24"/>
          <w:lang w:val="es-ES"/>
        </w:rPr>
        <w:t xml:space="preserve"> </w:t>
      </w:r>
      <w:r w:rsidRPr="00AE1E0D">
        <w:rPr>
          <w:szCs w:val="24"/>
          <w:lang w:val="es-ES"/>
        </w:rPr>
        <w:t>4</w:t>
      </w:r>
      <w:r w:rsidR="00D136BB">
        <w:rPr>
          <w:szCs w:val="24"/>
          <w:lang w:val="es-ES"/>
        </w:rPr>
        <w:t xml:space="preserve"> </w:t>
      </w:r>
      <w:r w:rsidRPr="00AE1E0D">
        <w:rPr>
          <w:szCs w:val="24"/>
          <w:lang w:val="es-ES"/>
        </w:rPr>
        <w:t>Rev.</w:t>
      </w:r>
      <w:r w:rsidR="00D136BB">
        <w:rPr>
          <w:szCs w:val="24"/>
          <w:lang w:val="es-ES"/>
        </w:rPr>
        <w:t xml:space="preserve"> </w:t>
      </w:r>
      <w:r w:rsidRPr="00AE1E0D">
        <w:rPr>
          <w:szCs w:val="24"/>
          <w:lang w:val="es-ES"/>
        </w:rPr>
        <w:t>1,</w:t>
      </w:r>
      <w:r w:rsidR="00D136BB">
        <w:rPr>
          <w:szCs w:val="24"/>
          <w:lang w:val="es-ES"/>
        </w:rPr>
        <w:t xml:space="preserve"> </w:t>
      </w:r>
      <w:r w:rsidRPr="00AE1E0D">
        <w:rPr>
          <w:szCs w:val="24"/>
          <w:lang w:val="es-ES"/>
        </w:rPr>
        <w:t>GSR</w:t>
      </w:r>
      <w:r w:rsidR="00D136BB">
        <w:rPr>
          <w:szCs w:val="24"/>
          <w:lang w:val="es-ES"/>
        </w:rPr>
        <w:t xml:space="preserve"> </w:t>
      </w:r>
      <w:r w:rsidRPr="00AE1E0D">
        <w:rPr>
          <w:szCs w:val="24"/>
          <w:lang w:val="es-ES"/>
        </w:rPr>
        <w:t>Parte</w:t>
      </w:r>
      <w:r w:rsidR="00D136BB">
        <w:rPr>
          <w:szCs w:val="24"/>
          <w:lang w:val="es-ES"/>
        </w:rPr>
        <w:t xml:space="preserve"> </w:t>
      </w:r>
      <w:r w:rsidRPr="00AE1E0D">
        <w:rPr>
          <w:szCs w:val="24"/>
          <w:lang w:val="es-ES"/>
        </w:rPr>
        <w:t>6,</w:t>
      </w:r>
      <w:r w:rsidR="00D136BB">
        <w:rPr>
          <w:szCs w:val="24"/>
          <w:lang w:val="es-ES"/>
        </w:rPr>
        <w:t xml:space="preserve"> </w:t>
      </w:r>
      <w:r w:rsidRPr="00AE1E0D">
        <w:rPr>
          <w:szCs w:val="24"/>
          <w:lang w:val="es-ES"/>
        </w:rPr>
        <w:t>GSR</w:t>
      </w:r>
      <w:r w:rsidR="00D136BB">
        <w:rPr>
          <w:szCs w:val="24"/>
          <w:lang w:val="es-ES"/>
        </w:rPr>
        <w:t xml:space="preserve"> </w:t>
      </w:r>
      <w:r w:rsidRPr="00AE1E0D">
        <w:rPr>
          <w:szCs w:val="24"/>
          <w:lang w:val="es-ES"/>
        </w:rPr>
        <w:t>Parte</w:t>
      </w:r>
      <w:r w:rsidR="00D136BB">
        <w:rPr>
          <w:szCs w:val="24"/>
          <w:lang w:val="es-ES"/>
        </w:rPr>
        <w:t xml:space="preserve"> </w:t>
      </w:r>
      <w:r w:rsidRPr="00AE1E0D">
        <w:rPr>
          <w:szCs w:val="24"/>
          <w:lang w:val="es-ES"/>
        </w:rPr>
        <w:t>7)</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su</w:t>
      </w:r>
      <w:r w:rsidR="00D136BB">
        <w:rPr>
          <w:szCs w:val="24"/>
          <w:lang w:val="es-ES"/>
        </w:rPr>
        <w:t xml:space="preserve"> </w:t>
      </w:r>
      <w:r w:rsidRPr="00AE1E0D">
        <w:rPr>
          <w:szCs w:val="24"/>
          <w:lang w:val="es-ES"/>
        </w:rPr>
        <w:t>nueva</w:t>
      </w:r>
      <w:r w:rsidR="00D136BB">
        <w:rPr>
          <w:szCs w:val="24"/>
          <w:lang w:val="es-ES"/>
        </w:rPr>
        <w:t xml:space="preserve"> </w:t>
      </w:r>
      <w:r w:rsidRPr="00AE1E0D">
        <w:rPr>
          <w:szCs w:val="24"/>
          <w:lang w:val="es-ES"/>
        </w:rPr>
        <w:t>estructura</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contenido</w:t>
      </w:r>
      <w:r w:rsidR="00D136BB">
        <w:rPr>
          <w:szCs w:val="24"/>
          <w:lang w:val="es-ES"/>
        </w:rPr>
        <w:t xml:space="preserve"> </w:t>
      </w:r>
      <w:r w:rsidRPr="00AE1E0D">
        <w:rPr>
          <w:szCs w:val="24"/>
          <w:lang w:val="es-ES"/>
        </w:rPr>
        <w:t>reflejan</w:t>
      </w:r>
      <w:r w:rsidR="00D136BB">
        <w:rPr>
          <w:szCs w:val="24"/>
          <w:lang w:val="es-ES"/>
        </w:rPr>
        <w:t xml:space="preserve"> </w:t>
      </w:r>
      <w:r w:rsidRPr="00AE1E0D">
        <w:rPr>
          <w:szCs w:val="24"/>
          <w:lang w:val="es-ES"/>
        </w:rPr>
        <w:t>claramente</w:t>
      </w:r>
      <w:r w:rsidR="00D136BB">
        <w:rPr>
          <w:szCs w:val="24"/>
          <w:lang w:val="es-ES"/>
        </w:rPr>
        <w:t xml:space="preserve"> </w:t>
      </w:r>
      <w:r w:rsidRPr="00AE1E0D">
        <w:rPr>
          <w:szCs w:val="24"/>
          <w:lang w:val="es-ES"/>
        </w:rPr>
        <w:t>las</w:t>
      </w:r>
      <w:r w:rsidR="00D136BB">
        <w:rPr>
          <w:szCs w:val="24"/>
          <w:lang w:val="es-ES"/>
        </w:rPr>
        <w:t xml:space="preserve"> </w:t>
      </w:r>
      <w:r w:rsidRPr="00AE1E0D">
        <w:rPr>
          <w:szCs w:val="24"/>
          <w:lang w:val="es-ES"/>
        </w:rPr>
        <w:t>responsabilidades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Gobiernos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órganos</w:t>
      </w:r>
      <w:r w:rsidR="00D136BB">
        <w:rPr>
          <w:szCs w:val="24"/>
          <w:lang w:val="es-ES"/>
        </w:rPr>
        <w:t xml:space="preserve"> </w:t>
      </w:r>
      <w:r w:rsidRPr="00AE1E0D">
        <w:rPr>
          <w:szCs w:val="24"/>
          <w:lang w:val="es-ES"/>
        </w:rPr>
        <w:t>reguladores</w:t>
      </w:r>
      <w:r w:rsidR="00D136BB">
        <w:rPr>
          <w:szCs w:val="24"/>
          <w:lang w:val="es-ES"/>
        </w:rPr>
        <w:t xml:space="preserve"> </w:t>
      </w:r>
      <w:r w:rsidRPr="00AE1E0D">
        <w:rPr>
          <w:szCs w:val="24"/>
          <w:lang w:val="es-ES"/>
        </w:rPr>
        <w:t>con</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desarrollo</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aplicación</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sistemas</w:t>
      </w:r>
      <w:r w:rsidR="00D136BB">
        <w:rPr>
          <w:szCs w:val="24"/>
          <w:lang w:val="es-ES"/>
        </w:rPr>
        <w:t xml:space="preserve"> </w:t>
      </w:r>
      <w:r w:rsidRPr="00AE1E0D">
        <w:rPr>
          <w:szCs w:val="24"/>
          <w:lang w:val="es-ES"/>
        </w:rPr>
        <w:t>e</w:t>
      </w:r>
      <w:r w:rsidR="00D136BB">
        <w:rPr>
          <w:szCs w:val="24"/>
          <w:lang w:val="es-ES"/>
        </w:rPr>
        <w:t xml:space="preserve"> </w:t>
      </w:r>
      <w:r w:rsidRPr="00AE1E0D">
        <w:rPr>
          <w:szCs w:val="24"/>
          <w:lang w:val="es-ES"/>
        </w:rPr>
        <w:t>infraestructuras</w:t>
      </w:r>
      <w:r w:rsidR="00D136BB">
        <w:rPr>
          <w:szCs w:val="24"/>
          <w:lang w:val="es-ES"/>
        </w:rPr>
        <w:t xml:space="preserve"> </w:t>
      </w:r>
      <w:r w:rsidRPr="00AE1E0D">
        <w:rPr>
          <w:szCs w:val="24"/>
          <w:lang w:val="es-ES"/>
        </w:rPr>
        <w:t>regulatorias.</w:t>
      </w:r>
      <w:r w:rsidR="00D136BB">
        <w:rPr>
          <w:szCs w:val="24"/>
          <w:lang w:val="es-ES"/>
        </w:rPr>
        <w:t xml:space="preserve"> </w:t>
      </w:r>
      <w:r w:rsidRPr="00AE1E0D">
        <w:rPr>
          <w:szCs w:val="24"/>
          <w:lang w:val="es-ES"/>
        </w:rPr>
        <w:t>Por</w:t>
      </w:r>
      <w:r w:rsidR="00D136BB">
        <w:rPr>
          <w:szCs w:val="24"/>
          <w:lang w:val="es-ES"/>
        </w:rPr>
        <w:t xml:space="preserve"> </w:t>
      </w:r>
      <w:r w:rsidRPr="00AE1E0D">
        <w:rPr>
          <w:szCs w:val="24"/>
          <w:lang w:val="es-ES"/>
        </w:rPr>
        <w:t>lo</w:t>
      </w:r>
      <w:r w:rsidR="00D136BB">
        <w:rPr>
          <w:szCs w:val="24"/>
          <w:lang w:val="es-ES"/>
        </w:rPr>
        <w:t xml:space="preserve"> </w:t>
      </w:r>
      <w:r w:rsidRPr="00AE1E0D">
        <w:rPr>
          <w:szCs w:val="24"/>
          <w:lang w:val="es-ES"/>
        </w:rPr>
        <w:t>que</w:t>
      </w:r>
      <w:r w:rsidR="00D136BB">
        <w:rPr>
          <w:szCs w:val="24"/>
          <w:lang w:val="es-ES"/>
        </w:rPr>
        <w:t xml:space="preserve"> </w:t>
      </w:r>
      <w:r w:rsidRPr="00AE1E0D">
        <w:rPr>
          <w:szCs w:val="24"/>
          <w:lang w:val="es-ES"/>
        </w:rPr>
        <w:t>también</w:t>
      </w:r>
      <w:r w:rsidR="00D136BB">
        <w:rPr>
          <w:szCs w:val="24"/>
          <w:lang w:val="es-ES"/>
        </w:rPr>
        <w:t xml:space="preserve"> </w:t>
      </w:r>
      <w:r w:rsidRPr="00AE1E0D">
        <w:rPr>
          <w:szCs w:val="24"/>
          <w:lang w:val="es-ES"/>
        </w:rPr>
        <w:t>debe</w:t>
      </w:r>
      <w:r w:rsidR="00D136BB">
        <w:rPr>
          <w:szCs w:val="24"/>
          <w:lang w:val="es-ES"/>
        </w:rPr>
        <w:t xml:space="preserve"> </w:t>
      </w:r>
      <w:r w:rsidRPr="00AE1E0D">
        <w:rPr>
          <w:szCs w:val="24"/>
          <w:lang w:val="es-ES"/>
        </w:rPr>
        <w:t>corresponder</w:t>
      </w:r>
      <w:r w:rsidR="00D136BB">
        <w:rPr>
          <w:szCs w:val="24"/>
          <w:lang w:val="es-ES"/>
        </w:rPr>
        <w:t xml:space="preserve"> </w:t>
      </w:r>
      <w:r w:rsidRPr="00AE1E0D">
        <w:rPr>
          <w:szCs w:val="24"/>
          <w:lang w:val="es-ES"/>
        </w:rPr>
        <w:t>al</w:t>
      </w:r>
      <w:r w:rsidR="00D136BB">
        <w:rPr>
          <w:szCs w:val="24"/>
          <w:lang w:val="es-ES"/>
        </w:rPr>
        <w:t xml:space="preserve"> </w:t>
      </w:r>
      <w:r w:rsidRPr="00AE1E0D">
        <w:rPr>
          <w:szCs w:val="24"/>
          <w:lang w:val="es-ES"/>
        </w:rPr>
        <w:t>OIEA</w:t>
      </w:r>
      <w:r w:rsidR="00D136BB">
        <w:rPr>
          <w:szCs w:val="24"/>
          <w:lang w:val="es-ES"/>
        </w:rPr>
        <w:t xml:space="preserve"> </w:t>
      </w:r>
      <w:r w:rsidRPr="00AE1E0D">
        <w:rPr>
          <w:szCs w:val="24"/>
          <w:lang w:val="es-ES"/>
        </w:rPr>
        <w:t>motivar</w:t>
      </w:r>
      <w:r w:rsidR="00D136BB">
        <w:rPr>
          <w:szCs w:val="24"/>
          <w:lang w:val="es-ES"/>
        </w:rPr>
        <w:t xml:space="preserve"> </w:t>
      </w:r>
      <w:r w:rsidRPr="00AE1E0D">
        <w:rPr>
          <w:szCs w:val="24"/>
          <w:lang w:val="es-ES"/>
        </w:rPr>
        <w:t>a</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Gobiernos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Estados</w:t>
      </w:r>
      <w:r w:rsidR="00D136BB">
        <w:rPr>
          <w:szCs w:val="24"/>
          <w:lang w:val="es-ES"/>
        </w:rPr>
        <w:t xml:space="preserve"> </w:t>
      </w:r>
      <w:r w:rsidRPr="00AE1E0D">
        <w:rPr>
          <w:szCs w:val="24"/>
          <w:lang w:val="es-ES"/>
        </w:rPr>
        <w:t>Miembros</w:t>
      </w:r>
      <w:r w:rsidR="00D136BB">
        <w:rPr>
          <w:szCs w:val="24"/>
          <w:lang w:val="es-ES"/>
        </w:rPr>
        <w:t xml:space="preserve"> </w:t>
      </w:r>
      <w:r w:rsidRPr="00AE1E0D">
        <w:rPr>
          <w:szCs w:val="24"/>
          <w:lang w:val="es-ES"/>
        </w:rPr>
        <w:t>a</w:t>
      </w:r>
      <w:r w:rsidR="00D136BB">
        <w:rPr>
          <w:szCs w:val="24"/>
          <w:lang w:val="es-ES"/>
        </w:rPr>
        <w:t xml:space="preserve"> </w:t>
      </w:r>
      <w:r w:rsidRPr="00AE1E0D">
        <w:rPr>
          <w:szCs w:val="24"/>
          <w:lang w:val="es-ES"/>
        </w:rPr>
        <w:t>que</w:t>
      </w:r>
      <w:r w:rsidR="00D136BB">
        <w:rPr>
          <w:szCs w:val="24"/>
          <w:lang w:val="es-ES"/>
        </w:rPr>
        <w:t xml:space="preserve"> </w:t>
      </w:r>
      <w:r w:rsidRPr="00AE1E0D">
        <w:rPr>
          <w:szCs w:val="24"/>
          <w:lang w:val="es-ES"/>
        </w:rPr>
        <w:t>pongan</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práctica</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requisitos</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identificados</w:t>
      </w:r>
      <w:r w:rsidR="00D136BB">
        <w:rPr>
          <w:szCs w:val="24"/>
          <w:lang w:val="es-ES"/>
        </w:rPr>
        <w:t xml:space="preserve"> </w:t>
      </w:r>
      <w:r w:rsidRPr="00AE1E0D">
        <w:rPr>
          <w:szCs w:val="24"/>
          <w:lang w:val="es-ES"/>
        </w:rPr>
        <w:t>en</w:t>
      </w:r>
      <w:r w:rsidR="00D136BB">
        <w:rPr>
          <w:szCs w:val="24"/>
          <w:lang w:val="es-ES"/>
        </w:rPr>
        <w:t xml:space="preserve"> </w:t>
      </w:r>
      <w:r w:rsidRPr="00AE1E0D">
        <w:rPr>
          <w:szCs w:val="24"/>
          <w:lang w:val="es-ES"/>
        </w:rPr>
        <w:t>los</w:t>
      </w:r>
      <w:r w:rsidR="00D136BB">
        <w:rPr>
          <w:szCs w:val="24"/>
          <w:lang w:val="es-ES"/>
        </w:rPr>
        <w:t xml:space="preserve"> </w:t>
      </w:r>
      <w:r w:rsidRPr="00AE1E0D">
        <w:rPr>
          <w:szCs w:val="24"/>
          <w:lang w:val="es-ES"/>
        </w:rPr>
        <w:t>estándares</w:t>
      </w:r>
      <w:r w:rsidR="00D136BB">
        <w:rPr>
          <w:szCs w:val="24"/>
          <w:lang w:val="es-ES"/>
        </w:rPr>
        <w:t xml:space="preserve"> </w:t>
      </w:r>
      <w:r w:rsidRPr="00AE1E0D">
        <w:rPr>
          <w:szCs w:val="24"/>
          <w:lang w:val="es-ES"/>
        </w:rPr>
        <w:t>del</w:t>
      </w:r>
      <w:r w:rsidR="00D136BB">
        <w:rPr>
          <w:szCs w:val="24"/>
          <w:lang w:val="es-ES"/>
        </w:rPr>
        <w:t xml:space="preserve"> </w:t>
      </w:r>
      <w:r w:rsidRPr="00AE1E0D">
        <w:rPr>
          <w:szCs w:val="24"/>
          <w:lang w:val="es-ES"/>
        </w:rPr>
        <w:t>OIEA,</w:t>
      </w:r>
      <w:r w:rsidR="00D136BB">
        <w:rPr>
          <w:szCs w:val="24"/>
          <w:lang w:val="es-ES"/>
        </w:rPr>
        <w:t xml:space="preserve"> </w:t>
      </w:r>
      <w:r w:rsidRPr="00AE1E0D">
        <w:rPr>
          <w:szCs w:val="24"/>
          <w:lang w:val="es-ES"/>
        </w:rPr>
        <w:t>para</w:t>
      </w:r>
      <w:r w:rsidR="00D136BB">
        <w:rPr>
          <w:szCs w:val="24"/>
          <w:lang w:val="es-ES"/>
        </w:rPr>
        <w:t xml:space="preserve"> </w:t>
      </w:r>
      <w:r w:rsidRPr="00AE1E0D">
        <w:rPr>
          <w:szCs w:val="24"/>
          <w:lang w:val="es-ES"/>
        </w:rPr>
        <w:t>finalmente</w:t>
      </w:r>
      <w:r w:rsidR="00D136BB">
        <w:rPr>
          <w:szCs w:val="24"/>
          <w:lang w:val="es-ES"/>
        </w:rPr>
        <w:t xml:space="preserve"> </w:t>
      </w:r>
      <w:r w:rsidRPr="00AE1E0D">
        <w:rPr>
          <w:szCs w:val="24"/>
          <w:lang w:val="es-ES"/>
        </w:rPr>
        <w:t>lograr</w:t>
      </w:r>
      <w:r w:rsidR="00D136BB">
        <w:rPr>
          <w:szCs w:val="24"/>
          <w:lang w:val="es-ES"/>
        </w:rPr>
        <w:t xml:space="preserve"> </w:t>
      </w:r>
      <w:r w:rsidRPr="00AE1E0D">
        <w:rPr>
          <w:szCs w:val="24"/>
          <w:lang w:val="es-ES"/>
        </w:rPr>
        <w:t>el</w:t>
      </w:r>
      <w:r w:rsidR="00D136BB">
        <w:rPr>
          <w:szCs w:val="24"/>
          <w:lang w:val="es-ES"/>
        </w:rPr>
        <w:t xml:space="preserve"> </w:t>
      </w:r>
      <w:r w:rsidRPr="00AE1E0D">
        <w:rPr>
          <w:szCs w:val="24"/>
          <w:lang w:val="es-ES"/>
        </w:rPr>
        <w:t>establecimiento</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infraestructura</w:t>
      </w:r>
      <w:r w:rsidR="00D136BB">
        <w:rPr>
          <w:szCs w:val="24"/>
          <w:lang w:val="es-ES"/>
        </w:rPr>
        <w:t xml:space="preserve"> </w:t>
      </w:r>
      <w:r w:rsidRPr="00AE1E0D">
        <w:rPr>
          <w:szCs w:val="24"/>
          <w:lang w:val="es-ES"/>
        </w:rPr>
        <w:t>regulatoria</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de</w:t>
      </w:r>
      <w:r w:rsidR="00D136BB">
        <w:rPr>
          <w:szCs w:val="24"/>
          <w:lang w:val="es-ES"/>
        </w:rPr>
        <w:t xml:space="preserve"> </w:t>
      </w:r>
      <w:r w:rsidRPr="00AE1E0D">
        <w:rPr>
          <w:szCs w:val="24"/>
          <w:lang w:val="es-ES"/>
        </w:rPr>
        <w:t>seguridad</w:t>
      </w:r>
      <w:r w:rsidR="00D136BB">
        <w:rPr>
          <w:szCs w:val="24"/>
          <w:lang w:val="es-ES"/>
        </w:rPr>
        <w:t xml:space="preserve"> </w:t>
      </w:r>
      <w:r w:rsidRPr="00AE1E0D">
        <w:rPr>
          <w:szCs w:val="24"/>
          <w:lang w:val="es-ES"/>
        </w:rPr>
        <w:t>radiológica</w:t>
      </w:r>
      <w:r w:rsidR="00D136BB">
        <w:rPr>
          <w:szCs w:val="24"/>
          <w:lang w:val="es-ES"/>
        </w:rPr>
        <w:t xml:space="preserve"> </w:t>
      </w:r>
      <w:r w:rsidRPr="00AE1E0D">
        <w:rPr>
          <w:szCs w:val="24"/>
          <w:lang w:val="es-ES"/>
        </w:rPr>
        <w:t>eficaces</w:t>
      </w:r>
      <w:r w:rsidR="00D136BB">
        <w:rPr>
          <w:szCs w:val="24"/>
          <w:lang w:val="es-ES"/>
        </w:rPr>
        <w:t xml:space="preserve"> </w:t>
      </w:r>
      <w:r w:rsidRPr="00AE1E0D">
        <w:rPr>
          <w:szCs w:val="24"/>
          <w:lang w:val="es-ES"/>
        </w:rPr>
        <w:t>y</w:t>
      </w:r>
      <w:r w:rsidR="00D136BB">
        <w:rPr>
          <w:szCs w:val="24"/>
          <w:lang w:val="es-ES"/>
        </w:rPr>
        <w:t xml:space="preserve"> </w:t>
      </w:r>
      <w:r w:rsidRPr="00AE1E0D">
        <w:rPr>
          <w:szCs w:val="24"/>
          <w:lang w:val="es-ES"/>
        </w:rPr>
        <w:t>sostenibles.</w:t>
      </w:r>
    </w:p>
    <w:p w14:paraId="7D2CC508" w14:textId="0F3EDB7B" w:rsidR="005D0292" w:rsidRPr="00AE1E0D" w:rsidRDefault="005D0292" w:rsidP="005D0292">
      <w:pPr>
        <w:pStyle w:val="ListBullet"/>
        <w:numPr>
          <w:ilvl w:val="0"/>
          <w:numId w:val="0"/>
        </w:numPr>
        <w:rPr>
          <w:rFonts w:cs="Times New Roman"/>
          <w:szCs w:val="24"/>
          <w:lang w:val="es-ES"/>
        </w:rPr>
      </w:pPr>
      <w:r w:rsidRPr="00AE1E0D">
        <w:rPr>
          <w:rFonts w:cs="Times New Roman"/>
          <w:szCs w:val="24"/>
        </w:rPr>
        <w:t>La</w:t>
      </w:r>
      <w:r w:rsidR="00D136BB">
        <w:rPr>
          <w:rFonts w:cs="Times New Roman"/>
          <w:szCs w:val="24"/>
        </w:rPr>
        <w:t xml:space="preserve"> </w:t>
      </w:r>
      <w:r w:rsidRPr="00AE1E0D">
        <w:rPr>
          <w:rFonts w:cs="Times New Roman"/>
          <w:szCs w:val="24"/>
        </w:rPr>
        <w:t>evaluación</w:t>
      </w:r>
      <w:r w:rsidR="00D136BB">
        <w:rPr>
          <w:rFonts w:cs="Times New Roman"/>
          <w:szCs w:val="24"/>
        </w:rPr>
        <w:t xml:space="preserve"> </w:t>
      </w:r>
      <w:r w:rsidRPr="00AE1E0D">
        <w:rPr>
          <w:rFonts w:cs="Times New Roman"/>
          <w:szCs w:val="24"/>
        </w:rPr>
        <w:t>reconoce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logros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proyectos</w:t>
      </w:r>
      <w:r w:rsidR="00D136BB">
        <w:rPr>
          <w:rFonts w:cs="Times New Roman"/>
          <w:szCs w:val="24"/>
        </w:rPr>
        <w:t xml:space="preserve"> </w:t>
      </w:r>
      <w:r w:rsidR="00FC07E5">
        <w:rPr>
          <w:rFonts w:cs="Times New Roman"/>
          <w:szCs w:val="24"/>
        </w:rPr>
        <w:t>nacionales</w:t>
      </w:r>
      <w:r w:rsidR="00D136BB">
        <w:rPr>
          <w:rFonts w:cs="Times New Roman"/>
          <w:szCs w:val="24"/>
        </w:rPr>
        <w:t xml:space="preserve"> </w:t>
      </w:r>
      <w:r w:rsidR="00FC07E5">
        <w:rPr>
          <w:rFonts w:cs="Times New Roman"/>
          <w:szCs w:val="24"/>
        </w:rPr>
        <w:t>y</w:t>
      </w:r>
      <w:r w:rsidR="00D136BB">
        <w:rPr>
          <w:rFonts w:cs="Times New Roman"/>
          <w:szCs w:val="24"/>
        </w:rPr>
        <w:t xml:space="preserve"> </w:t>
      </w:r>
      <w:r w:rsidRPr="00AE1E0D">
        <w:rPr>
          <w:rFonts w:cs="Times New Roman"/>
          <w:szCs w:val="24"/>
        </w:rPr>
        <w:t>regionales</w:t>
      </w:r>
      <w:r w:rsidR="00D136BB">
        <w:rPr>
          <w:rFonts w:cs="Times New Roman"/>
          <w:szCs w:val="24"/>
        </w:rPr>
        <w:t xml:space="preserve"> </w:t>
      </w:r>
      <w:r w:rsidRPr="00AE1E0D">
        <w:rPr>
          <w:rFonts w:cs="Times New Roman"/>
          <w:szCs w:val="24"/>
        </w:rPr>
        <w:t>anteriores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ejecución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aspectos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creación</w:t>
      </w:r>
      <w:r w:rsidR="00D136BB">
        <w:rPr>
          <w:rFonts w:cs="Times New Roman"/>
          <w:szCs w:val="24"/>
        </w:rPr>
        <w:t xml:space="preserve"> </w:t>
      </w:r>
      <w:r w:rsidRPr="00AE1E0D">
        <w:rPr>
          <w:rFonts w:cs="Times New Roman"/>
          <w:szCs w:val="24"/>
        </w:rPr>
        <w:t>y/o</w:t>
      </w:r>
      <w:r w:rsidR="00D136BB">
        <w:rPr>
          <w:rFonts w:cs="Times New Roman"/>
          <w:szCs w:val="24"/>
        </w:rPr>
        <w:t xml:space="preserve"> </w:t>
      </w:r>
      <w:r w:rsidRPr="00AE1E0D">
        <w:rPr>
          <w:rFonts w:cs="Times New Roman"/>
          <w:szCs w:val="24"/>
        </w:rPr>
        <w:t>mejora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infraestructura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p>
    <w:p w14:paraId="398FD08C" w14:textId="6A1D6BD6" w:rsidR="005D0292" w:rsidRPr="00AE1E0D" w:rsidRDefault="005D0292" w:rsidP="005D0292">
      <w:pPr>
        <w:pStyle w:val="ListBullet"/>
        <w:numPr>
          <w:ilvl w:val="0"/>
          <w:numId w:val="0"/>
        </w:numPr>
        <w:rPr>
          <w:rFonts w:cs="Times New Roman"/>
          <w:szCs w:val="24"/>
        </w:rPr>
      </w:pPr>
      <w:r w:rsidRPr="00AE1E0D">
        <w:rPr>
          <w:rFonts w:cs="Times New Roman"/>
          <w:szCs w:val="24"/>
        </w:rPr>
        <w:t>En</w:t>
      </w:r>
      <w:r w:rsidR="00D136BB">
        <w:rPr>
          <w:rFonts w:cs="Times New Roman"/>
          <w:szCs w:val="24"/>
        </w:rPr>
        <w:t xml:space="preserve"> </w:t>
      </w:r>
      <w:r w:rsidRPr="00AE1E0D">
        <w:rPr>
          <w:rFonts w:cs="Times New Roman"/>
          <w:szCs w:val="24"/>
        </w:rPr>
        <w:t>relación</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recursos</w:t>
      </w:r>
      <w:r w:rsidR="00D136BB">
        <w:rPr>
          <w:rFonts w:cs="Times New Roman"/>
          <w:szCs w:val="24"/>
        </w:rPr>
        <w:t xml:space="preserve"> </w:t>
      </w:r>
      <w:r w:rsidRPr="00AE1E0D">
        <w:rPr>
          <w:rFonts w:cs="Times New Roman"/>
          <w:szCs w:val="24"/>
        </w:rPr>
        <w:t>humanos,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personal</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regulador,</w:t>
      </w:r>
      <w:r w:rsidR="00D136BB">
        <w:rPr>
          <w:rFonts w:cs="Times New Roman"/>
          <w:szCs w:val="24"/>
        </w:rPr>
        <w:t xml:space="preserve"> </w:t>
      </w:r>
      <w:r w:rsidRPr="00AE1E0D">
        <w:rPr>
          <w:rFonts w:cs="Times New Roman"/>
          <w:szCs w:val="24"/>
        </w:rPr>
        <w:t>usuarios</w:t>
      </w:r>
      <w:r w:rsidR="00D136BB">
        <w:rPr>
          <w:rFonts w:cs="Times New Roman"/>
          <w:szCs w:val="24"/>
        </w:rPr>
        <w:t xml:space="preserve"> </w:t>
      </w:r>
      <w:r w:rsidRPr="00AE1E0D">
        <w:rPr>
          <w:rFonts w:cs="Times New Roman"/>
          <w:szCs w:val="24"/>
        </w:rPr>
        <w:t>finales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técnicos,</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observa:</w:t>
      </w:r>
    </w:p>
    <w:p w14:paraId="5D406273" w14:textId="431B080C" w:rsidR="005D0292" w:rsidRPr="00AE1E0D" w:rsidRDefault="00D136BB" w:rsidP="00BE3BCB">
      <w:pPr>
        <w:pStyle w:val="ListBullet2"/>
        <w:numPr>
          <w:ilvl w:val="0"/>
          <w:numId w:val="38"/>
        </w:numPr>
        <w:rPr>
          <w:rFonts w:cs="Times New Roman"/>
          <w:szCs w:val="24"/>
        </w:rPr>
      </w:pPr>
      <w:r>
        <w:rPr>
          <w:rFonts w:cs="Times New Roman"/>
          <w:szCs w:val="24"/>
        </w:rPr>
        <w:lastRenderedPageBreak/>
        <w:t xml:space="preserve"> </w:t>
      </w:r>
      <w:r w:rsidR="005D0292" w:rsidRPr="00AE1E0D">
        <w:rPr>
          <w:rFonts w:cs="Times New Roman"/>
          <w:szCs w:val="24"/>
        </w:rPr>
        <w:t>En</w:t>
      </w:r>
      <w:r>
        <w:rPr>
          <w:rFonts w:cs="Times New Roman"/>
          <w:szCs w:val="24"/>
        </w:rPr>
        <w:t xml:space="preserve"> </w:t>
      </w:r>
      <w:r w:rsidR="005D0292" w:rsidRPr="00AE1E0D">
        <w:rPr>
          <w:rFonts w:cs="Times New Roman"/>
          <w:szCs w:val="24"/>
        </w:rPr>
        <w:t>algunos</w:t>
      </w:r>
      <w:r>
        <w:rPr>
          <w:rFonts w:cs="Times New Roman"/>
          <w:szCs w:val="24"/>
        </w:rPr>
        <w:t xml:space="preserve"> </w:t>
      </w:r>
      <w:r w:rsidR="005D0292" w:rsidRPr="00AE1E0D">
        <w:rPr>
          <w:rFonts w:cs="Times New Roman"/>
          <w:szCs w:val="24"/>
        </w:rPr>
        <w:t>casos,</w:t>
      </w:r>
      <w:r>
        <w:rPr>
          <w:rFonts w:cs="Times New Roman"/>
          <w:szCs w:val="24"/>
        </w:rPr>
        <w:t xml:space="preserve"> </w:t>
      </w:r>
      <w:r w:rsidR="005D0292" w:rsidRPr="00AE1E0D">
        <w:rPr>
          <w:rFonts w:cs="Times New Roman"/>
          <w:szCs w:val="24"/>
        </w:rPr>
        <w:t>una</w:t>
      </w:r>
      <w:r>
        <w:rPr>
          <w:rFonts w:cs="Times New Roman"/>
          <w:szCs w:val="24"/>
        </w:rPr>
        <w:t xml:space="preserve"> </w:t>
      </w:r>
      <w:r w:rsidR="005D0292" w:rsidRPr="00AE1E0D">
        <w:rPr>
          <w:rFonts w:cs="Times New Roman"/>
          <w:szCs w:val="24"/>
        </w:rPr>
        <w:t>falta</w:t>
      </w:r>
      <w:r>
        <w:rPr>
          <w:rFonts w:cs="Times New Roman"/>
          <w:szCs w:val="24"/>
        </w:rPr>
        <w:t xml:space="preserve"> </w:t>
      </w:r>
      <w:r w:rsidR="005D0292" w:rsidRPr="00AE1E0D">
        <w:rPr>
          <w:rFonts w:cs="Times New Roman"/>
          <w:szCs w:val="24"/>
        </w:rPr>
        <w:t>de</w:t>
      </w:r>
      <w:r>
        <w:rPr>
          <w:rFonts w:cs="Times New Roman"/>
          <w:szCs w:val="24"/>
        </w:rPr>
        <w:t xml:space="preserve"> </w:t>
      </w:r>
      <w:r w:rsidR="005D0292" w:rsidRPr="00AE1E0D">
        <w:rPr>
          <w:rFonts w:cs="Times New Roman"/>
          <w:szCs w:val="24"/>
        </w:rPr>
        <w:t>incorporación</w:t>
      </w:r>
      <w:r>
        <w:rPr>
          <w:rFonts w:cs="Times New Roman"/>
          <w:szCs w:val="24"/>
        </w:rPr>
        <w:t xml:space="preserve"> </w:t>
      </w:r>
      <w:r w:rsidR="005D0292" w:rsidRPr="00AE1E0D">
        <w:rPr>
          <w:rFonts w:cs="Times New Roman"/>
          <w:szCs w:val="24"/>
        </w:rPr>
        <w:t>de</w:t>
      </w:r>
      <w:r>
        <w:rPr>
          <w:rFonts w:cs="Times New Roman"/>
          <w:szCs w:val="24"/>
        </w:rPr>
        <w:t xml:space="preserve"> </w:t>
      </w:r>
      <w:r w:rsidR="005D0292" w:rsidRPr="00AE1E0D">
        <w:rPr>
          <w:rFonts w:cs="Times New Roman"/>
          <w:szCs w:val="24"/>
        </w:rPr>
        <w:t>nuevos</w:t>
      </w:r>
      <w:r>
        <w:rPr>
          <w:rFonts w:cs="Times New Roman"/>
          <w:szCs w:val="24"/>
        </w:rPr>
        <w:t xml:space="preserve"> </w:t>
      </w:r>
      <w:r w:rsidR="005D0292" w:rsidRPr="00AE1E0D">
        <w:rPr>
          <w:rFonts w:cs="Times New Roman"/>
          <w:szCs w:val="24"/>
        </w:rPr>
        <w:t>profesionales,</w:t>
      </w:r>
      <w:r>
        <w:rPr>
          <w:rFonts w:cs="Times New Roman"/>
          <w:szCs w:val="24"/>
        </w:rPr>
        <w:t xml:space="preserve"> </w:t>
      </w:r>
      <w:r w:rsidR="005D0292" w:rsidRPr="00AE1E0D">
        <w:rPr>
          <w:rFonts w:cs="Times New Roman"/>
          <w:szCs w:val="24"/>
        </w:rPr>
        <w:t>la</w:t>
      </w:r>
      <w:r>
        <w:rPr>
          <w:rFonts w:cs="Times New Roman"/>
          <w:szCs w:val="24"/>
        </w:rPr>
        <w:t xml:space="preserve"> </w:t>
      </w:r>
      <w:r w:rsidR="005D0292" w:rsidRPr="00AE1E0D">
        <w:rPr>
          <w:rFonts w:cs="Times New Roman"/>
          <w:szCs w:val="24"/>
        </w:rPr>
        <w:t>cual</w:t>
      </w:r>
      <w:r>
        <w:rPr>
          <w:rFonts w:cs="Times New Roman"/>
          <w:szCs w:val="24"/>
        </w:rPr>
        <w:t xml:space="preserve"> </w:t>
      </w:r>
      <w:r w:rsidR="005D0292" w:rsidRPr="00AE1E0D">
        <w:rPr>
          <w:rFonts w:cs="Times New Roman"/>
          <w:szCs w:val="24"/>
        </w:rPr>
        <w:t>conlleva</w:t>
      </w:r>
      <w:r>
        <w:rPr>
          <w:rFonts w:cs="Times New Roman"/>
          <w:szCs w:val="24"/>
        </w:rPr>
        <w:t xml:space="preserve"> </w:t>
      </w:r>
      <w:r w:rsidR="005D0292" w:rsidRPr="00AE1E0D">
        <w:rPr>
          <w:rFonts w:cs="Times New Roman"/>
          <w:szCs w:val="24"/>
        </w:rPr>
        <w:t>a</w:t>
      </w:r>
      <w:r>
        <w:rPr>
          <w:rFonts w:cs="Times New Roman"/>
          <w:szCs w:val="24"/>
        </w:rPr>
        <w:t xml:space="preserve"> </w:t>
      </w:r>
      <w:r w:rsidR="005D0292" w:rsidRPr="00AE1E0D">
        <w:rPr>
          <w:rFonts w:cs="Times New Roman"/>
          <w:szCs w:val="24"/>
        </w:rPr>
        <w:t>una</w:t>
      </w:r>
      <w:r>
        <w:rPr>
          <w:rFonts w:cs="Times New Roman"/>
          <w:szCs w:val="24"/>
        </w:rPr>
        <w:t xml:space="preserve"> </w:t>
      </w:r>
      <w:r w:rsidR="005D0292" w:rsidRPr="00AE1E0D">
        <w:rPr>
          <w:rFonts w:cs="Times New Roman"/>
          <w:szCs w:val="24"/>
        </w:rPr>
        <w:t>pérdida</w:t>
      </w:r>
      <w:r>
        <w:rPr>
          <w:rFonts w:cs="Times New Roman"/>
          <w:szCs w:val="24"/>
        </w:rPr>
        <w:t xml:space="preserve"> </w:t>
      </w:r>
      <w:r w:rsidR="005D0292" w:rsidRPr="00AE1E0D">
        <w:rPr>
          <w:rFonts w:cs="Times New Roman"/>
          <w:szCs w:val="24"/>
        </w:rPr>
        <w:t>de</w:t>
      </w:r>
      <w:r>
        <w:rPr>
          <w:rFonts w:cs="Times New Roman"/>
          <w:szCs w:val="24"/>
        </w:rPr>
        <w:t xml:space="preserve"> </w:t>
      </w:r>
      <w:r w:rsidR="005D0292" w:rsidRPr="00AE1E0D">
        <w:rPr>
          <w:rFonts w:cs="Times New Roman"/>
          <w:szCs w:val="24"/>
        </w:rPr>
        <w:t>capacidad</w:t>
      </w:r>
      <w:r>
        <w:rPr>
          <w:rFonts w:cs="Times New Roman"/>
          <w:szCs w:val="24"/>
        </w:rPr>
        <w:t xml:space="preserve"> </w:t>
      </w:r>
      <w:r w:rsidR="005D0292" w:rsidRPr="00AE1E0D">
        <w:rPr>
          <w:rFonts w:cs="Times New Roman"/>
          <w:szCs w:val="24"/>
        </w:rPr>
        <w:t>de</w:t>
      </w:r>
      <w:r>
        <w:rPr>
          <w:rFonts w:cs="Times New Roman"/>
          <w:szCs w:val="24"/>
        </w:rPr>
        <w:t xml:space="preserve"> </w:t>
      </w:r>
      <w:r w:rsidR="005D0292" w:rsidRPr="00AE1E0D">
        <w:rPr>
          <w:rFonts w:cs="Times New Roman"/>
          <w:szCs w:val="24"/>
        </w:rPr>
        <w:t>los</w:t>
      </w:r>
      <w:r>
        <w:rPr>
          <w:rFonts w:cs="Times New Roman"/>
          <w:szCs w:val="24"/>
        </w:rPr>
        <w:t xml:space="preserve"> </w:t>
      </w:r>
      <w:r w:rsidR="005D0292" w:rsidRPr="00AE1E0D">
        <w:rPr>
          <w:rFonts w:cs="Times New Roman"/>
          <w:szCs w:val="24"/>
        </w:rPr>
        <w:t>grupos</w:t>
      </w:r>
      <w:r>
        <w:rPr>
          <w:rFonts w:cs="Times New Roman"/>
          <w:szCs w:val="24"/>
        </w:rPr>
        <w:t xml:space="preserve"> </w:t>
      </w:r>
      <w:r w:rsidR="005D0292" w:rsidRPr="00AE1E0D">
        <w:rPr>
          <w:rFonts w:cs="Times New Roman"/>
          <w:szCs w:val="24"/>
        </w:rPr>
        <w:t>de</w:t>
      </w:r>
      <w:r>
        <w:rPr>
          <w:rFonts w:cs="Times New Roman"/>
          <w:szCs w:val="24"/>
        </w:rPr>
        <w:t xml:space="preserve"> </w:t>
      </w:r>
      <w:r w:rsidR="005D0292" w:rsidRPr="00AE1E0D">
        <w:rPr>
          <w:rFonts w:cs="Times New Roman"/>
          <w:szCs w:val="24"/>
        </w:rPr>
        <w:t>trabajo</w:t>
      </w:r>
      <w:r>
        <w:rPr>
          <w:rFonts w:cs="Times New Roman"/>
          <w:szCs w:val="24"/>
        </w:rPr>
        <w:t xml:space="preserve"> </w:t>
      </w:r>
      <w:r w:rsidR="005D0292" w:rsidRPr="00AE1E0D">
        <w:rPr>
          <w:rFonts w:cs="Times New Roman"/>
          <w:szCs w:val="24"/>
        </w:rPr>
        <w:t>del</w:t>
      </w:r>
      <w:r>
        <w:rPr>
          <w:rFonts w:cs="Times New Roman"/>
          <w:szCs w:val="24"/>
        </w:rPr>
        <w:t xml:space="preserve"> </w:t>
      </w:r>
      <w:r w:rsidR="005D0292" w:rsidRPr="00AE1E0D">
        <w:rPr>
          <w:rFonts w:cs="Times New Roman"/>
          <w:szCs w:val="24"/>
        </w:rPr>
        <w:t>área.</w:t>
      </w:r>
      <w:r>
        <w:rPr>
          <w:rFonts w:cs="Times New Roman"/>
          <w:szCs w:val="24"/>
        </w:rPr>
        <w:t xml:space="preserve"> </w:t>
      </w:r>
    </w:p>
    <w:p w14:paraId="0A0DBC95" w14:textId="3D1612B9" w:rsidR="005D0292" w:rsidRPr="00AE1E0D" w:rsidRDefault="005D0292" w:rsidP="00BE3BCB">
      <w:pPr>
        <w:pStyle w:val="ListBullet2"/>
        <w:numPr>
          <w:ilvl w:val="0"/>
          <w:numId w:val="38"/>
        </w:numPr>
        <w:rPr>
          <w:rFonts w:cs="Times New Roman"/>
          <w:szCs w:val="24"/>
          <w:lang w:val="es-ES"/>
        </w:rPr>
      </w:pPr>
      <w:r w:rsidRPr="00AE1E0D">
        <w:rPr>
          <w:rFonts w:cs="Times New Roman"/>
          <w:szCs w:val="24"/>
        </w:rPr>
        <w:t>En</w:t>
      </w:r>
      <w:r w:rsidR="00D136BB">
        <w:rPr>
          <w:rFonts w:cs="Times New Roman"/>
          <w:szCs w:val="24"/>
        </w:rPr>
        <w:t xml:space="preserve"> </w:t>
      </w:r>
      <w:r w:rsidRPr="00AE1E0D">
        <w:rPr>
          <w:rFonts w:cs="Times New Roman"/>
          <w:szCs w:val="24"/>
        </w:rPr>
        <w:t>otros</w:t>
      </w:r>
      <w:r w:rsidR="00D136BB">
        <w:rPr>
          <w:rFonts w:cs="Times New Roman"/>
          <w:szCs w:val="24"/>
        </w:rPr>
        <w:t xml:space="preserve"> </w:t>
      </w:r>
      <w:r w:rsidRPr="00AE1E0D">
        <w:rPr>
          <w:rFonts w:cs="Times New Roman"/>
          <w:szCs w:val="24"/>
        </w:rPr>
        <w:t>casos,</w:t>
      </w:r>
      <w:r w:rsidR="00D136BB">
        <w:rPr>
          <w:rFonts w:cs="Times New Roman"/>
          <w:szCs w:val="24"/>
        </w:rPr>
        <w:t xml:space="preserve"> </w:t>
      </w:r>
      <w:r w:rsidRPr="00AE1E0D">
        <w:rPr>
          <w:rFonts w:cs="Times New Roman"/>
          <w:szCs w:val="24"/>
        </w:rPr>
        <w:t>una</w:t>
      </w:r>
      <w:r w:rsidR="00D136BB">
        <w:rPr>
          <w:rFonts w:cs="Times New Roman"/>
          <w:szCs w:val="24"/>
        </w:rPr>
        <w:t xml:space="preserve"> </w:t>
      </w:r>
      <w:r w:rsidRPr="00AE1E0D">
        <w:rPr>
          <w:rFonts w:cs="Times New Roman"/>
          <w:szCs w:val="24"/>
        </w:rPr>
        <w:t>rotación</w:t>
      </w:r>
      <w:r w:rsidR="00D136BB">
        <w:rPr>
          <w:rFonts w:cs="Times New Roman"/>
          <w:szCs w:val="24"/>
        </w:rPr>
        <w:t xml:space="preserve"> </w:t>
      </w:r>
      <w:r w:rsidRPr="00AE1E0D">
        <w:rPr>
          <w:rFonts w:cs="Times New Roman"/>
          <w:szCs w:val="24"/>
        </w:rPr>
        <w:t>excesiva</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personal</w:t>
      </w:r>
      <w:r w:rsidR="00D136BB">
        <w:rPr>
          <w:rFonts w:cs="Times New Roman"/>
          <w:szCs w:val="24"/>
        </w:rPr>
        <w:t xml:space="preserve"> </w:t>
      </w:r>
      <w:r w:rsidRPr="00AE1E0D">
        <w:rPr>
          <w:rFonts w:cs="Times New Roman"/>
          <w:szCs w:val="24"/>
        </w:rPr>
        <w:t>genera</w:t>
      </w:r>
      <w:r w:rsidR="00D136BB">
        <w:rPr>
          <w:rFonts w:cs="Times New Roman"/>
          <w:szCs w:val="24"/>
        </w:rPr>
        <w:t xml:space="preserve"> </w:t>
      </w:r>
      <w:r w:rsidRPr="00AE1E0D">
        <w:rPr>
          <w:rFonts w:cs="Times New Roman"/>
          <w:szCs w:val="24"/>
        </w:rPr>
        <w:t>carencias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cuanto</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sostenibilidad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infraestructura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lo</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dificulta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conocimiento.</w:t>
      </w:r>
    </w:p>
    <w:p w14:paraId="4C085BB2" w14:textId="7DA94C89" w:rsidR="005D0292" w:rsidRPr="00AE1E0D" w:rsidRDefault="005D0292" w:rsidP="00BE3BCB">
      <w:pPr>
        <w:pStyle w:val="ListBullet2"/>
        <w:numPr>
          <w:ilvl w:val="0"/>
          <w:numId w:val="38"/>
        </w:numPr>
        <w:rPr>
          <w:rFonts w:cs="Times New Roman"/>
          <w:szCs w:val="24"/>
          <w:lang w:val="es-ES"/>
        </w:rPr>
      </w:pPr>
      <w:r w:rsidRPr="00AE1E0D">
        <w:rPr>
          <w:rFonts w:cs="Times New Roman"/>
          <w:szCs w:val="24"/>
        </w:rPr>
        <w:t>La</w:t>
      </w:r>
      <w:r w:rsidR="00D136BB">
        <w:rPr>
          <w:rFonts w:cs="Times New Roman"/>
          <w:szCs w:val="24"/>
        </w:rPr>
        <w:t xml:space="preserve"> </w:t>
      </w:r>
      <w:r w:rsidRPr="00AE1E0D">
        <w:rPr>
          <w:rFonts w:cs="Times New Roman"/>
          <w:szCs w:val="24"/>
        </w:rPr>
        <w:t>mayoría</w:t>
      </w:r>
      <w:r w:rsidR="00D136BB">
        <w:rPr>
          <w:rFonts w:cs="Times New Roman"/>
          <w:szCs w:val="24"/>
        </w:rPr>
        <w:t xml:space="preserve"> </w:t>
      </w:r>
      <w:r w:rsidR="00FC07E5">
        <w:rPr>
          <w:rFonts w:cs="Times New Roman"/>
          <w:szCs w:val="24"/>
        </w:rPr>
        <w:t>de</w:t>
      </w:r>
      <w:r w:rsidR="00D136BB">
        <w:rPr>
          <w:rFonts w:cs="Times New Roman"/>
          <w:szCs w:val="24"/>
        </w:rPr>
        <w:t xml:space="preserve"> </w:t>
      </w:r>
      <w:r w:rsidR="00FC07E5">
        <w:rPr>
          <w:rFonts w:cs="Times New Roman"/>
          <w:szCs w:val="24"/>
        </w:rPr>
        <w:t>los</w:t>
      </w:r>
      <w:r w:rsidR="00D136BB">
        <w:rPr>
          <w:rFonts w:cs="Times New Roman"/>
          <w:szCs w:val="24"/>
        </w:rPr>
        <w:t xml:space="preserve"> </w:t>
      </w:r>
      <w:r w:rsidR="00FC07E5">
        <w:rPr>
          <w:rFonts w:cs="Times New Roman"/>
          <w:szCs w:val="24"/>
        </w:rPr>
        <w:t>países</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cuenta</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recursos</w:t>
      </w:r>
      <w:r w:rsidR="00D136BB">
        <w:rPr>
          <w:rFonts w:cs="Times New Roman"/>
          <w:szCs w:val="24"/>
        </w:rPr>
        <w:t xml:space="preserve"> </w:t>
      </w:r>
      <w:r w:rsidRPr="00AE1E0D">
        <w:rPr>
          <w:rFonts w:cs="Times New Roman"/>
          <w:szCs w:val="24"/>
        </w:rPr>
        <w:t>humanos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financieros</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fin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cumplir</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responsabilidades</w:t>
      </w:r>
      <w:r w:rsidR="00D136BB">
        <w:rPr>
          <w:rFonts w:cs="Times New Roman"/>
          <w:szCs w:val="24"/>
        </w:rPr>
        <w:t xml:space="preserve"> </w:t>
      </w:r>
      <w:r w:rsidRPr="00AE1E0D">
        <w:rPr>
          <w:rFonts w:cs="Times New Roman"/>
          <w:szCs w:val="24"/>
        </w:rPr>
        <w:t>asignadas</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sus</w:t>
      </w:r>
      <w:r w:rsidR="00D136BB">
        <w:rPr>
          <w:rFonts w:cs="Times New Roman"/>
          <w:szCs w:val="24"/>
        </w:rPr>
        <w:t xml:space="preserve"> </w:t>
      </w:r>
      <w:r w:rsidRPr="00AE1E0D">
        <w:rPr>
          <w:rFonts w:cs="Times New Roman"/>
          <w:szCs w:val="24"/>
        </w:rPr>
        <w:t>correspondientes</w:t>
      </w:r>
      <w:r w:rsidR="00D136BB">
        <w:rPr>
          <w:rFonts w:cs="Times New Roman"/>
          <w:szCs w:val="24"/>
        </w:rPr>
        <w:t xml:space="preserve"> </w:t>
      </w:r>
      <w:r w:rsidRPr="00AE1E0D">
        <w:rPr>
          <w:rFonts w:cs="Times New Roman"/>
          <w:szCs w:val="24"/>
        </w:rPr>
        <w:t>legislaciones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reglamentaciones</w:t>
      </w:r>
      <w:r w:rsidR="00D136BB">
        <w:rPr>
          <w:rFonts w:cs="Times New Roman"/>
          <w:szCs w:val="24"/>
        </w:rPr>
        <w:t xml:space="preserve"> </w:t>
      </w:r>
      <w:r w:rsidRPr="00AE1E0D">
        <w:rPr>
          <w:rFonts w:cs="Times New Roman"/>
          <w:szCs w:val="24"/>
        </w:rPr>
        <w:t>aplicables.</w:t>
      </w:r>
    </w:p>
    <w:p w14:paraId="77B2A503" w14:textId="64016F01" w:rsidR="005D0292" w:rsidRPr="00AE1E0D" w:rsidRDefault="005D0292" w:rsidP="00BE3BCB">
      <w:pPr>
        <w:pStyle w:val="ListBullet2"/>
        <w:numPr>
          <w:ilvl w:val="0"/>
          <w:numId w:val="38"/>
        </w:numPr>
        <w:rPr>
          <w:rFonts w:cs="Times New Roman"/>
          <w:szCs w:val="24"/>
        </w:rPr>
      </w:pPr>
      <w:r w:rsidRPr="00AE1E0D">
        <w:rPr>
          <w:rFonts w:cs="Times New Roman"/>
          <w:szCs w:val="24"/>
        </w:rPr>
        <w:t>No</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observa</w:t>
      </w:r>
      <w:r w:rsidR="00D136BB">
        <w:rPr>
          <w:rFonts w:cs="Times New Roman"/>
          <w:szCs w:val="24"/>
        </w:rPr>
        <w:t xml:space="preserve"> </w:t>
      </w:r>
      <w:r w:rsidRPr="00AE1E0D">
        <w:rPr>
          <w:rFonts w:cs="Times New Roman"/>
          <w:szCs w:val="24"/>
        </w:rPr>
        <w:t>una</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conocimiento</w:t>
      </w:r>
      <w:r w:rsidR="00D136BB">
        <w:rPr>
          <w:rFonts w:cs="Times New Roman"/>
          <w:szCs w:val="24"/>
        </w:rPr>
        <w:t xml:space="preserve"> </w:t>
      </w:r>
      <w:r w:rsidRPr="00AE1E0D">
        <w:rPr>
          <w:rFonts w:cs="Times New Roman"/>
          <w:szCs w:val="24"/>
        </w:rPr>
        <w:t>adecuada.</w:t>
      </w:r>
    </w:p>
    <w:p w14:paraId="1B714CC4" w14:textId="77777777" w:rsidR="005D0292" w:rsidRPr="00AE1E0D" w:rsidRDefault="005D0292" w:rsidP="005D0292">
      <w:pPr>
        <w:contextualSpacing/>
        <w:jc w:val="both"/>
        <w:rPr>
          <w:rFonts w:ascii="Times New Roman" w:hAnsi="Times New Roman" w:cs="Times New Roman"/>
          <w:sz w:val="24"/>
          <w:szCs w:val="24"/>
        </w:rPr>
      </w:pPr>
    </w:p>
    <w:p w14:paraId="649ACB99" w14:textId="7E733CF9" w:rsidR="005D0292" w:rsidRPr="00AE1E0D" w:rsidRDefault="005D0292" w:rsidP="005D0292">
      <w:pPr>
        <w:spacing w:after="120"/>
        <w:jc w:val="both"/>
        <w:rPr>
          <w:rFonts w:ascii="Times New Roman" w:eastAsia="Times New Roman" w:hAnsi="Times New Roman" w:cs="Times New Roman"/>
          <w:sz w:val="24"/>
          <w:szCs w:val="24"/>
        </w:rPr>
      </w:pP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actualización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evaluación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situación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actual</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Seguridad</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Radiológica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en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los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países</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la</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región</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rPr>
        <w:t>de</w:t>
      </w:r>
      <w:r w:rsidR="00D136BB">
        <w:rPr>
          <w:rFonts w:ascii="Times New Roman" w:eastAsia="Times New Roman" w:hAnsi="Times New Roman" w:cs="Times New Roman"/>
          <w:sz w:val="24"/>
          <w:szCs w:val="24"/>
          <w:lang w:val="es-ES"/>
        </w:rPr>
        <w:t xml:space="preserve"> </w:t>
      </w:r>
      <w:r w:rsidRPr="00AE1E0D">
        <w:rPr>
          <w:rFonts w:ascii="Times New Roman" w:eastAsia="Times New Roman" w:hAnsi="Times New Roman" w:cs="Times New Roman"/>
          <w:sz w:val="24"/>
          <w:szCs w:val="24"/>
        </w:rPr>
        <w:t>América</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Latina</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se</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ha</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realizado</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en</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los</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siguientes</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ámbitos:</w:t>
      </w:r>
    </w:p>
    <w:p w14:paraId="2181A8F7" w14:textId="7D2C5C04" w:rsidR="005D0292" w:rsidRPr="00AE1E0D" w:rsidRDefault="005D0292" w:rsidP="00BE3BCB">
      <w:pPr>
        <w:pStyle w:val="ListParagraph"/>
        <w:numPr>
          <w:ilvl w:val="0"/>
          <w:numId w:val="38"/>
        </w:numPr>
        <w:spacing w:after="120" w:line="276" w:lineRule="auto"/>
        <w:jc w:val="both"/>
        <w:rPr>
          <w:rFonts w:ascii="Times New Roman" w:eastAsia="Times New Roman" w:hAnsi="Times New Roman" w:cs="Times New Roman"/>
          <w:sz w:val="24"/>
          <w:szCs w:val="24"/>
          <w:lang w:val="en-US"/>
        </w:rPr>
      </w:pPr>
      <w:r w:rsidRPr="00AE1E0D">
        <w:rPr>
          <w:rFonts w:ascii="Times New Roman" w:eastAsia="Times New Roman" w:hAnsi="Times New Roman" w:cs="Times New Roman"/>
          <w:sz w:val="24"/>
          <w:szCs w:val="24"/>
          <w:lang w:val="en-US"/>
        </w:rPr>
        <w:t>Infraestructura</w:t>
      </w:r>
      <w:r w:rsidR="00D136BB">
        <w:rPr>
          <w:rFonts w:ascii="Times New Roman" w:eastAsia="Times New Roman" w:hAnsi="Times New Roman" w:cs="Times New Roman"/>
          <w:sz w:val="24"/>
          <w:szCs w:val="24"/>
          <w:lang w:val="en-US"/>
        </w:rPr>
        <w:t xml:space="preserve"> </w:t>
      </w:r>
      <w:r w:rsidRPr="00AE1E0D">
        <w:rPr>
          <w:rFonts w:ascii="Times New Roman" w:eastAsia="Times New Roman" w:hAnsi="Times New Roman" w:cs="Times New Roman"/>
          <w:sz w:val="24"/>
          <w:szCs w:val="24"/>
          <w:lang w:val="en-US"/>
        </w:rPr>
        <w:t>Regulatoria</w:t>
      </w:r>
      <w:r w:rsidR="00D136BB">
        <w:rPr>
          <w:rFonts w:ascii="Times New Roman" w:eastAsia="Times New Roman" w:hAnsi="Times New Roman" w:cs="Times New Roman"/>
          <w:sz w:val="24"/>
          <w:szCs w:val="24"/>
          <w:lang w:val="en-US"/>
        </w:rPr>
        <w:t xml:space="preserve"> </w:t>
      </w:r>
      <w:r w:rsidRPr="00AE1E0D">
        <w:rPr>
          <w:rFonts w:ascii="Times New Roman" w:eastAsia="Times New Roman" w:hAnsi="Times New Roman" w:cs="Times New Roman"/>
          <w:sz w:val="24"/>
          <w:szCs w:val="24"/>
          <w:lang w:val="en-US"/>
        </w:rPr>
        <w:t>(TSA</w:t>
      </w:r>
      <w:r w:rsidR="00D136BB">
        <w:rPr>
          <w:rFonts w:ascii="Times New Roman" w:eastAsia="Times New Roman" w:hAnsi="Times New Roman" w:cs="Times New Roman"/>
          <w:sz w:val="24"/>
          <w:szCs w:val="24"/>
          <w:lang w:val="en-US"/>
        </w:rPr>
        <w:t xml:space="preserve"> </w:t>
      </w:r>
      <w:r w:rsidRPr="00AE1E0D">
        <w:rPr>
          <w:rFonts w:ascii="Times New Roman" w:eastAsia="Times New Roman" w:hAnsi="Times New Roman" w:cs="Times New Roman"/>
          <w:sz w:val="24"/>
          <w:szCs w:val="24"/>
          <w:lang w:val="en-US"/>
        </w:rPr>
        <w:t>1)</w:t>
      </w:r>
    </w:p>
    <w:p w14:paraId="063BD34A" w14:textId="530C2343" w:rsidR="005D0292" w:rsidRPr="00AE1E0D" w:rsidRDefault="005D0292" w:rsidP="00BE3BCB">
      <w:pPr>
        <w:pStyle w:val="ListParagraph"/>
        <w:numPr>
          <w:ilvl w:val="0"/>
          <w:numId w:val="38"/>
        </w:numPr>
        <w:spacing w:after="120" w:line="276" w:lineRule="auto"/>
        <w:jc w:val="both"/>
        <w:rPr>
          <w:rFonts w:ascii="Times New Roman" w:eastAsia="Times New Roman" w:hAnsi="Times New Roman" w:cs="Times New Roman"/>
          <w:sz w:val="24"/>
          <w:szCs w:val="24"/>
          <w:lang w:val="es-CL"/>
        </w:rPr>
      </w:pPr>
      <w:r w:rsidRPr="00AE1E0D">
        <w:rPr>
          <w:rFonts w:ascii="Times New Roman" w:eastAsia="Times New Roman" w:hAnsi="Times New Roman" w:cs="Times New Roman"/>
          <w:sz w:val="24"/>
          <w:szCs w:val="24"/>
          <w:lang w:val="es-CL"/>
        </w:rPr>
        <w:t>Protección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radiológica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exposición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ocupacional</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usuarios</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finales</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(TSA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2)</w:t>
      </w:r>
    </w:p>
    <w:p w14:paraId="40258344" w14:textId="0E2E34C1" w:rsidR="005D0292" w:rsidRPr="00AE1E0D" w:rsidRDefault="005D0292" w:rsidP="00BE3BCB">
      <w:pPr>
        <w:pStyle w:val="ListParagraph"/>
        <w:numPr>
          <w:ilvl w:val="0"/>
          <w:numId w:val="38"/>
        </w:numPr>
        <w:spacing w:after="120" w:line="276" w:lineRule="auto"/>
        <w:jc w:val="both"/>
        <w:rPr>
          <w:rFonts w:ascii="Times New Roman" w:eastAsia="Times New Roman" w:hAnsi="Times New Roman" w:cs="Times New Roman"/>
          <w:sz w:val="24"/>
          <w:szCs w:val="24"/>
          <w:lang w:val="es-CL"/>
        </w:rPr>
      </w:pPr>
      <w:r w:rsidRPr="00AE1E0D">
        <w:rPr>
          <w:rFonts w:ascii="Times New Roman" w:eastAsia="Times New Roman" w:hAnsi="Times New Roman" w:cs="Times New Roman"/>
          <w:sz w:val="24"/>
          <w:szCs w:val="24"/>
          <w:lang w:val="es-CL"/>
        </w:rPr>
        <w:t>Protección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radiológica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exposición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ocupacional</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servicios</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técnicos</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(TSA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2)</w:t>
      </w:r>
    </w:p>
    <w:p w14:paraId="7A29A92E" w14:textId="0D3EB5CA" w:rsidR="005D0292" w:rsidRPr="00AE1E0D" w:rsidRDefault="005D0292" w:rsidP="00BE3BCB">
      <w:pPr>
        <w:pStyle w:val="ListParagraph"/>
        <w:numPr>
          <w:ilvl w:val="0"/>
          <w:numId w:val="38"/>
        </w:numPr>
        <w:spacing w:after="120" w:line="276" w:lineRule="auto"/>
        <w:jc w:val="both"/>
        <w:rPr>
          <w:rFonts w:ascii="Times New Roman" w:eastAsia="Times New Roman" w:hAnsi="Times New Roman" w:cs="Times New Roman"/>
          <w:sz w:val="24"/>
          <w:szCs w:val="24"/>
          <w:lang w:val="es-CL"/>
        </w:rPr>
      </w:pPr>
      <w:r w:rsidRPr="00AE1E0D">
        <w:rPr>
          <w:rFonts w:ascii="Times New Roman" w:eastAsia="Times New Roman" w:hAnsi="Times New Roman" w:cs="Times New Roman"/>
          <w:sz w:val="24"/>
          <w:szCs w:val="24"/>
          <w:lang w:val="es-CL"/>
        </w:rPr>
        <w:t>Protección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radiológica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exposición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medicina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(TSA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3)</w:t>
      </w:r>
    </w:p>
    <w:p w14:paraId="2B4C55FA" w14:textId="65624DFB" w:rsidR="005D0292" w:rsidRPr="00AE1E0D" w:rsidRDefault="005D0292" w:rsidP="00BE3BCB">
      <w:pPr>
        <w:pStyle w:val="ListParagraph"/>
        <w:keepNext/>
        <w:keepLines/>
        <w:numPr>
          <w:ilvl w:val="0"/>
          <w:numId w:val="38"/>
        </w:numPr>
        <w:spacing w:before="120" w:after="120" w:line="276" w:lineRule="auto"/>
        <w:outlineLvl w:val="2"/>
        <w:rPr>
          <w:rFonts w:ascii="Times New Roman" w:eastAsia="Times New Roman" w:hAnsi="Times New Roman" w:cs="Times New Roman"/>
          <w:sz w:val="24"/>
          <w:szCs w:val="24"/>
          <w:lang w:val="es-CL"/>
        </w:rPr>
      </w:pPr>
      <w:r w:rsidRPr="00AE1E0D">
        <w:rPr>
          <w:rFonts w:ascii="Times New Roman" w:eastAsia="Times New Roman" w:hAnsi="Times New Roman" w:cs="Times New Roman"/>
          <w:sz w:val="24"/>
          <w:szCs w:val="24"/>
          <w:lang w:val="es-CL"/>
        </w:rPr>
        <w:t>Protección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radiológica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del</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público,</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del</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ambiente</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y</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la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gestión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de</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desechos</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radiactivos</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(TS4).</w:t>
      </w:r>
    </w:p>
    <w:p w14:paraId="2A8B32DC" w14:textId="2710D206" w:rsidR="005D0292" w:rsidRPr="00AE1E0D" w:rsidRDefault="005D0292" w:rsidP="00BE3BCB">
      <w:pPr>
        <w:pStyle w:val="ListParagraph"/>
        <w:numPr>
          <w:ilvl w:val="0"/>
          <w:numId w:val="38"/>
        </w:numPr>
        <w:spacing w:after="120" w:line="276" w:lineRule="auto"/>
        <w:jc w:val="both"/>
        <w:rPr>
          <w:rFonts w:ascii="Times New Roman" w:eastAsia="Times New Roman" w:hAnsi="Times New Roman" w:cs="Times New Roman"/>
          <w:sz w:val="24"/>
          <w:szCs w:val="24"/>
          <w:lang w:val="es-CL"/>
        </w:rPr>
      </w:pPr>
      <w:r w:rsidRPr="00AE1E0D">
        <w:rPr>
          <w:rFonts w:ascii="Times New Roman" w:eastAsia="Times New Roman" w:hAnsi="Times New Roman" w:cs="Times New Roman"/>
          <w:sz w:val="24"/>
          <w:szCs w:val="24"/>
          <w:lang w:val="es-CL"/>
        </w:rPr>
        <w:t>Preparación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y</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respuesta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emergencias</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(TSA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5)</w:t>
      </w:r>
    </w:p>
    <w:p w14:paraId="392AEFFF" w14:textId="1ED1F94E" w:rsidR="005D0292" w:rsidRPr="00AE1E0D" w:rsidRDefault="005D0292" w:rsidP="00BE3BCB">
      <w:pPr>
        <w:pStyle w:val="ListParagraph"/>
        <w:numPr>
          <w:ilvl w:val="0"/>
          <w:numId w:val="38"/>
        </w:numPr>
        <w:spacing w:after="120" w:line="276" w:lineRule="auto"/>
        <w:jc w:val="both"/>
        <w:rPr>
          <w:rFonts w:ascii="Times New Roman" w:eastAsia="Times New Roman" w:hAnsi="Times New Roman" w:cs="Times New Roman"/>
          <w:sz w:val="24"/>
          <w:szCs w:val="24"/>
          <w:lang w:val="es-CL"/>
        </w:rPr>
      </w:pPr>
      <w:r w:rsidRPr="00AE1E0D">
        <w:rPr>
          <w:rFonts w:ascii="Times New Roman" w:eastAsia="Times New Roman" w:hAnsi="Times New Roman" w:cs="Times New Roman"/>
          <w:sz w:val="24"/>
          <w:szCs w:val="24"/>
          <w:lang w:val="es-CL"/>
        </w:rPr>
        <w:t>Educación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y</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capacitación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seguridad</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radiológica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(TSA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6)</w:t>
      </w:r>
    </w:p>
    <w:p w14:paraId="3F45EDD1" w14:textId="639C7343" w:rsidR="005D0292" w:rsidRPr="00AE1E0D" w:rsidRDefault="005D0292" w:rsidP="00BE3BCB">
      <w:pPr>
        <w:pStyle w:val="ListParagraph"/>
        <w:numPr>
          <w:ilvl w:val="0"/>
          <w:numId w:val="38"/>
        </w:numPr>
        <w:spacing w:after="120" w:line="276" w:lineRule="auto"/>
        <w:jc w:val="both"/>
        <w:rPr>
          <w:rFonts w:ascii="Times New Roman" w:eastAsia="Times New Roman" w:hAnsi="Times New Roman" w:cs="Times New Roman"/>
          <w:sz w:val="24"/>
          <w:szCs w:val="24"/>
          <w:lang w:val="es-CL"/>
        </w:rPr>
      </w:pPr>
      <w:r w:rsidRPr="00AE1E0D">
        <w:rPr>
          <w:rFonts w:ascii="Times New Roman" w:eastAsia="Times New Roman" w:hAnsi="Times New Roman" w:cs="Times New Roman"/>
          <w:sz w:val="24"/>
          <w:szCs w:val="24"/>
          <w:lang w:val="es-CL"/>
        </w:rPr>
        <w:t>Seguridad</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en</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el</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Transporte</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de</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material</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radiactivo</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(TSA</w:t>
      </w:r>
      <w:r w:rsidR="00D136BB">
        <w:rPr>
          <w:rFonts w:ascii="Times New Roman" w:eastAsia="Times New Roman" w:hAnsi="Times New Roman" w:cs="Times New Roman"/>
          <w:sz w:val="24"/>
          <w:szCs w:val="24"/>
          <w:lang w:val="es-CL"/>
        </w:rPr>
        <w:t xml:space="preserve"> </w:t>
      </w:r>
      <w:r w:rsidRPr="00AE1E0D">
        <w:rPr>
          <w:rFonts w:ascii="Times New Roman" w:eastAsia="Times New Roman" w:hAnsi="Times New Roman" w:cs="Times New Roman"/>
          <w:sz w:val="24"/>
          <w:szCs w:val="24"/>
          <w:lang w:val="es-CL"/>
        </w:rPr>
        <w:t>7)</w:t>
      </w:r>
    </w:p>
    <w:p w14:paraId="78C13F24" w14:textId="7E70B54E" w:rsidR="005D0292" w:rsidRPr="00AE1E0D" w:rsidRDefault="005D0292" w:rsidP="00BE3BCB">
      <w:pPr>
        <w:pStyle w:val="ListParagraph"/>
        <w:numPr>
          <w:ilvl w:val="0"/>
          <w:numId w:val="38"/>
        </w:numPr>
        <w:spacing w:after="120" w:line="276" w:lineRule="auto"/>
        <w:jc w:val="both"/>
        <w:rPr>
          <w:rFonts w:ascii="Times New Roman" w:eastAsia="Times New Roman" w:hAnsi="Times New Roman" w:cs="Times New Roman"/>
          <w:sz w:val="24"/>
          <w:szCs w:val="24"/>
          <w:lang w:val="en-US"/>
        </w:rPr>
      </w:pPr>
      <w:r w:rsidRPr="00AE1E0D">
        <w:rPr>
          <w:rFonts w:ascii="Times New Roman" w:eastAsia="Times New Roman" w:hAnsi="Times New Roman" w:cs="Times New Roman"/>
          <w:sz w:val="24"/>
          <w:szCs w:val="24"/>
          <w:lang w:val="en-US"/>
        </w:rPr>
        <w:t>Seguridad</w:t>
      </w:r>
      <w:r w:rsidR="00D136BB">
        <w:rPr>
          <w:rFonts w:ascii="Times New Roman" w:eastAsia="Times New Roman" w:hAnsi="Times New Roman" w:cs="Times New Roman"/>
          <w:sz w:val="24"/>
          <w:szCs w:val="24"/>
          <w:lang w:val="en-US"/>
        </w:rPr>
        <w:t xml:space="preserve"> </w:t>
      </w:r>
      <w:r w:rsidRPr="00AE1E0D">
        <w:rPr>
          <w:rFonts w:ascii="Times New Roman" w:eastAsia="Times New Roman" w:hAnsi="Times New Roman" w:cs="Times New Roman"/>
          <w:sz w:val="24"/>
          <w:szCs w:val="24"/>
          <w:lang w:val="en-US"/>
        </w:rPr>
        <w:t>de</w:t>
      </w:r>
      <w:r w:rsidR="00D136BB">
        <w:rPr>
          <w:rFonts w:ascii="Times New Roman" w:eastAsia="Times New Roman" w:hAnsi="Times New Roman" w:cs="Times New Roman"/>
          <w:sz w:val="24"/>
          <w:szCs w:val="24"/>
          <w:lang w:val="en-US"/>
        </w:rPr>
        <w:t xml:space="preserve"> </w:t>
      </w:r>
      <w:r w:rsidRPr="00AE1E0D">
        <w:rPr>
          <w:rFonts w:ascii="Times New Roman" w:eastAsia="Times New Roman" w:hAnsi="Times New Roman" w:cs="Times New Roman"/>
          <w:sz w:val="24"/>
          <w:szCs w:val="24"/>
          <w:lang w:val="en-US"/>
        </w:rPr>
        <w:t>reactores</w:t>
      </w:r>
      <w:r w:rsidR="00D136BB">
        <w:rPr>
          <w:rFonts w:ascii="Times New Roman" w:eastAsia="Times New Roman" w:hAnsi="Times New Roman" w:cs="Times New Roman"/>
          <w:sz w:val="24"/>
          <w:szCs w:val="24"/>
          <w:lang w:val="en-US"/>
        </w:rPr>
        <w:t xml:space="preserve"> </w:t>
      </w:r>
      <w:r w:rsidRPr="00AE1E0D">
        <w:rPr>
          <w:rFonts w:ascii="Times New Roman" w:eastAsia="Times New Roman" w:hAnsi="Times New Roman" w:cs="Times New Roman"/>
          <w:sz w:val="24"/>
          <w:szCs w:val="24"/>
          <w:lang w:val="en-US"/>
        </w:rPr>
        <w:t>nucleares</w:t>
      </w:r>
    </w:p>
    <w:p w14:paraId="28A04E93" w14:textId="77777777" w:rsidR="005D0292" w:rsidRPr="00AE1E0D" w:rsidRDefault="005D0292" w:rsidP="005D0292">
      <w:pPr>
        <w:spacing w:after="120"/>
        <w:jc w:val="both"/>
        <w:rPr>
          <w:rFonts w:ascii="Times New Roman" w:eastAsia="Times New Roman" w:hAnsi="Times New Roman" w:cs="Times New Roman"/>
          <w:sz w:val="24"/>
          <w:szCs w:val="24"/>
        </w:rPr>
      </w:pPr>
    </w:p>
    <w:p w14:paraId="28F3390B" w14:textId="331B4A57" w:rsidR="005D0292" w:rsidRPr="00AE1E0D" w:rsidRDefault="005D0292" w:rsidP="005D0292">
      <w:pPr>
        <w:spacing w:after="120"/>
        <w:jc w:val="both"/>
        <w:rPr>
          <w:rFonts w:ascii="Times New Roman" w:eastAsia="Times New Roman" w:hAnsi="Times New Roman" w:cs="Times New Roman"/>
          <w:sz w:val="24"/>
          <w:szCs w:val="24"/>
        </w:rPr>
      </w:pPr>
      <w:r w:rsidRPr="00AE1E0D">
        <w:rPr>
          <w:rFonts w:ascii="Times New Roman" w:eastAsia="Times New Roman" w:hAnsi="Times New Roman" w:cs="Times New Roman"/>
          <w:sz w:val="24"/>
          <w:szCs w:val="24"/>
        </w:rPr>
        <w:t>A</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continuación,</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se</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detalla</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el</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análisis</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para</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cada</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uno</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de</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estos</w:t>
      </w:r>
      <w:r w:rsidR="00D136BB">
        <w:rPr>
          <w:rFonts w:ascii="Times New Roman" w:eastAsia="Times New Roman" w:hAnsi="Times New Roman" w:cs="Times New Roman"/>
          <w:sz w:val="24"/>
          <w:szCs w:val="24"/>
        </w:rPr>
        <w:t xml:space="preserve"> </w:t>
      </w:r>
      <w:r w:rsidRPr="00AE1E0D">
        <w:rPr>
          <w:rFonts w:ascii="Times New Roman" w:eastAsia="Times New Roman" w:hAnsi="Times New Roman" w:cs="Times New Roman"/>
          <w:sz w:val="24"/>
          <w:szCs w:val="24"/>
        </w:rPr>
        <w:t>ámbitos.</w:t>
      </w:r>
    </w:p>
    <w:p w14:paraId="15E01418" w14:textId="67BFA04D" w:rsidR="005D0292" w:rsidRPr="00AE1E0D" w:rsidRDefault="001F7F3E" w:rsidP="001F7F3E">
      <w:pPr>
        <w:pStyle w:val="Heading3"/>
        <w:numPr>
          <w:ilvl w:val="0"/>
          <w:numId w:val="0"/>
        </w:numPr>
        <w:tabs>
          <w:tab w:val="clear" w:pos="851"/>
          <w:tab w:val="clear" w:pos="1134"/>
          <w:tab w:val="clear" w:pos="1429"/>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360" w:after="120"/>
        <w:rPr>
          <w:szCs w:val="24"/>
          <w:lang w:val="es-ES"/>
        </w:rPr>
      </w:pPr>
      <w:r w:rsidRPr="00AE1E0D">
        <w:rPr>
          <w:szCs w:val="24"/>
          <w:lang w:val="es-ES"/>
        </w:rPr>
        <w:t>i)</w:t>
      </w:r>
      <w:r w:rsidR="00D136BB">
        <w:rPr>
          <w:szCs w:val="24"/>
          <w:lang w:val="es-ES"/>
        </w:rPr>
        <w:t xml:space="preserve"> </w:t>
      </w:r>
      <w:r w:rsidR="005D0292" w:rsidRPr="00AE1E0D">
        <w:rPr>
          <w:szCs w:val="24"/>
          <w:lang w:val="es-ES"/>
        </w:rPr>
        <w:t>Infraestructura</w:t>
      </w:r>
      <w:r w:rsidR="00D136BB">
        <w:rPr>
          <w:szCs w:val="24"/>
          <w:lang w:val="es-ES"/>
        </w:rPr>
        <w:t xml:space="preserve"> </w:t>
      </w:r>
      <w:r w:rsidR="005D0292" w:rsidRPr="00AE1E0D">
        <w:rPr>
          <w:szCs w:val="24"/>
          <w:lang w:val="es-ES"/>
        </w:rPr>
        <w:t>Regulatoria</w:t>
      </w:r>
    </w:p>
    <w:p w14:paraId="506F9FEE" w14:textId="1DCC767A" w:rsidR="005D0292" w:rsidRPr="00AE1E0D" w:rsidRDefault="005D0292" w:rsidP="005D0292">
      <w:pPr>
        <w:pStyle w:val="ListNumber"/>
        <w:rPr>
          <w:rFonts w:cs="Times New Roman"/>
          <w:szCs w:val="24"/>
        </w:rPr>
      </w:pPr>
      <w:r w:rsidRPr="00AE1E0D">
        <w:rPr>
          <w:rFonts w:cs="Times New Roman"/>
          <w:szCs w:val="24"/>
        </w:rPr>
        <w:t>Se</w:t>
      </w:r>
      <w:r w:rsidR="00D136BB">
        <w:rPr>
          <w:rFonts w:cs="Times New Roman"/>
          <w:szCs w:val="24"/>
        </w:rPr>
        <w:t xml:space="preserve"> </w:t>
      </w:r>
      <w:r w:rsidRPr="00AE1E0D">
        <w:rPr>
          <w:rFonts w:cs="Times New Roman"/>
          <w:szCs w:val="24"/>
        </w:rPr>
        <w:t>observa</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gobiernos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todavía</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tienen</w:t>
      </w:r>
      <w:r w:rsidR="00D136BB">
        <w:rPr>
          <w:rFonts w:cs="Times New Roman"/>
          <w:szCs w:val="24"/>
        </w:rPr>
        <w:t xml:space="preserve"> </w:t>
      </w:r>
      <w:r w:rsidRPr="00AE1E0D">
        <w:rPr>
          <w:rFonts w:cs="Times New Roman"/>
          <w:szCs w:val="24"/>
        </w:rPr>
        <w:t>un</w:t>
      </w:r>
      <w:r w:rsidR="00D136BB">
        <w:rPr>
          <w:rFonts w:cs="Times New Roman"/>
          <w:szCs w:val="24"/>
        </w:rPr>
        <w:t xml:space="preserve"> </w:t>
      </w:r>
      <w:r w:rsidRPr="00AE1E0D">
        <w:rPr>
          <w:rFonts w:cs="Times New Roman"/>
          <w:szCs w:val="24"/>
        </w:rPr>
        <w:t>conocimiento</w:t>
      </w:r>
      <w:r w:rsidR="00D136BB">
        <w:rPr>
          <w:rFonts w:cs="Times New Roman"/>
          <w:szCs w:val="24"/>
        </w:rPr>
        <w:t xml:space="preserve"> </w:t>
      </w:r>
      <w:r w:rsidRPr="00AE1E0D">
        <w:rPr>
          <w:rFonts w:cs="Times New Roman"/>
          <w:szCs w:val="24"/>
        </w:rPr>
        <w:t>suficiente</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papel</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organismo</w:t>
      </w:r>
      <w:r w:rsidR="00D136BB">
        <w:rPr>
          <w:rFonts w:cs="Times New Roman"/>
          <w:szCs w:val="24"/>
        </w:rPr>
        <w:t xml:space="preserve"> </w:t>
      </w:r>
      <w:r w:rsidRPr="00AE1E0D">
        <w:rPr>
          <w:rFonts w:cs="Times New Roman"/>
          <w:szCs w:val="24"/>
        </w:rPr>
        <w:t>regulador</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ello</w:t>
      </w:r>
      <w:r w:rsidR="00D136BB">
        <w:rPr>
          <w:rFonts w:cs="Times New Roman"/>
          <w:szCs w:val="24"/>
        </w:rPr>
        <w:t xml:space="preserve"> </w:t>
      </w:r>
      <w:r w:rsidRPr="00AE1E0D">
        <w:rPr>
          <w:rFonts w:cs="Times New Roman"/>
          <w:szCs w:val="24"/>
        </w:rPr>
        <w:t>puede</w:t>
      </w:r>
      <w:r w:rsidR="00D136BB">
        <w:rPr>
          <w:rFonts w:cs="Times New Roman"/>
          <w:szCs w:val="24"/>
        </w:rPr>
        <w:t xml:space="preserve"> </w:t>
      </w:r>
      <w:r w:rsidRPr="00AE1E0D">
        <w:rPr>
          <w:rFonts w:cs="Times New Roman"/>
          <w:szCs w:val="24"/>
        </w:rPr>
        <w:t>perjudicar</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sostenibilidad</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sistema</w:t>
      </w:r>
      <w:r w:rsidR="00D136BB">
        <w:rPr>
          <w:rFonts w:cs="Times New Roman"/>
          <w:szCs w:val="24"/>
        </w:rPr>
        <w:t xml:space="preserve"> </w:t>
      </w:r>
      <w:r w:rsidRPr="00AE1E0D">
        <w:rPr>
          <w:rFonts w:cs="Times New Roman"/>
          <w:szCs w:val="24"/>
        </w:rPr>
        <w:t>nacional</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p>
    <w:p w14:paraId="655744AD" w14:textId="6F93B21A" w:rsidR="005D0292" w:rsidRPr="00AE1E0D" w:rsidRDefault="005D0292" w:rsidP="005D0292">
      <w:pPr>
        <w:pStyle w:val="ListNumber"/>
        <w:rPr>
          <w:rFonts w:cs="Times New Roman"/>
          <w:szCs w:val="24"/>
        </w:rPr>
      </w:pPr>
      <w:r w:rsidRPr="00AE1E0D">
        <w:rPr>
          <w:rFonts w:cs="Times New Roman"/>
          <w:szCs w:val="24"/>
        </w:rPr>
        <w:t>Existen</w:t>
      </w:r>
      <w:r w:rsidR="00D136BB">
        <w:rPr>
          <w:rFonts w:cs="Times New Roman"/>
          <w:szCs w:val="24"/>
        </w:rPr>
        <w:t xml:space="preserve"> </w:t>
      </w:r>
      <w:r w:rsidRPr="00AE1E0D">
        <w:rPr>
          <w:rFonts w:cs="Times New Roman"/>
          <w:szCs w:val="24"/>
        </w:rPr>
        <w:t>importantes</w:t>
      </w:r>
      <w:r w:rsidR="00D136BB">
        <w:rPr>
          <w:rFonts w:cs="Times New Roman"/>
          <w:szCs w:val="24"/>
        </w:rPr>
        <w:t xml:space="preserve"> </w:t>
      </w:r>
      <w:r w:rsidRPr="00AE1E0D">
        <w:rPr>
          <w:rFonts w:cs="Times New Roman"/>
          <w:szCs w:val="24"/>
        </w:rPr>
        <w:t>elementos</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necesitan</w:t>
      </w:r>
      <w:r w:rsidR="00D136BB">
        <w:rPr>
          <w:rFonts w:cs="Times New Roman"/>
          <w:szCs w:val="24"/>
        </w:rPr>
        <w:t xml:space="preserve"> </w:t>
      </w:r>
      <w:r w:rsidRPr="00AE1E0D">
        <w:rPr>
          <w:rFonts w:cs="Times New Roman"/>
          <w:szCs w:val="24"/>
        </w:rPr>
        <w:t>ser</w:t>
      </w:r>
      <w:r w:rsidR="00D136BB">
        <w:rPr>
          <w:rFonts w:cs="Times New Roman"/>
          <w:szCs w:val="24"/>
        </w:rPr>
        <w:t xml:space="preserve"> </w:t>
      </w:r>
      <w:r w:rsidRPr="00AE1E0D">
        <w:rPr>
          <w:rFonts w:cs="Times New Roman"/>
          <w:szCs w:val="24"/>
        </w:rPr>
        <w:t>atendidos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lograr</w:t>
      </w:r>
      <w:r w:rsidR="00D136BB">
        <w:rPr>
          <w:rFonts w:cs="Times New Roman"/>
          <w:szCs w:val="24"/>
        </w:rPr>
        <w:t xml:space="preserve"> </w:t>
      </w:r>
      <w:r w:rsidRPr="00AE1E0D">
        <w:rPr>
          <w:rFonts w:cs="Times New Roman"/>
          <w:szCs w:val="24"/>
        </w:rPr>
        <w:t>Órganos</w:t>
      </w:r>
      <w:r w:rsidR="00D136BB">
        <w:rPr>
          <w:rFonts w:cs="Times New Roman"/>
          <w:szCs w:val="24"/>
        </w:rPr>
        <w:t xml:space="preserve"> </w:t>
      </w:r>
      <w:r w:rsidRPr="00AE1E0D">
        <w:rPr>
          <w:rFonts w:cs="Times New Roman"/>
          <w:szCs w:val="24"/>
        </w:rPr>
        <w:t>Reguladores</w:t>
      </w:r>
      <w:r w:rsidR="00D136BB">
        <w:rPr>
          <w:rFonts w:cs="Times New Roman"/>
          <w:szCs w:val="24"/>
        </w:rPr>
        <w:t xml:space="preserve"> </w:t>
      </w:r>
      <w:r w:rsidR="006454E8">
        <w:rPr>
          <w:rFonts w:cs="Times New Roman"/>
          <w:szCs w:val="24"/>
        </w:rPr>
        <w:t>efectivos,</w:t>
      </w:r>
      <w:r w:rsidR="00D136BB">
        <w:rPr>
          <w:rFonts w:cs="Times New Roman"/>
          <w:szCs w:val="24"/>
        </w:rPr>
        <w:t xml:space="preserve"> </w:t>
      </w:r>
      <w:r w:rsidR="00FC07E5" w:rsidRPr="00AE1E0D">
        <w:rPr>
          <w:rFonts w:cs="Times New Roman"/>
          <w:szCs w:val="24"/>
        </w:rPr>
        <w:t>con</w:t>
      </w:r>
      <w:r w:rsidR="00D136BB">
        <w:rPr>
          <w:rFonts w:cs="Times New Roman"/>
          <w:szCs w:val="24"/>
        </w:rPr>
        <w:t xml:space="preserve"> </w:t>
      </w:r>
      <w:r w:rsidR="00FC07E5" w:rsidRPr="00AE1E0D">
        <w:rPr>
          <w:rFonts w:cs="Times New Roman"/>
          <w:szCs w:val="24"/>
        </w:rPr>
        <w:t>adecuad</w:t>
      </w:r>
      <w:r w:rsidR="00FC07E5">
        <w:rPr>
          <w:rFonts w:cs="Times New Roman"/>
          <w:szCs w:val="24"/>
        </w:rPr>
        <w:t>as</w:t>
      </w:r>
      <w:r w:rsidR="00D136BB">
        <w:rPr>
          <w:rFonts w:cs="Times New Roman"/>
          <w:szCs w:val="24"/>
        </w:rPr>
        <w:t xml:space="preserve"> </w:t>
      </w:r>
      <w:r w:rsidR="00FC07E5">
        <w:rPr>
          <w:rFonts w:cs="Times New Roman"/>
          <w:szCs w:val="24"/>
        </w:rPr>
        <w:t>competencias</w:t>
      </w:r>
      <w:r w:rsidR="00D136BB">
        <w:rPr>
          <w:rFonts w:cs="Times New Roman"/>
          <w:szCs w:val="24"/>
        </w:rPr>
        <w:t xml:space="preserve"> </w:t>
      </w:r>
      <w:r w:rsidR="00FC07E5">
        <w:rPr>
          <w:rFonts w:cs="Times New Roman"/>
          <w:szCs w:val="24"/>
        </w:rPr>
        <w:t>y</w:t>
      </w:r>
      <w:r w:rsidR="00D136BB">
        <w:rPr>
          <w:rFonts w:cs="Times New Roman"/>
          <w:szCs w:val="24"/>
        </w:rPr>
        <w:t xml:space="preserve"> </w:t>
      </w:r>
      <w:r w:rsidR="00FC07E5" w:rsidRPr="00AE1E0D">
        <w:rPr>
          <w:rFonts w:cs="Times New Roman"/>
          <w:szCs w:val="24"/>
        </w:rPr>
        <w:t>conocimientos</w:t>
      </w:r>
      <w:r w:rsidR="00D136BB">
        <w:rPr>
          <w:rFonts w:cs="Times New Roman"/>
          <w:szCs w:val="24"/>
        </w:rPr>
        <w:t xml:space="preserve"> </w:t>
      </w:r>
      <w:r w:rsidR="006454E8">
        <w:rPr>
          <w:rFonts w:cs="Times New Roman"/>
          <w:szCs w:val="24"/>
        </w:rPr>
        <w:t>técnicos.</w:t>
      </w:r>
    </w:p>
    <w:p w14:paraId="5FF28B2B" w14:textId="4711C784" w:rsidR="005D0292" w:rsidRPr="00AE1E0D" w:rsidRDefault="002B2EE7" w:rsidP="005D0292">
      <w:pPr>
        <w:pStyle w:val="ListNumber"/>
        <w:rPr>
          <w:rFonts w:cs="Times New Roman"/>
          <w:szCs w:val="24"/>
        </w:rPr>
      </w:pPr>
      <w:r>
        <w:rPr>
          <w:rFonts w:cs="Times New Roman"/>
          <w:szCs w:val="24"/>
        </w:rPr>
        <w:t>L</w:t>
      </w:r>
      <w:r w:rsidR="005D0292" w:rsidRPr="00AE1E0D">
        <w:rPr>
          <w:rFonts w:cs="Times New Roman"/>
          <w:szCs w:val="24"/>
        </w:rPr>
        <w:t>a</w:t>
      </w:r>
      <w:r w:rsidR="00D136BB">
        <w:rPr>
          <w:rFonts w:cs="Times New Roman"/>
          <w:szCs w:val="24"/>
        </w:rPr>
        <w:t xml:space="preserve"> </w:t>
      </w:r>
      <w:r w:rsidR="005D0292" w:rsidRPr="00AE1E0D">
        <w:rPr>
          <w:rFonts w:cs="Times New Roman"/>
          <w:szCs w:val="24"/>
        </w:rPr>
        <w:t>legislación</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sidR="005D0292" w:rsidRPr="00AE1E0D">
        <w:rPr>
          <w:rFonts w:cs="Times New Roman"/>
          <w:szCs w:val="24"/>
        </w:rPr>
        <w:t>regulaciones</w:t>
      </w:r>
      <w:r w:rsidR="00D136BB">
        <w:rPr>
          <w:rFonts w:cs="Times New Roman"/>
          <w:szCs w:val="24"/>
        </w:rPr>
        <w:t xml:space="preserve"> </w:t>
      </w:r>
      <w:r w:rsidR="005D0292" w:rsidRPr="00AE1E0D">
        <w:rPr>
          <w:rFonts w:cs="Times New Roman"/>
          <w:szCs w:val="24"/>
        </w:rPr>
        <w:t>existentes</w:t>
      </w:r>
      <w:r w:rsidR="00D136BB">
        <w:rPr>
          <w:rFonts w:cs="Times New Roman"/>
          <w:szCs w:val="24"/>
        </w:rPr>
        <w:t xml:space="preserve"> </w:t>
      </w:r>
      <w:r w:rsidR="005D0292" w:rsidRPr="00AE1E0D">
        <w:rPr>
          <w:rFonts w:cs="Times New Roman"/>
          <w:szCs w:val="24"/>
        </w:rPr>
        <w:t>son</w:t>
      </w:r>
      <w:r w:rsidR="00D136BB">
        <w:rPr>
          <w:rFonts w:cs="Times New Roman"/>
          <w:szCs w:val="24"/>
        </w:rPr>
        <w:t xml:space="preserve"> </w:t>
      </w:r>
      <w:r w:rsidR="005D0292" w:rsidRPr="00AE1E0D">
        <w:rPr>
          <w:rFonts w:cs="Times New Roman"/>
          <w:szCs w:val="24"/>
        </w:rPr>
        <w:t>compatibles</w:t>
      </w:r>
      <w:r w:rsidR="00D136BB">
        <w:rPr>
          <w:rFonts w:cs="Times New Roman"/>
          <w:szCs w:val="24"/>
        </w:rPr>
        <w:t xml:space="preserve"> </w:t>
      </w:r>
      <w:r w:rsidR="005D0292" w:rsidRPr="00AE1E0D">
        <w:rPr>
          <w:rFonts w:cs="Times New Roman"/>
          <w:szCs w:val="24"/>
        </w:rPr>
        <w:t>con</w:t>
      </w:r>
      <w:r w:rsidR="00D136BB">
        <w:rPr>
          <w:rFonts w:cs="Times New Roman"/>
          <w:szCs w:val="24"/>
        </w:rPr>
        <w:t xml:space="preserve"> </w:t>
      </w:r>
      <w:r w:rsidR="005D0292" w:rsidRPr="00AE1E0D">
        <w:rPr>
          <w:rFonts w:cs="Times New Roman"/>
          <w:szCs w:val="24"/>
        </w:rPr>
        <w:t>las</w:t>
      </w:r>
      <w:r w:rsidR="00D136BB">
        <w:rPr>
          <w:rFonts w:cs="Times New Roman"/>
          <w:szCs w:val="24"/>
        </w:rPr>
        <w:t xml:space="preserve"> </w:t>
      </w:r>
      <w:r w:rsidR="005D0292" w:rsidRPr="00AE1E0D">
        <w:rPr>
          <w:rFonts w:cs="Times New Roman"/>
          <w:szCs w:val="24"/>
        </w:rPr>
        <w:t>recomendaciones</w:t>
      </w:r>
      <w:r w:rsidR="00D136BB">
        <w:rPr>
          <w:rFonts w:cs="Times New Roman"/>
          <w:szCs w:val="24"/>
        </w:rPr>
        <w:t xml:space="preserve"> </w:t>
      </w:r>
      <w:r w:rsidR="005D0292" w:rsidRPr="00AE1E0D">
        <w:rPr>
          <w:rFonts w:cs="Times New Roman"/>
          <w:szCs w:val="24"/>
        </w:rPr>
        <w:t>internacionales,</w:t>
      </w:r>
      <w:r w:rsidR="00D136BB">
        <w:rPr>
          <w:rFonts w:cs="Times New Roman"/>
          <w:szCs w:val="24"/>
        </w:rPr>
        <w:t xml:space="preserve"> </w:t>
      </w:r>
      <w:r w:rsidR="005D0292" w:rsidRPr="00AE1E0D">
        <w:rPr>
          <w:rFonts w:cs="Times New Roman"/>
          <w:szCs w:val="24"/>
        </w:rPr>
        <w:t>pero,</w:t>
      </w:r>
      <w:r w:rsidR="00D136BB">
        <w:rPr>
          <w:rFonts w:cs="Times New Roman"/>
          <w:szCs w:val="24"/>
        </w:rPr>
        <w:t xml:space="preserve"> </w:t>
      </w:r>
      <w:r w:rsidR="005D0292" w:rsidRPr="00AE1E0D">
        <w:rPr>
          <w:rFonts w:cs="Times New Roman"/>
          <w:szCs w:val="24"/>
        </w:rPr>
        <w:t>en</w:t>
      </w:r>
      <w:r w:rsidR="00D136BB">
        <w:rPr>
          <w:rFonts w:cs="Times New Roman"/>
          <w:szCs w:val="24"/>
        </w:rPr>
        <w:t xml:space="preserve"> </w:t>
      </w:r>
      <w:r w:rsidR="005D0292" w:rsidRPr="00AE1E0D">
        <w:rPr>
          <w:rFonts w:cs="Times New Roman"/>
          <w:szCs w:val="24"/>
        </w:rPr>
        <w:t>algunos</w:t>
      </w:r>
      <w:r w:rsidR="00D136BB">
        <w:rPr>
          <w:rFonts w:cs="Times New Roman"/>
          <w:szCs w:val="24"/>
        </w:rPr>
        <w:t xml:space="preserve"> </w:t>
      </w:r>
      <w:r w:rsidR="005D0292" w:rsidRPr="00AE1E0D">
        <w:rPr>
          <w:rFonts w:cs="Times New Roman"/>
          <w:szCs w:val="24"/>
        </w:rPr>
        <w:t>casos,</w:t>
      </w:r>
      <w:r w:rsidR="00D136BB">
        <w:rPr>
          <w:rFonts w:cs="Times New Roman"/>
          <w:szCs w:val="24"/>
        </w:rPr>
        <w:t xml:space="preserve"> </w:t>
      </w:r>
      <w:r w:rsidR="005D0292" w:rsidRPr="00AE1E0D">
        <w:rPr>
          <w:rFonts w:cs="Times New Roman"/>
          <w:szCs w:val="24"/>
        </w:rPr>
        <w:t>algunas</w:t>
      </w:r>
      <w:r w:rsidR="00D136BB">
        <w:rPr>
          <w:rFonts w:cs="Times New Roman"/>
          <w:szCs w:val="24"/>
        </w:rPr>
        <w:t xml:space="preserve"> </w:t>
      </w:r>
      <w:r w:rsidR="005D0292" w:rsidRPr="00AE1E0D">
        <w:rPr>
          <w:rFonts w:cs="Times New Roman"/>
          <w:szCs w:val="24"/>
        </w:rPr>
        <w:t>áreas</w:t>
      </w:r>
      <w:r w:rsidR="00D136BB">
        <w:rPr>
          <w:rFonts w:cs="Times New Roman"/>
          <w:szCs w:val="24"/>
        </w:rPr>
        <w:t xml:space="preserve"> </w:t>
      </w:r>
      <w:r w:rsidR="005D0292" w:rsidRPr="00AE1E0D">
        <w:rPr>
          <w:rFonts w:cs="Times New Roman"/>
          <w:szCs w:val="24"/>
        </w:rPr>
        <w:t>no</w:t>
      </w:r>
      <w:r w:rsidR="00D136BB">
        <w:rPr>
          <w:rFonts w:cs="Times New Roman"/>
          <w:szCs w:val="24"/>
        </w:rPr>
        <w:t xml:space="preserve"> </w:t>
      </w:r>
      <w:r w:rsidR="005D0292" w:rsidRPr="00AE1E0D">
        <w:rPr>
          <w:rFonts w:cs="Times New Roman"/>
          <w:szCs w:val="24"/>
        </w:rPr>
        <w:t>están</w:t>
      </w:r>
      <w:r w:rsidR="00D136BB">
        <w:rPr>
          <w:rFonts w:cs="Times New Roman"/>
          <w:szCs w:val="24"/>
        </w:rPr>
        <w:t xml:space="preserve"> </w:t>
      </w:r>
      <w:r w:rsidR="005D0292" w:rsidRPr="00AE1E0D">
        <w:rPr>
          <w:rFonts w:cs="Times New Roman"/>
          <w:szCs w:val="24"/>
        </w:rPr>
        <w:t>cubiertas</w:t>
      </w:r>
      <w:r w:rsidR="00D136BB">
        <w:rPr>
          <w:rFonts w:cs="Times New Roman"/>
          <w:szCs w:val="24"/>
        </w:rPr>
        <w:t xml:space="preserve"> </w:t>
      </w:r>
      <w:r w:rsidR="005D0292" w:rsidRPr="00AE1E0D">
        <w:rPr>
          <w:rFonts w:cs="Times New Roman"/>
          <w:szCs w:val="24"/>
        </w:rPr>
        <w:t>por</w:t>
      </w:r>
      <w:r w:rsidR="00D136BB">
        <w:rPr>
          <w:rFonts w:cs="Times New Roman"/>
          <w:szCs w:val="24"/>
        </w:rPr>
        <w:t xml:space="preserve"> </w:t>
      </w:r>
      <w:r w:rsidR="005D0292" w:rsidRPr="00AE1E0D">
        <w:rPr>
          <w:rFonts w:cs="Times New Roman"/>
          <w:szCs w:val="24"/>
        </w:rPr>
        <w:t>las</w:t>
      </w:r>
      <w:r w:rsidR="00D136BB">
        <w:rPr>
          <w:rFonts w:cs="Times New Roman"/>
          <w:szCs w:val="24"/>
        </w:rPr>
        <w:t xml:space="preserve"> </w:t>
      </w:r>
      <w:r w:rsidR="005D0292" w:rsidRPr="00AE1E0D">
        <w:rPr>
          <w:rFonts w:cs="Times New Roman"/>
          <w:szCs w:val="24"/>
        </w:rPr>
        <w:t>regulaciones</w:t>
      </w:r>
      <w:r w:rsidR="00D136BB">
        <w:rPr>
          <w:rFonts w:cs="Times New Roman"/>
          <w:szCs w:val="24"/>
        </w:rPr>
        <w:t xml:space="preserve"> </w:t>
      </w:r>
      <w:r w:rsidR="005D0292" w:rsidRPr="00AE1E0D">
        <w:rPr>
          <w:rFonts w:cs="Times New Roman"/>
          <w:szCs w:val="24"/>
        </w:rPr>
        <w:t>debido</w:t>
      </w:r>
      <w:r w:rsidR="00D136BB">
        <w:rPr>
          <w:rFonts w:cs="Times New Roman"/>
          <w:szCs w:val="24"/>
        </w:rPr>
        <w:t xml:space="preserve"> </w:t>
      </w:r>
      <w:r w:rsidR="005D0292" w:rsidRPr="00AE1E0D">
        <w:rPr>
          <w:rFonts w:cs="Times New Roman"/>
          <w:szCs w:val="24"/>
        </w:rPr>
        <w:t>a</w:t>
      </w:r>
      <w:r w:rsidR="00D136BB">
        <w:rPr>
          <w:rFonts w:cs="Times New Roman"/>
          <w:szCs w:val="24"/>
        </w:rPr>
        <w:t xml:space="preserve"> </w:t>
      </w:r>
      <w:r w:rsidR="005D0292" w:rsidRPr="00AE1E0D">
        <w:rPr>
          <w:rFonts w:cs="Times New Roman"/>
          <w:szCs w:val="24"/>
        </w:rPr>
        <w:t>la</w:t>
      </w:r>
      <w:r w:rsidR="00D136BB">
        <w:rPr>
          <w:rFonts w:cs="Times New Roman"/>
          <w:szCs w:val="24"/>
        </w:rPr>
        <w:t xml:space="preserve"> </w:t>
      </w:r>
      <w:r w:rsidR="005D0292" w:rsidRPr="00AE1E0D">
        <w:rPr>
          <w:rFonts w:cs="Times New Roman"/>
          <w:szCs w:val="24"/>
        </w:rPr>
        <w:t>incorporación</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nuevas</w:t>
      </w:r>
      <w:r w:rsidR="00D136BB">
        <w:rPr>
          <w:rFonts w:cs="Times New Roman"/>
          <w:szCs w:val="24"/>
        </w:rPr>
        <w:t xml:space="preserve"> </w:t>
      </w:r>
      <w:r w:rsidR="005D0292" w:rsidRPr="00AE1E0D">
        <w:rPr>
          <w:rFonts w:cs="Times New Roman"/>
          <w:szCs w:val="24"/>
        </w:rPr>
        <w:t>prácticas</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sidR="005D0292" w:rsidRPr="00AE1E0D">
        <w:rPr>
          <w:rFonts w:cs="Times New Roman"/>
          <w:szCs w:val="24"/>
        </w:rPr>
        <w:t>tecnologías,</w:t>
      </w:r>
      <w:r w:rsidR="00D136BB">
        <w:rPr>
          <w:rFonts w:cs="Times New Roman"/>
          <w:szCs w:val="24"/>
        </w:rPr>
        <w:t xml:space="preserve"> </w:t>
      </w:r>
      <w:r w:rsidR="005D0292" w:rsidRPr="00AE1E0D">
        <w:rPr>
          <w:rFonts w:cs="Times New Roman"/>
          <w:szCs w:val="24"/>
        </w:rPr>
        <w:t>por</w:t>
      </w:r>
      <w:r w:rsidR="00D136BB">
        <w:rPr>
          <w:rFonts w:cs="Times New Roman"/>
          <w:szCs w:val="24"/>
        </w:rPr>
        <w:t xml:space="preserve"> </w:t>
      </w:r>
      <w:r w:rsidR="006454E8" w:rsidRPr="00AE1E0D">
        <w:rPr>
          <w:rFonts w:cs="Times New Roman"/>
          <w:szCs w:val="24"/>
        </w:rPr>
        <w:t>ejemplo,</w:t>
      </w:r>
      <w:r w:rsidR="00D136BB">
        <w:rPr>
          <w:rFonts w:cs="Times New Roman"/>
          <w:szCs w:val="24"/>
        </w:rPr>
        <w:t xml:space="preserve"> </w:t>
      </w:r>
      <w:r w:rsidR="005D0292" w:rsidRPr="00AE1E0D">
        <w:rPr>
          <w:rFonts w:cs="Times New Roman"/>
          <w:szCs w:val="24"/>
        </w:rPr>
        <w:t>ciclotrones,</w:t>
      </w:r>
      <w:r w:rsidR="00D136BB">
        <w:rPr>
          <w:rFonts w:cs="Times New Roman"/>
          <w:szCs w:val="24"/>
        </w:rPr>
        <w:t xml:space="preserve"> </w:t>
      </w:r>
      <w:r w:rsidR="005D0292" w:rsidRPr="00AE1E0D">
        <w:rPr>
          <w:rFonts w:cs="Times New Roman"/>
          <w:szCs w:val="24"/>
        </w:rPr>
        <w:t>radiofarmacia</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sidR="005D0292" w:rsidRPr="00AE1E0D">
        <w:rPr>
          <w:rFonts w:cs="Times New Roman"/>
          <w:szCs w:val="24"/>
        </w:rPr>
        <w:t>reactores</w:t>
      </w:r>
      <w:r w:rsidR="00D136BB">
        <w:rPr>
          <w:rFonts w:cs="Times New Roman"/>
          <w:szCs w:val="24"/>
        </w:rPr>
        <w:t xml:space="preserve"> </w:t>
      </w:r>
      <w:r w:rsidR="005D0292" w:rsidRPr="00AE1E0D">
        <w:rPr>
          <w:rFonts w:cs="Times New Roman"/>
          <w:szCs w:val="24"/>
        </w:rPr>
        <w:t>modulares.</w:t>
      </w:r>
    </w:p>
    <w:p w14:paraId="76D1E728" w14:textId="5463EDBC" w:rsidR="005D0292" w:rsidRPr="00AE1E0D" w:rsidRDefault="002B2EE7" w:rsidP="005D0292">
      <w:pPr>
        <w:pStyle w:val="ListNumber"/>
        <w:rPr>
          <w:rFonts w:cs="Times New Roman"/>
          <w:szCs w:val="24"/>
        </w:rPr>
      </w:pPr>
      <w:r>
        <w:rPr>
          <w:rFonts w:cs="Times New Roman"/>
          <w:szCs w:val="24"/>
        </w:rPr>
        <w:t>S</w:t>
      </w:r>
      <w:r w:rsidR="005D0292" w:rsidRPr="00AE1E0D">
        <w:rPr>
          <w:rFonts w:cs="Times New Roman"/>
          <w:szCs w:val="24"/>
        </w:rPr>
        <w:t>e</w:t>
      </w:r>
      <w:r w:rsidR="00D136BB">
        <w:rPr>
          <w:rFonts w:cs="Times New Roman"/>
          <w:szCs w:val="24"/>
        </w:rPr>
        <w:t xml:space="preserve"> </w:t>
      </w:r>
      <w:r w:rsidR="005D0292" w:rsidRPr="00AE1E0D">
        <w:rPr>
          <w:rFonts w:cs="Times New Roman"/>
          <w:szCs w:val="24"/>
        </w:rPr>
        <w:t>requiere</w:t>
      </w:r>
      <w:r w:rsidR="00D136BB">
        <w:rPr>
          <w:rFonts w:cs="Times New Roman"/>
          <w:szCs w:val="24"/>
        </w:rPr>
        <w:t xml:space="preserve"> </w:t>
      </w:r>
      <w:r w:rsidR="005D0292" w:rsidRPr="00AE1E0D">
        <w:rPr>
          <w:rFonts w:cs="Times New Roman"/>
          <w:szCs w:val="24"/>
        </w:rPr>
        <w:t>la</w:t>
      </w:r>
      <w:r w:rsidR="00D136BB">
        <w:rPr>
          <w:rFonts w:cs="Times New Roman"/>
          <w:szCs w:val="24"/>
        </w:rPr>
        <w:t xml:space="preserve"> </w:t>
      </w:r>
      <w:r w:rsidR="005D0292" w:rsidRPr="00AE1E0D">
        <w:rPr>
          <w:rFonts w:cs="Times New Roman"/>
          <w:szCs w:val="24"/>
        </w:rPr>
        <w:t>actualización</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las</w:t>
      </w:r>
      <w:r w:rsidR="00D136BB">
        <w:rPr>
          <w:rFonts w:cs="Times New Roman"/>
          <w:szCs w:val="24"/>
        </w:rPr>
        <w:t xml:space="preserve"> </w:t>
      </w:r>
      <w:r w:rsidR="005D0292" w:rsidRPr="00AE1E0D">
        <w:rPr>
          <w:rFonts w:cs="Times New Roman"/>
          <w:szCs w:val="24"/>
        </w:rPr>
        <w:t>regulaciones</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acuerdo</w:t>
      </w:r>
      <w:r w:rsidR="00D136BB">
        <w:rPr>
          <w:rFonts w:cs="Times New Roman"/>
          <w:szCs w:val="24"/>
        </w:rPr>
        <w:t xml:space="preserve"> </w:t>
      </w:r>
      <w:r w:rsidR="005D0292" w:rsidRPr="00AE1E0D">
        <w:rPr>
          <w:rFonts w:cs="Times New Roman"/>
          <w:szCs w:val="24"/>
        </w:rPr>
        <w:t>con</w:t>
      </w:r>
      <w:r w:rsidR="00D136BB">
        <w:rPr>
          <w:rFonts w:cs="Times New Roman"/>
          <w:szCs w:val="24"/>
        </w:rPr>
        <w:t xml:space="preserve"> </w:t>
      </w:r>
      <w:r w:rsidR="005D0292" w:rsidRPr="00AE1E0D">
        <w:rPr>
          <w:rFonts w:cs="Times New Roman"/>
          <w:szCs w:val="24"/>
        </w:rPr>
        <w:t>los</w:t>
      </w:r>
      <w:r w:rsidR="00D136BB">
        <w:rPr>
          <w:rFonts w:cs="Times New Roman"/>
          <w:szCs w:val="24"/>
        </w:rPr>
        <w:t xml:space="preserve"> </w:t>
      </w:r>
      <w:r w:rsidR="005D0292" w:rsidRPr="00AE1E0D">
        <w:rPr>
          <w:rFonts w:cs="Times New Roman"/>
          <w:szCs w:val="24"/>
        </w:rPr>
        <w:t>requisitos</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seguridad</w:t>
      </w:r>
      <w:r w:rsidR="00D136BB">
        <w:rPr>
          <w:rFonts w:cs="Times New Roman"/>
          <w:szCs w:val="24"/>
        </w:rPr>
        <w:t xml:space="preserve"> </w:t>
      </w:r>
      <w:r w:rsidR="005D0292" w:rsidRPr="00AE1E0D">
        <w:rPr>
          <w:rFonts w:cs="Times New Roman"/>
          <w:szCs w:val="24"/>
        </w:rPr>
        <w:t>del</w:t>
      </w:r>
      <w:r w:rsidR="00D136BB">
        <w:rPr>
          <w:rFonts w:cs="Times New Roman"/>
          <w:szCs w:val="24"/>
        </w:rPr>
        <w:t xml:space="preserve"> </w:t>
      </w:r>
      <w:r w:rsidR="005D0292" w:rsidRPr="00AE1E0D">
        <w:rPr>
          <w:rFonts w:cs="Times New Roman"/>
          <w:szCs w:val="24"/>
        </w:rPr>
        <w:t>OIEA.</w:t>
      </w:r>
    </w:p>
    <w:p w14:paraId="6D9DD101" w14:textId="78664B9B" w:rsidR="005D0292" w:rsidRDefault="005D0292" w:rsidP="00AE3F33">
      <w:pPr>
        <w:pStyle w:val="ListNumber"/>
        <w:rPr>
          <w:rFonts w:cs="Times New Roman"/>
          <w:szCs w:val="24"/>
        </w:rPr>
      </w:pPr>
      <w:r w:rsidRPr="00AE1E0D">
        <w:rPr>
          <w:rFonts w:cs="Times New Roman"/>
          <w:szCs w:val="24"/>
        </w:rPr>
        <w:t>No</w:t>
      </w:r>
      <w:r w:rsidR="00D136BB">
        <w:rPr>
          <w:rFonts w:cs="Times New Roman"/>
          <w:szCs w:val="24"/>
        </w:rPr>
        <w:t xml:space="preserve"> </w:t>
      </w:r>
      <w:r w:rsidRPr="00AE1E0D">
        <w:rPr>
          <w:rFonts w:cs="Times New Roman"/>
          <w:szCs w:val="24"/>
        </w:rPr>
        <w:t>existen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políticas</w:t>
      </w:r>
      <w:r w:rsidR="00D136BB">
        <w:rPr>
          <w:rFonts w:cs="Times New Roman"/>
          <w:szCs w:val="24"/>
        </w:rPr>
        <w:t xml:space="preserve"> </w:t>
      </w:r>
      <w:r w:rsidR="00AE3F33">
        <w:rPr>
          <w:rFonts w:cs="Times New Roman"/>
          <w:szCs w:val="24"/>
        </w:rPr>
        <w:t>de</w:t>
      </w:r>
      <w:r w:rsidR="00D136BB">
        <w:rPr>
          <w:rFonts w:cs="Times New Roman"/>
          <w:szCs w:val="24"/>
        </w:rPr>
        <w:t xml:space="preserve"> </w:t>
      </w:r>
      <w:r w:rsidR="00AE3F33">
        <w:rPr>
          <w:rFonts w:cs="Times New Roman"/>
          <w:szCs w:val="24"/>
        </w:rPr>
        <w:t>Seguridad</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hacer</w:t>
      </w:r>
      <w:r w:rsidR="00D136BB">
        <w:rPr>
          <w:rFonts w:cs="Times New Roman"/>
          <w:szCs w:val="24"/>
        </w:rPr>
        <w:t xml:space="preserve"> </w:t>
      </w:r>
      <w:r w:rsidRPr="00AE1E0D">
        <w:rPr>
          <w:rFonts w:cs="Times New Roman"/>
          <w:szCs w:val="24"/>
        </w:rPr>
        <w:t>cumplir</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requisitos</w:t>
      </w:r>
      <w:r w:rsidR="00D136BB">
        <w:rPr>
          <w:rFonts w:cs="Times New Roman"/>
          <w:szCs w:val="24"/>
        </w:rPr>
        <w:t xml:space="preserve"> </w:t>
      </w:r>
      <w:r w:rsidRPr="00AE1E0D">
        <w:rPr>
          <w:rFonts w:cs="Times New Roman"/>
          <w:szCs w:val="24"/>
        </w:rPr>
        <w:t>reguladores</w:t>
      </w:r>
      <w:r w:rsidR="00D136BB">
        <w:rPr>
          <w:rFonts w:cs="Times New Roman"/>
          <w:szCs w:val="24"/>
        </w:rPr>
        <w:t xml:space="preserve"> </w:t>
      </w:r>
      <w:r w:rsidR="00AE3F33">
        <w:rPr>
          <w:rFonts w:cs="Times New Roman"/>
          <w:szCs w:val="24"/>
        </w:rPr>
        <w:t>y</w:t>
      </w:r>
      <w:r w:rsidR="00D136BB">
        <w:rPr>
          <w:rFonts w:cs="Times New Roman"/>
          <w:szCs w:val="24"/>
        </w:rPr>
        <w:t xml:space="preserve"> </w:t>
      </w:r>
      <w:r w:rsidR="00AE3F33">
        <w:rPr>
          <w:rFonts w:cs="Times New Roman"/>
          <w:szCs w:val="24"/>
        </w:rPr>
        <w:t>establecer</w:t>
      </w:r>
      <w:r w:rsidR="00D136BB">
        <w:rPr>
          <w:rFonts w:cs="Times New Roman"/>
          <w:szCs w:val="24"/>
        </w:rPr>
        <w:t xml:space="preserve"> </w:t>
      </w:r>
      <w:r w:rsidR="00AE3F33">
        <w:rPr>
          <w:rFonts w:cs="Times New Roman"/>
          <w:szCs w:val="24"/>
        </w:rPr>
        <w:t>un</w:t>
      </w:r>
      <w:r w:rsidR="00D136BB">
        <w:rPr>
          <w:rFonts w:cs="Times New Roman"/>
          <w:szCs w:val="24"/>
        </w:rPr>
        <w:t xml:space="preserve"> </w:t>
      </w:r>
      <w:r w:rsidR="00AE3F33">
        <w:rPr>
          <w:rFonts w:cs="Times New Roman"/>
          <w:szCs w:val="24"/>
        </w:rPr>
        <w:t>marco</w:t>
      </w:r>
      <w:r w:rsidR="00D136BB">
        <w:rPr>
          <w:rFonts w:cs="Times New Roman"/>
          <w:szCs w:val="24"/>
        </w:rPr>
        <w:t xml:space="preserve"> </w:t>
      </w:r>
      <w:r w:rsidR="00AE3F33">
        <w:rPr>
          <w:rFonts w:cs="Times New Roman"/>
          <w:szCs w:val="24"/>
        </w:rPr>
        <w:t>regulador</w:t>
      </w:r>
      <w:r w:rsidR="00D136BB">
        <w:rPr>
          <w:rFonts w:cs="Times New Roman"/>
          <w:szCs w:val="24"/>
        </w:rPr>
        <w:t xml:space="preserve"> </w:t>
      </w:r>
      <w:r w:rsidR="00AE3F33" w:rsidRPr="00AE1E0D">
        <w:rPr>
          <w:rFonts w:cs="Times New Roman"/>
          <w:szCs w:val="24"/>
        </w:rPr>
        <w:t>exentos</w:t>
      </w:r>
      <w:r w:rsidR="00D136BB">
        <w:rPr>
          <w:rFonts w:cs="Times New Roman"/>
          <w:szCs w:val="24"/>
        </w:rPr>
        <w:t xml:space="preserve"> </w:t>
      </w:r>
      <w:r w:rsidR="00AE3F33" w:rsidRPr="00AE1E0D">
        <w:rPr>
          <w:rFonts w:cs="Times New Roman"/>
          <w:szCs w:val="24"/>
        </w:rPr>
        <w:t>de</w:t>
      </w:r>
      <w:r w:rsidR="00D136BB">
        <w:rPr>
          <w:rFonts w:cs="Times New Roman"/>
          <w:szCs w:val="24"/>
        </w:rPr>
        <w:t xml:space="preserve"> </w:t>
      </w:r>
      <w:r w:rsidR="00AE3F33" w:rsidRPr="00AE1E0D">
        <w:rPr>
          <w:rFonts w:cs="Times New Roman"/>
          <w:szCs w:val="24"/>
        </w:rPr>
        <w:t>influencias</w:t>
      </w:r>
      <w:r w:rsidR="00D136BB">
        <w:rPr>
          <w:rFonts w:cs="Times New Roman"/>
          <w:szCs w:val="24"/>
        </w:rPr>
        <w:t xml:space="preserve"> </w:t>
      </w:r>
      <w:r w:rsidR="00AE3F33" w:rsidRPr="00AE1E0D">
        <w:rPr>
          <w:rFonts w:cs="Times New Roman"/>
          <w:szCs w:val="24"/>
        </w:rPr>
        <w:t>políticas,</w:t>
      </w:r>
      <w:r w:rsidR="00D136BB">
        <w:rPr>
          <w:rFonts w:cs="Times New Roman"/>
          <w:szCs w:val="24"/>
        </w:rPr>
        <w:t xml:space="preserve"> </w:t>
      </w:r>
      <w:r w:rsidR="00AE3F33" w:rsidRPr="00AE1E0D">
        <w:rPr>
          <w:rFonts w:cs="Times New Roman"/>
          <w:szCs w:val="24"/>
        </w:rPr>
        <w:t>con</w:t>
      </w:r>
      <w:r w:rsidR="00D136BB">
        <w:rPr>
          <w:rFonts w:cs="Times New Roman"/>
          <w:szCs w:val="24"/>
        </w:rPr>
        <w:t xml:space="preserve"> </w:t>
      </w:r>
      <w:r w:rsidR="00AE3F33" w:rsidRPr="00AE1E0D">
        <w:rPr>
          <w:rFonts w:cs="Times New Roman"/>
          <w:szCs w:val="24"/>
        </w:rPr>
        <w:t>una</w:t>
      </w:r>
      <w:r w:rsidR="00D136BB">
        <w:rPr>
          <w:rFonts w:cs="Times New Roman"/>
          <w:szCs w:val="24"/>
        </w:rPr>
        <w:t xml:space="preserve"> </w:t>
      </w:r>
      <w:r w:rsidR="00AE3F33" w:rsidRPr="00AE1E0D">
        <w:rPr>
          <w:rFonts w:cs="Times New Roman"/>
          <w:szCs w:val="24"/>
        </w:rPr>
        <w:t>estructura</w:t>
      </w:r>
      <w:r w:rsidR="00D136BB">
        <w:rPr>
          <w:rFonts w:cs="Times New Roman"/>
          <w:szCs w:val="24"/>
        </w:rPr>
        <w:t xml:space="preserve"> </w:t>
      </w:r>
      <w:r w:rsidR="00AE3F33" w:rsidRPr="00AE1E0D">
        <w:rPr>
          <w:rFonts w:cs="Times New Roman"/>
          <w:szCs w:val="24"/>
        </w:rPr>
        <w:t>nacional</w:t>
      </w:r>
      <w:r w:rsidR="00D136BB">
        <w:rPr>
          <w:rFonts w:cs="Times New Roman"/>
          <w:szCs w:val="24"/>
        </w:rPr>
        <w:t xml:space="preserve"> </w:t>
      </w:r>
      <w:r w:rsidR="00AE3F33" w:rsidRPr="00AE1E0D">
        <w:rPr>
          <w:rFonts w:cs="Times New Roman"/>
          <w:szCs w:val="24"/>
        </w:rPr>
        <w:t>suficiente</w:t>
      </w:r>
      <w:r w:rsidR="00D136BB">
        <w:rPr>
          <w:rFonts w:cs="Times New Roman"/>
          <w:szCs w:val="24"/>
        </w:rPr>
        <w:t xml:space="preserve"> </w:t>
      </w:r>
      <w:r w:rsidR="00AE3F33" w:rsidRPr="00AE1E0D">
        <w:rPr>
          <w:rFonts w:cs="Times New Roman"/>
          <w:szCs w:val="24"/>
        </w:rPr>
        <w:t>y</w:t>
      </w:r>
      <w:r w:rsidR="00D136BB">
        <w:rPr>
          <w:rFonts w:cs="Times New Roman"/>
          <w:szCs w:val="24"/>
        </w:rPr>
        <w:t xml:space="preserve"> </w:t>
      </w:r>
      <w:r w:rsidR="00AE3F33" w:rsidRPr="00AE1E0D">
        <w:rPr>
          <w:rFonts w:cs="Times New Roman"/>
          <w:szCs w:val="24"/>
        </w:rPr>
        <w:t>con</w:t>
      </w:r>
      <w:r w:rsidR="00D136BB">
        <w:rPr>
          <w:rFonts w:cs="Times New Roman"/>
          <w:szCs w:val="24"/>
        </w:rPr>
        <w:t xml:space="preserve"> </w:t>
      </w:r>
      <w:r w:rsidR="00AE3F33" w:rsidRPr="00AE1E0D">
        <w:rPr>
          <w:rFonts w:cs="Times New Roman"/>
          <w:szCs w:val="24"/>
        </w:rPr>
        <w:t>reglamentaciones</w:t>
      </w:r>
      <w:r w:rsidR="00D136BB">
        <w:rPr>
          <w:rFonts w:cs="Times New Roman"/>
          <w:szCs w:val="24"/>
        </w:rPr>
        <w:t xml:space="preserve"> </w:t>
      </w:r>
      <w:r w:rsidR="00AE3F33" w:rsidRPr="00AE1E0D">
        <w:rPr>
          <w:rFonts w:cs="Times New Roman"/>
          <w:szCs w:val="24"/>
        </w:rPr>
        <w:t>eficaces,</w:t>
      </w:r>
      <w:r w:rsidR="00D136BB">
        <w:rPr>
          <w:rFonts w:cs="Times New Roman"/>
          <w:szCs w:val="24"/>
        </w:rPr>
        <w:t xml:space="preserve"> </w:t>
      </w:r>
      <w:r w:rsidR="00AE3F33" w:rsidRPr="00AE1E0D">
        <w:rPr>
          <w:rFonts w:cs="Times New Roman"/>
          <w:szCs w:val="24"/>
        </w:rPr>
        <w:t>actualizadas</w:t>
      </w:r>
      <w:r w:rsidR="00D136BB">
        <w:rPr>
          <w:rFonts w:cs="Times New Roman"/>
          <w:szCs w:val="24"/>
        </w:rPr>
        <w:t xml:space="preserve"> </w:t>
      </w:r>
      <w:r w:rsidR="00AE3F33" w:rsidRPr="00AE1E0D">
        <w:rPr>
          <w:rFonts w:cs="Times New Roman"/>
          <w:szCs w:val="24"/>
        </w:rPr>
        <w:t>y</w:t>
      </w:r>
      <w:r w:rsidR="00D136BB">
        <w:rPr>
          <w:rFonts w:cs="Times New Roman"/>
          <w:szCs w:val="24"/>
        </w:rPr>
        <w:t xml:space="preserve"> </w:t>
      </w:r>
      <w:r w:rsidR="00AE3F33" w:rsidRPr="00AE1E0D">
        <w:rPr>
          <w:rFonts w:cs="Times New Roman"/>
          <w:szCs w:val="24"/>
        </w:rPr>
        <w:t>sostenibles</w:t>
      </w:r>
      <w:r w:rsidR="00D136BB">
        <w:rPr>
          <w:rFonts w:cs="Times New Roman"/>
          <w:szCs w:val="24"/>
        </w:rPr>
        <w:t xml:space="preserve"> </w:t>
      </w:r>
      <w:r w:rsidR="00AE3F33" w:rsidRPr="00AE1E0D">
        <w:rPr>
          <w:rFonts w:cs="Times New Roman"/>
          <w:szCs w:val="24"/>
        </w:rPr>
        <w:t>que</w:t>
      </w:r>
      <w:r w:rsidR="00D136BB">
        <w:rPr>
          <w:rFonts w:cs="Times New Roman"/>
          <w:szCs w:val="24"/>
        </w:rPr>
        <w:t xml:space="preserve"> </w:t>
      </w:r>
      <w:r w:rsidR="00AE3F33" w:rsidRPr="00AE1E0D">
        <w:rPr>
          <w:rFonts w:cs="Times New Roman"/>
          <w:szCs w:val="24"/>
        </w:rPr>
        <w:t>garanticen</w:t>
      </w:r>
      <w:r w:rsidR="00D136BB">
        <w:rPr>
          <w:rFonts w:cs="Times New Roman"/>
          <w:szCs w:val="24"/>
        </w:rPr>
        <w:t xml:space="preserve"> </w:t>
      </w:r>
      <w:r w:rsidR="00AE3F33">
        <w:rPr>
          <w:rFonts w:cs="Times New Roman"/>
          <w:szCs w:val="24"/>
        </w:rPr>
        <w:t>a</w:t>
      </w:r>
      <w:r w:rsidR="00D136BB">
        <w:rPr>
          <w:rFonts w:cs="Times New Roman"/>
          <w:szCs w:val="24"/>
        </w:rPr>
        <w:t xml:space="preserve"> </w:t>
      </w:r>
      <w:r w:rsidR="00AE3F33">
        <w:rPr>
          <w:rFonts w:cs="Times New Roman"/>
          <w:szCs w:val="24"/>
        </w:rPr>
        <w:t>largo</w:t>
      </w:r>
      <w:r w:rsidR="00D136BB">
        <w:rPr>
          <w:rFonts w:cs="Times New Roman"/>
          <w:szCs w:val="24"/>
        </w:rPr>
        <w:t xml:space="preserve"> </w:t>
      </w:r>
      <w:r w:rsidR="00AE3F33">
        <w:rPr>
          <w:rFonts w:cs="Times New Roman"/>
          <w:szCs w:val="24"/>
        </w:rPr>
        <w:t>tiempo</w:t>
      </w:r>
      <w:r w:rsidR="00D136BB">
        <w:rPr>
          <w:rFonts w:cs="Times New Roman"/>
          <w:szCs w:val="24"/>
        </w:rPr>
        <w:t xml:space="preserve"> </w:t>
      </w:r>
      <w:r w:rsidR="00AE3F33" w:rsidRPr="00AE1E0D">
        <w:rPr>
          <w:rFonts w:cs="Times New Roman"/>
          <w:szCs w:val="24"/>
        </w:rPr>
        <w:t>la</w:t>
      </w:r>
      <w:r w:rsidR="00D136BB">
        <w:rPr>
          <w:rFonts w:cs="Times New Roman"/>
          <w:szCs w:val="24"/>
        </w:rPr>
        <w:t xml:space="preserve"> </w:t>
      </w:r>
      <w:r w:rsidR="00AE3F33" w:rsidRPr="00AE1E0D">
        <w:rPr>
          <w:rFonts w:cs="Times New Roman"/>
          <w:szCs w:val="24"/>
        </w:rPr>
        <w:t>protección</w:t>
      </w:r>
      <w:r w:rsidR="00D136BB">
        <w:rPr>
          <w:rFonts w:cs="Times New Roman"/>
          <w:szCs w:val="24"/>
        </w:rPr>
        <w:t xml:space="preserve"> </w:t>
      </w:r>
      <w:r w:rsidR="00AE3F33" w:rsidRPr="00AE1E0D">
        <w:rPr>
          <w:rFonts w:cs="Times New Roman"/>
          <w:szCs w:val="24"/>
        </w:rPr>
        <w:t>de</w:t>
      </w:r>
      <w:r w:rsidR="00D136BB">
        <w:rPr>
          <w:rFonts w:cs="Times New Roman"/>
          <w:szCs w:val="24"/>
        </w:rPr>
        <w:t xml:space="preserve"> </w:t>
      </w:r>
      <w:r w:rsidR="00AE3F33" w:rsidRPr="00AE1E0D">
        <w:rPr>
          <w:rFonts w:cs="Times New Roman"/>
          <w:szCs w:val="24"/>
        </w:rPr>
        <w:t>las</w:t>
      </w:r>
      <w:r w:rsidR="00D136BB">
        <w:rPr>
          <w:rFonts w:cs="Times New Roman"/>
          <w:szCs w:val="24"/>
        </w:rPr>
        <w:t xml:space="preserve"> </w:t>
      </w:r>
      <w:r w:rsidR="00AE3F33" w:rsidRPr="00AE1E0D">
        <w:rPr>
          <w:rFonts w:cs="Times New Roman"/>
          <w:szCs w:val="24"/>
        </w:rPr>
        <w:t>personas</w:t>
      </w:r>
      <w:r w:rsidR="00D136BB">
        <w:rPr>
          <w:rFonts w:cs="Times New Roman"/>
          <w:szCs w:val="24"/>
        </w:rPr>
        <w:t xml:space="preserve"> </w:t>
      </w:r>
      <w:r w:rsidR="00AE3F33" w:rsidRPr="00AE1E0D">
        <w:rPr>
          <w:rFonts w:cs="Times New Roman"/>
          <w:szCs w:val="24"/>
        </w:rPr>
        <w:t>y</w:t>
      </w:r>
      <w:r w:rsidR="00D136BB">
        <w:rPr>
          <w:rFonts w:cs="Times New Roman"/>
          <w:szCs w:val="24"/>
        </w:rPr>
        <w:t xml:space="preserve"> </w:t>
      </w:r>
      <w:r w:rsidR="00AE3F33" w:rsidRPr="00AE1E0D">
        <w:rPr>
          <w:rFonts w:cs="Times New Roman"/>
          <w:szCs w:val="24"/>
        </w:rPr>
        <w:t>el</w:t>
      </w:r>
      <w:r w:rsidR="00D136BB">
        <w:rPr>
          <w:rFonts w:cs="Times New Roman"/>
          <w:szCs w:val="24"/>
        </w:rPr>
        <w:t xml:space="preserve"> </w:t>
      </w:r>
      <w:r w:rsidR="00AE3F33" w:rsidRPr="00AE1E0D">
        <w:rPr>
          <w:rFonts w:cs="Times New Roman"/>
          <w:szCs w:val="24"/>
        </w:rPr>
        <w:t>medio</w:t>
      </w:r>
      <w:r w:rsidR="00D136BB">
        <w:rPr>
          <w:rFonts w:cs="Times New Roman"/>
          <w:szCs w:val="24"/>
        </w:rPr>
        <w:t xml:space="preserve"> </w:t>
      </w:r>
      <w:r w:rsidR="00AE3F33" w:rsidRPr="00AE1E0D">
        <w:rPr>
          <w:rFonts w:cs="Times New Roman"/>
          <w:szCs w:val="24"/>
        </w:rPr>
        <w:t>ambiente.</w:t>
      </w:r>
    </w:p>
    <w:p w14:paraId="5A680DB8" w14:textId="26D29866" w:rsidR="005D0292" w:rsidRPr="00AE3F33" w:rsidRDefault="00DA332B" w:rsidP="00AE3F33">
      <w:pPr>
        <w:pStyle w:val="ListNumber"/>
        <w:rPr>
          <w:rFonts w:cs="Times New Roman"/>
          <w:szCs w:val="24"/>
        </w:rPr>
      </w:pPr>
      <w:r>
        <w:rPr>
          <w:rFonts w:cs="Times New Roman"/>
          <w:szCs w:val="24"/>
        </w:rPr>
        <w:t>F</w:t>
      </w:r>
      <w:r w:rsidR="005D0292" w:rsidRPr="00AE3F33">
        <w:rPr>
          <w:rFonts w:cs="Times New Roman"/>
          <w:szCs w:val="24"/>
        </w:rPr>
        <w:t>altan</w:t>
      </w:r>
      <w:r w:rsidR="00D136BB">
        <w:rPr>
          <w:rFonts w:cs="Times New Roman"/>
          <w:szCs w:val="24"/>
        </w:rPr>
        <w:t xml:space="preserve"> </w:t>
      </w:r>
      <w:r w:rsidR="005D0292" w:rsidRPr="00AE3F33">
        <w:rPr>
          <w:rFonts w:cs="Times New Roman"/>
          <w:szCs w:val="24"/>
        </w:rPr>
        <w:t>guías</w:t>
      </w:r>
      <w:r w:rsidR="00D136BB">
        <w:rPr>
          <w:rFonts w:cs="Times New Roman"/>
          <w:szCs w:val="24"/>
        </w:rPr>
        <w:t xml:space="preserve"> </w:t>
      </w:r>
      <w:r w:rsidR="005D0292" w:rsidRPr="00AE3F33">
        <w:rPr>
          <w:rFonts w:cs="Times New Roman"/>
          <w:szCs w:val="24"/>
        </w:rPr>
        <w:t>para</w:t>
      </w:r>
      <w:r w:rsidR="00D136BB">
        <w:rPr>
          <w:rFonts w:cs="Times New Roman"/>
          <w:szCs w:val="24"/>
        </w:rPr>
        <w:t xml:space="preserve"> </w:t>
      </w:r>
      <w:r w:rsidR="005D0292" w:rsidRPr="00AE3F33">
        <w:rPr>
          <w:rFonts w:cs="Times New Roman"/>
          <w:szCs w:val="24"/>
        </w:rPr>
        <w:t>implementar</w:t>
      </w:r>
      <w:r w:rsidR="00D136BB">
        <w:rPr>
          <w:rFonts w:cs="Times New Roman"/>
          <w:szCs w:val="24"/>
        </w:rPr>
        <w:t xml:space="preserve"> </w:t>
      </w:r>
      <w:r w:rsidR="005D0292" w:rsidRPr="00AE3F33">
        <w:rPr>
          <w:rFonts w:cs="Times New Roman"/>
          <w:szCs w:val="24"/>
        </w:rPr>
        <w:t>los</w:t>
      </w:r>
      <w:r w:rsidR="00D136BB">
        <w:rPr>
          <w:rFonts w:cs="Times New Roman"/>
          <w:szCs w:val="24"/>
        </w:rPr>
        <w:t xml:space="preserve"> </w:t>
      </w:r>
      <w:r w:rsidR="005D0292" w:rsidRPr="00AE3F33">
        <w:rPr>
          <w:rFonts w:cs="Times New Roman"/>
          <w:szCs w:val="24"/>
        </w:rPr>
        <w:t>requisitos</w:t>
      </w:r>
      <w:r w:rsidR="00D136BB">
        <w:rPr>
          <w:rFonts w:cs="Times New Roman"/>
          <w:szCs w:val="24"/>
        </w:rPr>
        <w:t xml:space="preserve"> </w:t>
      </w:r>
      <w:r w:rsidR="005D0292" w:rsidRPr="00AE3F33">
        <w:rPr>
          <w:rFonts w:cs="Times New Roman"/>
          <w:szCs w:val="24"/>
        </w:rPr>
        <w:t>de</w:t>
      </w:r>
      <w:r w:rsidR="00D136BB">
        <w:rPr>
          <w:rFonts w:cs="Times New Roman"/>
          <w:szCs w:val="24"/>
        </w:rPr>
        <w:t xml:space="preserve"> </w:t>
      </w:r>
      <w:r w:rsidR="005D0292" w:rsidRPr="00AE3F33">
        <w:rPr>
          <w:rFonts w:cs="Times New Roman"/>
          <w:szCs w:val="24"/>
        </w:rPr>
        <w:t>exención,</w:t>
      </w:r>
      <w:r w:rsidR="00D136BB">
        <w:rPr>
          <w:rFonts w:cs="Times New Roman"/>
          <w:szCs w:val="24"/>
        </w:rPr>
        <w:t xml:space="preserve"> </w:t>
      </w:r>
      <w:r w:rsidR="005D0292" w:rsidRPr="00AE3F33">
        <w:rPr>
          <w:rFonts w:cs="Times New Roman"/>
          <w:szCs w:val="24"/>
        </w:rPr>
        <w:t>desclasificación</w:t>
      </w:r>
      <w:r w:rsidR="00D136BB">
        <w:rPr>
          <w:rFonts w:cs="Times New Roman"/>
          <w:szCs w:val="24"/>
        </w:rPr>
        <w:t xml:space="preserve"> </w:t>
      </w:r>
      <w:r w:rsidR="005D0292" w:rsidRPr="00AE3F33">
        <w:rPr>
          <w:rFonts w:cs="Times New Roman"/>
          <w:szCs w:val="24"/>
        </w:rPr>
        <w:t>y</w:t>
      </w:r>
      <w:r w:rsidR="00D136BB">
        <w:rPr>
          <w:rFonts w:cs="Times New Roman"/>
          <w:szCs w:val="24"/>
        </w:rPr>
        <w:t xml:space="preserve"> </w:t>
      </w:r>
      <w:r w:rsidR="005D0292" w:rsidRPr="00AE3F33">
        <w:rPr>
          <w:rFonts w:cs="Times New Roman"/>
          <w:szCs w:val="24"/>
        </w:rPr>
        <w:t>dispensa.</w:t>
      </w:r>
    </w:p>
    <w:p w14:paraId="6D4D4D56" w14:textId="42BA1934" w:rsidR="00AE3F33" w:rsidRPr="00AE1E0D" w:rsidRDefault="005D0292" w:rsidP="00AE3F33">
      <w:pPr>
        <w:pStyle w:val="ListNumber"/>
        <w:rPr>
          <w:rFonts w:cs="Times New Roman"/>
          <w:szCs w:val="24"/>
        </w:rPr>
      </w:pPr>
      <w:bookmarkStart w:id="29" w:name="_Hlk24119651"/>
      <w:r w:rsidRPr="00AE3F33">
        <w:rPr>
          <w:rFonts w:cs="Times New Roman"/>
          <w:szCs w:val="24"/>
        </w:rPr>
        <w:lastRenderedPageBreak/>
        <w:t>Se</w:t>
      </w:r>
      <w:r w:rsidR="00D136BB">
        <w:rPr>
          <w:rFonts w:cs="Times New Roman"/>
          <w:szCs w:val="24"/>
        </w:rPr>
        <w:t xml:space="preserve"> </w:t>
      </w:r>
      <w:bookmarkEnd w:id="29"/>
      <w:r w:rsidR="00AE3F33" w:rsidRPr="00AE1E0D">
        <w:rPr>
          <w:rFonts w:cs="Times New Roman"/>
          <w:szCs w:val="24"/>
        </w:rPr>
        <w:t>mantienen</w:t>
      </w:r>
      <w:r w:rsidR="00D136BB">
        <w:rPr>
          <w:rFonts w:cs="Times New Roman"/>
          <w:szCs w:val="24"/>
        </w:rPr>
        <w:t xml:space="preserve"> </w:t>
      </w:r>
      <w:r w:rsidR="00AE3F33" w:rsidRPr="00AE1E0D">
        <w:rPr>
          <w:rFonts w:cs="Times New Roman"/>
          <w:szCs w:val="24"/>
        </w:rPr>
        <w:t>deficiencias</w:t>
      </w:r>
      <w:r w:rsidR="00D136BB">
        <w:rPr>
          <w:rFonts w:cs="Times New Roman"/>
          <w:szCs w:val="24"/>
        </w:rPr>
        <w:t xml:space="preserve"> </w:t>
      </w:r>
      <w:r w:rsidR="00AE3F33" w:rsidRPr="00AE1E0D">
        <w:rPr>
          <w:rFonts w:cs="Times New Roman"/>
          <w:szCs w:val="24"/>
        </w:rPr>
        <w:t>en</w:t>
      </w:r>
      <w:r w:rsidR="00D136BB">
        <w:rPr>
          <w:rFonts w:cs="Times New Roman"/>
          <w:szCs w:val="24"/>
        </w:rPr>
        <w:t xml:space="preserve"> </w:t>
      </w:r>
      <w:r w:rsidR="00AE3F33">
        <w:rPr>
          <w:rFonts w:cs="Times New Roman"/>
          <w:szCs w:val="24"/>
        </w:rPr>
        <w:t>el</w:t>
      </w:r>
      <w:r w:rsidR="00D136BB">
        <w:rPr>
          <w:rFonts w:cs="Times New Roman"/>
          <w:szCs w:val="24"/>
        </w:rPr>
        <w:t xml:space="preserve"> </w:t>
      </w:r>
      <w:r w:rsidR="00AE3F33">
        <w:rPr>
          <w:rFonts w:cs="Times New Roman"/>
          <w:szCs w:val="24"/>
        </w:rPr>
        <w:t>establecimiento</w:t>
      </w:r>
      <w:r w:rsidR="00D136BB">
        <w:rPr>
          <w:rFonts w:cs="Times New Roman"/>
          <w:szCs w:val="24"/>
        </w:rPr>
        <w:t xml:space="preserve"> </w:t>
      </w:r>
      <w:r w:rsidR="00AE3F33">
        <w:rPr>
          <w:rFonts w:cs="Times New Roman"/>
          <w:szCs w:val="24"/>
        </w:rPr>
        <w:t>e</w:t>
      </w:r>
      <w:r w:rsidR="00D136BB">
        <w:rPr>
          <w:rFonts w:cs="Times New Roman"/>
          <w:szCs w:val="24"/>
        </w:rPr>
        <w:t xml:space="preserve"> </w:t>
      </w:r>
      <w:r w:rsidR="00AE3F33" w:rsidRPr="00AE1E0D">
        <w:rPr>
          <w:rFonts w:cs="Times New Roman"/>
          <w:szCs w:val="24"/>
        </w:rPr>
        <w:t>implementación</w:t>
      </w:r>
      <w:r w:rsidR="00D136BB">
        <w:rPr>
          <w:rFonts w:cs="Times New Roman"/>
          <w:szCs w:val="24"/>
        </w:rPr>
        <w:t xml:space="preserve"> </w:t>
      </w:r>
      <w:r w:rsidR="00AE3F33" w:rsidRPr="00AE1E0D">
        <w:rPr>
          <w:rFonts w:cs="Times New Roman"/>
          <w:szCs w:val="24"/>
        </w:rPr>
        <w:t>de</w:t>
      </w:r>
      <w:r w:rsidR="00D136BB">
        <w:rPr>
          <w:rFonts w:cs="Times New Roman"/>
          <w:szCs w:val="24"/>
        </w:rPr>
        <w:t xml:space="preserve"> </w:t>
      </w:r>
      <w:r w:rsidR="00AE3F33" w:rsidRPr="00AE1E0D">
        <w:rPr>
          <w:rFonts w:cs="Times New Roman"/>
          <w:szCs w:val="24"/>
        </w:rPr>
        <w:t>los</w:t>
      </w:r>
      <w:r w:rsidR="00D136BB">
        <w:rPr>
          <w:rFonts w:cs="Times New Roman"/>
          <w:szCs w:val="24"/>
        </w:rPr>
        <w:t xml:space="preserve"> </w:t>
      </w:r>
      <w:r w:rsidR="00AE3F33" w:rsidRPr="00AE1E0D">
        <w:rPr>
          <w:rFonts w:cs="Times New Roman"/>
          <w:szCs w:val="24"/>
        </w:rPr>
        <w:t>Sistemas</w:t>
      </w:r>
      <w:r w:rsidR="00D136BB">
        <w:rPr>
          <w:rFonts w:cs="Times New Roman"/>
          <w:szCs w:val="24"/>
        </w:rPr>
        <w:t xml:space="preserve"> </w:t>
      </w:r>
      <w:r w:rsidR="00AE3F33">
        <w:rPr>
          <w:rFonts w:cs="Times New Roman"/>
          <w:szCs w:val="24"/>
        </w:rPr>
        <w:t>Integrados</w:t>
      </w:r>
      <w:r w:rsidR="00D136BB">
        <w:rPr>
          <w:rFonts w:cs="Times New Roman"/>
          <w:szCs w:val="24"/>
        </w:rPr>
        <w:t xml:space="preserve"> </w:t>
      </w:r>
      <w:r w:rsidR="00AE3F33" w:rsidRPr="00AE1E0D">
        <w:rPr>
          <w:rFonts w:cs="Times New Roman"/>
          <w:szCs w:val="24"/>
        </w:rPr>
        <w:t>de</w:t>
      </w:r>
      <w:r w:rsidR="00D136BB">
        <w:rPr>
          <w:rFonts w:cs="Times New Roman"/>
          <w:szCs w:val="24"/>
        </w:rPr>
        <w:t xml:space="preserve"> </w:t>
      </w:r>
      <w:r w:rsidR="00AE3F33" w:rsidRPr="00AE1E0D">
        <w:rPr>
          <w:rFonts w:cs="Times New Roman"/>
          <w:szCs w:val="24"/>
        </w:rPr>
        <w:t>Gestión</w:t>
      </w:r>
      <w:r w:rsidR="00D136BB">
        <w:rPr>
          <w:rFonts w:cs="Times New Roman"/>
          <w:szCs w:val="24"/>
        </w:rPr>
        <w:t xml:space="preserve"> </w:t>
      </w:r>
      <w:r w:rsidR="00AE3F33" w:rsidRPr="00AE1E0D">
        <w:rPr>
          <w:rFonts w:cs="Times New Roman"/>
          <w:szCs w:val="24"/>
        </w:rPr>
        <w:t>de</w:t>
      </w:r>
      <w:r w:rsidR="00D136BB">
        <w:rPr>
          <w:rFonts w:cs="Times New Roman"/>
          <w:szCs w:val="24"/>
        </w:rPr>
        <w:t xml:space="preserve"> </w:t>
      </w:r>
      <w:r w:rsidR="00AE3F33" w:rsidRPr="00AE1E0D">
        <w:rPr>
          <w:rFonts w:cs="Times New Roman"/>
          <w:szCs w:val="24"/>
        </w:rPr>
        <w:t>los</w:t>
      </w:r>
      <w:r w:rsidR="00D136BB">
        <w:rPr>
          <w:rFonts w:cs="Times New Roman"/>
          <w:szCs w:val="24"/>
        </w:rPr>
        <w:t xml:space="preserve"> </w:t>
      </w:r>
      <w:r w:rsidR="00AE3F33" w:rsidRPr="00AE1E0D">
        <w:rPr>
          <w:rFonts w:cs="Times New Roman"/>
          <w:szCs w:val="24"/>
        </w:rPr>
        <w:t>organismos</w:t>
      </w:r>
      <w:r w:rsidR="00D136BB">
        <w:rPr>
          <w:rFonts w:cs="Times New Roman"/>
          <w:szCs w:val="24"/>
        </w:rPr>
        <w:t xml:space="preserve"> </w:t>
      </w:r>
      <w:r w:rsidR="00AE3F33" w:rsidRPr="00AE1E0D">
        <w:rPr>
          <w:rFonts w:cs="Times New Roman"/>
          <w:szCs w:val="24"/>
        </w:rPr>
        <w:t>reguladores</w:t>
      </w:r>
      <w:r w:rsidR="00D136BB">
        <w:rPr>
          <w:rFonts w:cs="Times New Roman"/>
          <w:szCs w:val="24"/>
        </w:rPr>
        <w:t xml:space="preserve"> </w:t>
      </w:r>
      <w:r w:rsidR="00AE3F33">
        <w:rPr>
          <w:rFonts w:cs="Times New Roman"/>
          <w:szCs w:val="24"/>
        </w:rPr>
        <w:t>que</w:t>
      </w:r>
      <w:r w:rsidR="00D136BB">
        <w:rPr>
          <w:rFonts w:cs="Times New Roman"/>
          <w:szCs w:val="24"/>
        </w:rPr>
        <w:t xml:space="preserve"> </w:t>
      </w:r>
      <w:r w:rsidR="00AE3F33">
        <w:rPr>
          <w:rFonts w:cs="Times New Roman"/>
          <w:szCs w:val="24"/>
        </w:rPr>
        <w:t>contengan</w:t>
      </w:r>
      <w:r w:rsidR="00D136BB">
        <w:rPr>
          <w:rFonts w:cs="Times New Roman"/>
          <w:szCs w:val="24"/>
        </w:rPr>
        <w:t xml:space="preserve"> </w:t>
      </w:r>
      <w:r w:rsidR="00AE3F33">
        <w:rPr>
          <w:rFonts w:cs="Times New Roman"/>
          <w:szCs w:val="24"/>
        </w:rPr>
        <w:t>al</w:t>
      </w:r>
      <w:r w:rsidR="00D136BB">
        <w:rPr>
          <w:rFonts w:cs="Times New Roman"/>
          <w:szCs w:val="24"/>
        </w:rPr>
        <w:t xml:space="preserve"> </w:t>
      </w:r>
      <w:r w:rsidR="00AE3F33">
        <w:rPr>
          <w:rFonts w:cs="Times New Roman"/>
          <w:szCs w:val="24"/>
        </w:rPr>
        <w:t>minino</w:t>
      </w:r>
      <w:r w:rsidR="00D136BB">
        <w:rPr>
          <w:rFonts w:cs="Times New Roman"/>
          <w:szCs w:val="24"/>
        </w:rPr>
        <w:t xml:space="preserve"> </w:t>
      </w:r>
      <w:r w:rsidR="00AE3F33">
        <w:rPr>
          <w:rFonts w:cs="Times New Roman"/>
          <w:szCs w:val="24"/>
        </w:rPr>
        <w:t>las</w:t>
      </w:r>
      <w:r w:rsidR="00D136BB">
        <w:rPr>
          <w:rFonts w:cs="Times New Roman"/>
          <w:szCs w:val="24"/>
        </w:rPr>
        <w:t xml:space="preserve"> </w:t>
      </w:r>
      <w:r w:rsidR="00AE3F33">
        <w:rPr>
          <w:rFonts w:cs="Times New Roman"/>
          <w:szCs w:val="24"/>
        </w:rPr>
        <w:t>funciones</w:t>
      </w:r>
      <w:r w:rsidR="00D136BB">
        <w:rPr>
          <w:rFonts w:cs="Times New Roman"/>
          <w:szCs w:val="24"/>
        </w:rPr>
        <w:t xml:space="preserve"> </w:t>
      </w:r>
      <w:r w:rsidR="00AE3F33">
        <w:rPr>
          <w:rFonts w:cs="Times New Roman"/>
          <w:szCs w:val="24"/>
        </w:rPr>
        <w:t>fundamentales</w:t>
      </w:r>
      <w:r w:rsidR="00AE3F33" w:rsidRPr="00AE1E0D">
        <w:rPr>
          <w:rFonts w:cs="Times New Roman"/>
          <w:szCs w:val="24"/>
        </w:rPr>
        <w:t>.</w:t>
      </w:r>
    </w:p>
    <w:p w14:paraId="7CBB931E" w14:textId="5016C663" w:rsidR="005D0292" w:rsidRPr="00AE3F33" w:rsidRDefault="005D0292" w:rsidP="007F08BA">
      <w:pPr>
        <w:pStyle w:val="ListNumber"/>
        <w:rPr>
          <w:rFonts w:cs="Times New Roman"/>
          <w:szCs w:val="24"/>
        </w:rPr>
      </w:pPr>
      <w:r w:rsidRPr="00AE3F33">
        <w:rPr>
          <w:rFonts w:cs="Times New Roman"/>
          <w:szCs w:val="24"/>
        </w:rPr>
        <w:t>No</w:t>
      </w:r>
      <w:r w:rsidR="00DA332B">
        <w:rPr>
          <w:rFonts w:cs="Times New Roman"/>
          <w:szCs w:val="24"/>
        </w:rPr>
        <w:t xml:space="preserve"> </w:t>
      </w:r>
      <w:r w:rsidR="00AE3F33" w:rsidRPr="00AE1E0D">
        <w:rPr>
          <w:rFonts w:cs="Times New Roman"/>
          <w:szCs w:val="24"/>
        </w:rPr>
        <w:t>existe</w:t>
      </w:r>
      <w:r w:rsidR="00AE3F33">
        <w:rPr>
          <w:rFonts w:cs="Times New Roman"/>
          <w:szCs w:val="24"/>
        </w:rPr>
        <w:t>n</w:t>
      </w:r>
      <w:r w:rsidR="00D136BB">
        <w:rPr>
          <w:rFonts w:cs="Times New Roman"/>
          <w:szCs w:val="24"/>
        </w:rPr>
        <w:t xml:space="preserve"> </w:t>
      </w:r>
      <w:r w:rsidR="00AE3F33">
        <w:rPr>
          <w:rFonts w:cs="Times New Roman"/>
          <w:szCs w:val="24"/>
        </w:rPr>
        <w:t>requisitos</w:t>
      </w:r>
      <w:r w:rsidR="00D136BB">
        <w:rPr>
          <w:rFonts w:cs="Times New Roman"/>
          <w:szCs w:val="24"/>
        </w:rPr>
        <w:t xml:space="preserve"> </w:t>
      </w:r>
      <w:r w:rsidR="00AE3F33">
        <w:rPr>
          <w:rFonts w:cs="Times New Roman"/>
          <w:szCs w:val="24"/>
        </w:rPr>
        <w:t>específicos</w:t>
      </w:r>
      <w:r w:rsidR="00D136BB">
        <w:rPr>
          <w:rFonts w:cs="Times New Roman"/>
          <w:szCs w:val="24"/>
        </w:rPr>
        <w:t xml:space="preserve"> </w:t>
      </w:r>
      <w:r w:rsidR="00AE3F33">
        <w:rPr>
          <w:rFonts w:cs="Times New Roman"/>
          <w:szCs w:val="24"/>
        </w:rPr>
        <w:t>para</w:t>
      </w:r>
      <w:r w:rsidR="00D136BB">
        <w:rPr>
          <w:rFonts w:cs="Times New Roman"/>
          <w:szCs w:val="24"/>
        </w:rPr>
        <w:t xml:space="preserve"> </w:t>
      </w:r>
      <w:r w:rsidR="00AE3F33">
        <w:rPr>
          <w:rFonts w:cs="Times New Roman"/>
          <w:szCs w:val="24"/>
        </w:rPr>
        <w:t>garantizar</w:t>
      </w:r>
      <w:r w:rsidR="00D136BB">
        <w:rPr>
          <w:rFonts w:cs="Times New Roman"/>
          <w:szCs w:val="24"/>
        </w:rPr>
        <w:t xml:space="preserve"> </w:t>
      </w:r>
      <w:r w:rsidR="00AE3F33">
        <w:rPr>
          <w:rFonts w:cs="Times New Roman"/>
          <w:szCs w:val="24"/>
        </w:rPr>
        <w:t>el</w:t>
      </w:r>
      <w:r w:rsidR="00D136BB">
        <w:rPr>
          <w:rFonts w:cs="Times New Roman"/>
          <w:szCs w:val="24"/>
        </w:rPr>
        <w:t xml:space="preserve"> </w:t>
      </w:r>
      <w:r w:rsidR="00AE3F33">
        <w:rPr>
          <w:rFonts w:cs="Times New Roman"/>
          <w:szCs w:val="24"/>
        </w:rPr>
        <w:t>establecimiento</w:t>
      </w:r>
      <w:r w:rsidR="00D136BB">
        <w:rPr>
          <w:rFonts w:cs="Times New Roman"/>
          <w:szCs w:val="24"/>
        </w:rPr>
        <w:t xml:space="preserve"> </w:t>
      </w:r>
      <w:r w:rsidR="00AE3F33">
        <w:rPr>
          <w:rFonts w:cs="Times New Roman"/>
          <w:szCs w:val="24"/>
        </w:rPr>
        <w:t>de</w:t>
      </w:r>
      <w:r w:rsidR="00D136BB">
        <w:rPr>
          <w:rFonts w:cs="Times New Roman"/>
          <w:szCs w:val="24"/>
        </w:rPr>
        <w:t xml:space="preserve">  </w:t>
      </w:r>
      <w:r w:rsidR="00AE3F33" w:rsidRPr="00AE1E0D">
        <w:rPr>
          <w:rFonts w:cs="Times New Roman"/>
          <w:szCs w:val="24"/>
        </w:rPr>
        <w:t>un</w:t>
      </w:r>
      <w:r w:rsidR="00D136BB">
        <w:rPr>
          <w:rFonts w:cs="Times New Roman"/>
          <w:szCs w:val="24"/>
        </w:rPr>
        <w:t xml:space="preserve"> </w:t>
      </w:r>
      <w:r w:rsidR="00AE3F33" w:rsidRPr="00AE1E0D">
        <w:rPr>
          <w:rFonts w:cs="Times New Roman"/>
          <w:szCs w:val="24"/>
        </w:rPr>
        <w:t>programa</w:t>
      </w:r>
      <w:r w:rsidR="00D136BB">
        <w:rPr>
          <w:rFonts w:cs="Times New Roman"/>
          <w:szCs w:val="24"/>
        </w:rPr>
        <w:t xml:space="preserve"> </w:t>
      </w:r>
      <w:r w:rsidR="00AE3F33" w:rsidRPr="00AE1E0D">
        <w:rPr>
          <w:rFonts w:cs="Times New Roman"/>
          <w:szCs w:val="24"/>
        </w:rPr>
        <w:t>para</w:t>
      </w:r>
      <w:r w:rsidR="00D136BB">
        <w:rPr>
          <w:rFonts w:cs="Times New Roman"/>
          <w:szCs w:val="24"/>
        </w:rPr>
        <w:t xml:space="preserve"> </w:t>
      </w:r>
      <w:r w:rsidR="00AE3F33" w:rsidRPr="00AE1E0D">
        <w:rPr>
          <w:rFonts w:cs="Times New Roman"/>
          <w:szCs w:val="24"/>
        </w:rPr>
        <w:t>la</w:t>
      </w:r>
      <w:r w:rsidR="00D136BB">
        <w:rPr>
          <w:rFonts w:cs="Times New Roman"/>
          <w:szCs w:val="24"/>
        </w:rPr>
        <w:t xml:space="preserve"> </w:t>
      </w:r>
      <w:r w:rsidR="00AE3F33" w:rsidRPr="00AE1E0D">
        <w:rPr>
          <w:rFonts w:cs="Times New Roman"/>
          <w:szCs w:val="24"/>
        </w:rPr>
        <w:t>promoción</w:t>
      </w:r>
      <w:r w:rsidR="00D136BB">
        <w:rPr>
          <w:rFonts w:cs="Times New Roman"/>
          <w:szCs w:val="24"/>
        </w:rPr>
        <w:t xml:space="preserve"> </w:t>
      </w:r>
      <w:r w:rsidR="00AE3F33" w:rsidRPr="00AE1E0D">
        <w:rPr>
          <w:rFonts w:cs="Times New Roman"/>
          <w:szCs w:val="24"/>
        </w:rPr>
        <w:t>e</w:t>
      </w:r>
      <w:r w:rsidR="00D136BB">
        <w:rPr>
          <w:rFonts w:cs="Times New Roman"/>
          <w:szCs w:val="24"/>
        </w:rPr>
        <w:t xml:space="preserve"> </w:t>
      </w:r>
      <w:r w:rsidR="00AE3F33" w:rsidRPr="00AE1E0D">
        <w:rPr>
          <w:rFonts w:cs="Times New Roman"/>
          <w:szCs w:val="24"/>
        </w:rPr>
        <w:t>implementación</w:t>
      </w:r>
      <w:r w:rsidR="00D136BB">
        <w:rPr>
          <w:rFonts w:cs="Times New Roman"/>
          <w:szCs w:val="24"/>
        </w:rPr>
        <w:t xml:space="preserve"> </w:t>
      </w:r>
      <w:r w:rsidR="00AE3F33" w:rsidRPr="00AE1E0D">
        <w:rPr>
          <w:rFonts w:cs="Times New Roman"/>
          <w:szCs w:val="24"/>
        </w:rPr>
        <w:t>de</w:t>
      </w:r>
      <w:r w:rsidR="00D136BB">
        <w:rPr>
          <w:rFonts w:cs="Times New Roman"/>
          <w:szCs w:val="24"/>
        </w:rPr>
        <w:t xml:space="preserve"> </w:t>
      </w:r>
      <w:r w:rsidR="00AE3F33" w:rsidRPr="00AE1E0D">
        <w:rPr>
          <w:rFonts w:cs="Times New Roman"/>
          <w:szCs w:val="24"/>
        </w:rPr>
        <w:t>la</w:t>
      </w:r>
      <w:r w:rsidR="00D136BB">
        <w:rPr>
          <w:rFonts w:cs="Times New Roman"/>
          <w:szCs w:val="24"/>
        </w:rPr>
        <w:t xml:space="preserve"> </w:t>
      </w:r>
      <w:r w:rsidR="00AE3F33" w:rsidRPr="00AE1E0D">
        <w:rPr>
          <w:rFonts w:cs="Times New Roman"/>
          <w:szCs w:val="24"/>
        </w:rPr>
        <w:t>cultura</w:t>
      </w:r>
      <w:r w:rsidR="00D136BB">
        <w:rPr>
          <w:rFonts w:cs="Times New Roman"/>
          <w:szCs w:val="24"/>
        </w:rPr>
        <w:t xml:space="preserve"> </w:t>
      </w:r>
      <w:r w:rsidR="00AE3F33" w:rsidRPr="00AE1E0D">
        <w:rPr>
          <w:rFonts w:cs="Times New Roman"/>
          <w:szCs w:val="24"/>
        </w:rPr>
        <w:t>de</w:t>
      </w:r>
      <w:r w:rsidR="00D136BB">
        <w:rPr>
          <w:rFonts w:cs="Times New Roman"/>
          <w:szCs w:val="24"/>
        </w:rPr>
        <w:t xml:space="preserve"> </w:t>
      </w:r>
      <w:r w:rsidR="00AE3F33" w:rsidRPr="00AE1E0D">
        <w:rPr>
          <w:rFonts w:cs="Times New Roman"/>
          <w:szCs w:val="24"/>
        </w:rPr>
        <w:t>seguridad</w:t>
      </w:r>
      <w:r w:rsidR="00D136BB">
        <w:rPr>
          <w:rFonts w:cs="Times New Roman"/>
          <w:szCs w:val="24"/>
        </w:rPr>
        <w:t xml:space="preserve"> </w:t>
      </w:r>
      <w:r w:rsidR="00AE3F33" w:rsidRPr="00AE1E0D">
        <w:rPr>
          <w:rFonts w:cs="Times New Roman"/>
          <w:szCs w:val="24"/>
        </w:rPr>
        <w:t>en</w:t>
      </w:r>
      <w:r w:rsidR="00D136BB">
        <w:rPr>
          <w:rFonts w:cs="Times New Roman"/>
          <w:szCs w:val="24"/>
        </w:rPr>
        <w:t xml:space="preserve"> </w:t>
      </w:r>
      <w:r w:rsidR="00AE3F33" w:rsidRPr="00AE1E0D">
        <w:rPr>
          <w:rFonts w:cs="Times New Roman"/>
          <w:szCs w:val="24"/>
        </w:rPr>
        <w:t>materia</w:t>
      </w:r>
      <w:r w:rsidR="00D136BB">
        <w:rPr>
          <w:rFonts w:cs="Times New Roman"/>
          <w:szCs w:val="24"/>
        </w:rPr>
        <w:t xml:space="preserve"> </w:t>
      </w:r>
      <w:r w:rsidR="00AE3F33" w:rsidRPr="00AE1E0D">
        <w:rPr>
          <w:rFonts w:cs="Times New Roman"/>
          <w:szCs w:val="24"/>
        </w:rPr>
        <w:t>de</w:t>
      </w:r>
      <w:r w:rsidR="00D136BB">
        <w:rPr>
          <w:rFonts w:cs="Times New Roman"/>
          <w:szCs w:val="24"/>
        </w:rPr>
        <w:t xml:space="preserve"> </w:t>
      </w:r>
      <w:r w:rsidR="00AE3F33" w:rsidRPr="00AE1E0D">
        <w:rPr>
          <w:rFonts w:cs="Times New Roman"/>
          <w:szCs w:val="24"/>
        </w:rPr>
        <w:t>seguridad</w:t>
      </w:r>
      <w:r w:rsidR="00D136BB">
        <w:rPr>
          <w:rFonts w:cs="Times New Roman"/>
          <w:szCs w:val="24"/>
        </w:rPr>
        <w:t xml:space="preserve"> </w:t>
      </w:r>
      <w:r w:rsidR="00AE3F33" w:rsidRPr="00AE1E0D">
        <w:rPr>
          <w:rFonts w:cs="Times New Roman"/>
          <w:szCs w:val="24"/>
        </w:rPr>
        <w:t>radiológica.</w:t>
      </w:r>
      <w:r w:rsidR="00D136BB">
        <w:rPr>
          <w:rFonts w:cs="Times New Roman"/>
          <w:szCs w:val="24"/>
        </w:rPr>
        <w:t xml:space="preserve"> </w:t>
      </w:r>
    </w:p>
    <w:p w14:paraId="4307DF82" w14:textId="487C1524" w:rsidR="005D0292" w:rsidRPr="00AE1E0D" w:rsidRDefault="005D0292" w:rsidP="005D0292">
      <w:pPr>
        <w:pStyle w:val="ListNumber"/>
        <w:rPr>
          <w:rFonts w:cs="Times New Roman"/>
          <w:szCs w:val="24"/>
        </w:rPr>
      </w:pPr>
      <w:r w:rsidRPr="00AE1E0D">
        <w:rPr>
          <w:rFonts w:cs="Times New Roman"/>
          <w:szCs w:val="24"/>
        </w:rPr>
        <w:t>El</w:t>
      </w:r>
      <w:r w:rsidR="00D136BB">
        <w:rPr>
          <w:rFonts w:cs="Times New Roman"/>
          <w:szCs w:val="24"/>
        </w:rPr>
        <w:t xml:space="preserve"> </w:t>
      </w:r>
      <w:r w:rsidRPr="00AE1E0D">
        <w:rPr>
          <w:rFonts w:cs="Times New Roman"/>
          <w:szCs w:val="24"/>
        </w:rPr>
        <w:t>control</w:t>
      </w:r>
      <w:r w:rsidR="00D136BB">
        <w:rPr>
          <w:rFonts w:cs="Times New Roman"/>
          <w:szCs w:val="24"/>
        </w:rPr>
        <w:t xml:space="preserve"> </w:t>
      </w:r>
      <w:r w:rsidRPr="00AE1E0D">
        <w:rPr>
          <w:rFonts w:cs="Times New Roman"/>
          <w:szCs w:val="24"/>
        </w:rPr>
        <w:t>regulatorio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reactores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investigación,</w:t>
      </w:r>
      <w:r w:rsidR="00D136BB">
        <w:rPr>
          <w:rFonts w:cs="Times New Roman"/>
          <w:szCs w:val="24"/>
        </w:rPr>
        <w:t xml:space="preserve"> </w:t>
      </w:r>
      <w:r w:rsidRPr="00AE1E0D">
        <w:rPr>
          <w:rFonts w:cs="Times New Roman"/>
          <w:szCs w:val="24"/>
        </w:rPr>
        <w:t>incluyendo</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inspección</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encuentran</w:t>
      </w:r>
      <w:r w:rsidR="00D136BB">
        <w:rPr>
          <w:rFonts w:cs="Times New Roman"/>
          <w:szCs w:val="24"/>
        </w:rPr>
        <w:t xml:space="preserve"> </w:t>
      </w:r>
      <w:r w:rsidRPr="00AE1E0D">
        <w:rPr>
          <w:rFonts w:cs="Times New Roman"/>
          <w:szCs w:val="24"/>
        </w:rPr>
        <w:t>armonizados</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normas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organismo.</w:t>
      </w:r>
    </w:p>
    <w:p w14:paraId="131DE2C9" w14:textId="25F93128" w:rsidR="005D0292" w:rsidRPr="00AE1E0D" w:rsidRDefault="005D0292" w:rsidP="005D0292">
      <w:pPr>
        <w:pStyle w:val="ListNumber"/>
        <w:rPr>
          <w:rFonts w:cs="Times New Roman"/>
          <w:szCs w:val="24"/>
        </w:rPr>
      </w:pPr>
      <w:r w:rsidRPr="00AE1E0D">
        <w:rPr>
          <w:rFonts w:cs="Times New Roman"/>
          <w:szCs w:val="24"/>
        </w:rPr>
        <w:t>El</w:t>
      </w:r>
      <w:r w:rsidR="00D136BB">
        <w:rPr>
          <w:rFonts w:cs="Times New Roman"/>
          <w:szCs w:val="24"/>
        </w:rPr>
        <w:t xml:space="preserve"> </w:t>
      </w:r>
      <w:r w:rsidR="00CF585C" w:rsidRPr="00AE1E0D">
        <w:rPr>
          <w:rFonts w:cs="Times New Roman"/>
          <w:szCs w:val="24"/>
        </w:rPr>
        <w:t>control</w:t>
      </w:r>
      <w:r w:rsidR="00D136BB">
        <w:rPr>
          <w:rFonts w:cs="Times New Roman"/>
          <w:szCs w:val="24"/>
        </w:rPr>
        <w:t xml:space="preserve"> </w:t>
      </w:r>
      <w:r w:rsidR="00CF585C">
        <w:rPr>
          <w:rFonts w:cs="Times New Roman"/>
          <w:szCs w:val="24"/>
        </w:rPr>
        <w:t>de</w:t>
      </w:r>
      <w:r w:rsidR="00D136BB">
        <w:rPr>
          <w:rFonts w:cs="Times New Roman"/>
          <w:szCs w:val="24"/>
        </w:rPr>
        <w:t xml:space="preserve"> </w:t>
      </w:r>
      <w:r w:rsidR="00CF585C">
        <w:rPr>
          <w:rFonts w:cs="Times New Roman"/>
          <w:szCs w:val="24"/>
        </w:rPr>
        <w:t>la</w:t>
      </w:r>
      <w:r w:rsidR="00D136BB">
        <w:rPr>
          <w:rFonts w:cs="Times New Roman"/>
          <w:szCs w:val="24"/>
        </w:rPr>
        <w:t xml:space="preserve"> </w:t>
      </w:r>
      <w:r w:rsidR="00CF585C">
        <w:rPr>
          <w:rFonts w:cs="Times New Roman"/>
          <w:szCs w:val="24"/>
        </w:rPr>
        <w:t>importación</w:t>
      </w:r>
      <w:r w:rsidR="00D136BB">
        <w:rPr>
          <w:rFonts w:cs="Times New Roman"/>
          <w:szCs w:val="24"/>
        </w:rPr>
        <w:t xml:space="preserve"> </w:t>
      </w:r>
      <w:r w:rsidR="00CF585C">
        <w:rPr>
          <w:rFonts w:cs="Times New Roman"/>
          <w:szCs w:val="24"/>
        </w:rPr>
        <w:t>y</w:t>
      </w:r>
      <w:r w:rsidR="00D136BB">
        <w:rPr>
          <w:rFonts w:cs="Times New Roman"/>
          <w:szCs w:val="24"/>
        </w:rPr>
        <w:t xml:space="preserve"> </w:t>
      </w:r>
      <w:r w:rsidR="00CF585C">
        <w:rPr>
          <w:rFonts w:cs="Times New Roman"/>
          <w:szCs w:val="24"/>
        </w:rPr>
        <w:t>exportación</w:t>
      </w:r>
      <w:r w:rsidR="00D136BB">
        <w:rPr>
          <w:rFonts w:cs="Times New Roman"/>
          <w:szCs w:val="24"/>
        </w:rPr>
        <w:t xml:space="preserve"> </w:t>
      </w:r>
      <w:r w:rsidR="006454E8">
        <w:rPr>
          <w:rFonts w:cs="Times New Roman"/>
          <w:szCs w:val="24"/>
        </w:rPr>
        <w:t>de</w:t>
      </w:r>
      <w:r w:rsidR="00D136BB">
        <w:rPr>
          <w:rFonts w:cs="Times New Roman"/>
          <w:szCs w:val="24"/>
        </w:rPr>
        <w:t xml:space="preserve"> </w:t>
      </w:r>
      <w:r w:rsidR="006454E8" w:rsidRPr="00AE1E0D">
        <w:rPr>
          <w:rFonts w:cs="Times New Roman"/>
          <w:szCs w:val="24"/>
        </w:rPr>
        <w:t>fuentes</w:t>
      </w:r>
      <w:r w:rsidR="00D136BB">
        <w:rPr>
          <w:rFonts w:cs="Times New Roman"/>
          <w:szCs w:val="24"/>
        </w:rPr>
        <w:t xml:space="preserve"> </w:t>
      </w:r>
      <w:r w:rsidR="00CF585C">
        <w:rPr>
          <w:rFonts w:cs="Times New Roman"/>
          <w:szCs w:val="24"/>
        </w:rPr>
        <w:t>de</w:t>
      </w:r>
      <w:r w:rsidR="00D136BB">
        <w:rPr>
          <w:rFonts w:cs="Times New Roman"/>
          <w:szCs w:val="24"/>
        </w:rPr>
        <w:t xml:space="preserve"> </w:t>
      </w:r>
      <w:r w:rsidR="00CF585C">
        <w:rPr>
          <w:rFonts w:cs="Times New Roman"/>
          <w:szCs w:val="24"/>
        </w:rPr>
        <w:t>radiación</w:t>
      </w:r>
      <w:r w:rsidR="00D136BB">
        <w:rPr>
          <w:rFonts w:cs="Times New Roman"/>
          <w:szCs w:val="24"/>
        </w:rPr>
        <w:t xml:space="preserve"> </w:t>
      </w:r>
      <w:r w:rsidR="00CF585C" w:rsidRPr="00AE1E0D">
        <w:rPr>
          <w:rFonts w:cs="Times New Roman"/>
          <w:szCs w:val="24"/>
        </w:rPr>
        <w:t>s</w:t>
      </w:r>
      <w:r w:rsidR="00D136BB">
        <w:rPr>
          <w:rFonts w:cs="Times New Roman"/>
          <w:szCs w:val="24"/>
        </w:rPr>
        <w:t xml:space="preserve"> </w:t>
      </w:r>
      <w:r w:rsidR="00CF585C" w:rsidRPr="00AE1E0D">
        <w:rPr>
          <w:rFonts w:cs="Times New Roman"/>
          <w:szCs w:val="24"/>
        </w:rPr>
        <w:t>efectuados</w:t>
      </w:r>
      <w:r w:rsidR="00D136BB">
        <w:rPr>
          <w:rFonts w:cs="Times New Roman"/>
          <w:szCs w:val="24"/>
        </w:rPr>
        <w:t xml:space="preserve"> </w:t>
      </w:r>
      <w:r w:rsidR="00CF585C" w:rsidRPr="00AE1E0D">
        <w:rPr>
          <w:rFonts w:cs="Times New Roman"/>
          <w:szCs w:val="24"/>
        </w:rPr>
        <w:t>entre</w:t>
      </w:r>
      <w:r w:rsidR="00D136BB">
        <w:rPr>
          <w:rFonts w:cs="Times New Roman"/>
          <w:szCs w:val="24"/>
        </w:rPr>
        <w:t xml:space="preserve"> </w:t>
      </w:r>
      <w:r w:rsidR="00CF585C" w:rsidRPr="00AE1E0D">
        <w:rPr>
          <w:rFonts w:cs="Times New Roman"/>
          <w:szCs w:val="24"/>
        </w:rPr>
        <w:t>los</w:t>
      </w:r>
      <w:r w:rsidR="00D136BB">
        <w:rPr>
          <w:rFonts w:cs="Times New Roman"/>
          <w:szCs w:val="24"/>
        </w:rPr>
        <w:t xml:space="preserve"> </w:t>
      </w:r>
      <w:r w:rsidR="00CF585C" w:rsidRPr="00AE1E0D">
        <w:rPr>
          <w:rFonts w:cs="Times New Roman"/>
          <w:szCs w:val="24"/>
        </w:rPr>
        <w:t>distintos</w:t>
      </w:r>
      <w:r w:rsidR="00D136BB">
        <w:rPr>
          <w:rFonts w:cs="Times New Roman"/>
          <w:szCs w:val="24"/>
        </w:rPr>
        <w:t xml:space="preserve"> </w:t>
      </w:r>
      <w:r w:rsidR="00CF585C" w:rsidRPr="00AE1E0D">
        <w:rPr>
          <w:rFonts w:cs="Times New Roman"/>
          <w:szCs w:val="24"/>
        </w:rPr>
        <w:t>países</w:t>
      </w:r>
      <w:r w:rsidR="00D136BB">
        <w:rPr>
          <w:rFonts w:cs="Times New Roman"/>
          <w:szCs w:val="24"/>
        </w:rPr>
        <w:t xml:space="preserve"> </w:t>
      </w:r>
      <w:r w:rsidR="00CF585C" w:rsidRPr="00AE1E0D">
        <w:rPr>
          <w:rFonts w:cs="Times New Roman"/>
          <w:szCs w:val="24"/>
        </w:rPr>
        <w:t>de</w:t>
      </w:r>
      <w:r w:rsidR="00D136BB">
        <w:rPr>
          <w:rFonts w:cs="Times New Roman"/>
          <w:szCs w:val="24"/>
        </w:rPr>
        <w:t xml:space="preserve"> </w:t>
      </w:r>
      <w:r w:rsidR="00CF585C" w:rsidRPr="00AE1E0D">
        <w:rPr>
          <w:rFonts w:cs="Times New Roman"/>
          <w:szCs w:val="24"/>
        </w:rPr>
        <w:t>la</w:t>
      </w:r>
      <w:r w:rsidR="00D136BB">
        <w:rPr>
          <w:rFonts w:cs="Times New Roman"/>
          <w:szCs w:val="24"/>
        </w:rPr>
        <w:t xml:space="preserve"> </w:t>
      </w:r>
      <w:r w:rsidR="00CF585C" w:rsidRPr="00AE1E0D">
        <w:rPr>
          <w:rFonts w:cs="Times New Roman"/>
          <w:szCs w:val="24"/>
        </w:rPr>
        <w:t>región</w:t>
      </w:r>
      <w:r w:rsidR="00D136BB">
        <w:rPr>
          <w:rFonts w:cs="Times New Roman"/>
          <w:szCs w:val="24"/>
        </w:rPr>
        <w:t xml:space="preserve"> </w:t>
      </w:r>
      <w:r w:rsidR="00CF585C">
        <w:rPr>
          <w:rFonts w:cs="Times New Roman"/>
          <w:szCs w:val="24"/>
        </w:rPr>
        <w:t>no</w:t>
      </w:r>
      <w:r w:rsidR="00D136BB">
        <w:rPr>
          <w:rFonts w:cs="Times New Roman"/>
          <w:szCs w:val="24"/>
        </w:rPr>
        <w:t xml:space="preserve"> </w:t>
      </w:r>
      <w:r w:rsidR="00CF585C">
        <w:rPr>
          <w:rFonts w:cs="Times New Roman"/>
          <w:szCs w:val="24"/>
        </w:rPr>
        <w:t>cumple</w:t>
      </w:r>
      <w:r w:rsidR="00D136BB">
        <w:rPr>
          <w:rFonts w:cs="Times New Roman"/>
          <w:szCs w:val="24"/>
        </w:rPr>
        <w:t xml:space="preserve"> </w:t>
      </w:r>
      <w:r w:rsidR="00CF585C">
        <w:rPr>
          <w:rFonts w:cs="Times New Roman"/>
          <w:szCs w:val="24"/>
        </w:rPr>
        <w:t>con</w:t>
      </w:r>
      <w:r w:rsidR="00D136BB">
        <w:rPr>
          <w:rFonts w:cs="Times New Roman"/>
          <w:szCs w:val="24"/>
        </w:rPr>
        <w:t xml:space="preserve"> </w:t>
      </w:r>
      <w:r w:rsidR="00CF585C">
        <w:rPr>
          <w:rFonts w:cs="Times New Roman"/>
          <w:szCs w:val="24"/>
        </w:rPr>
        <w:t>los</w:t>
      </w:r>
      <w:r w:rsidR="00D136BB">
        <w:rPr>
          <w:rFonts w:cs="Times New Roman"/>
          <w:szCs w:val="24"/>
        </w:rPr>
        <w:t xml:space="preserve"> </w:t>
      </w:r>
      <w:r w:rsidR="00CF585C">
        <w:rPr>
          <w:rFonts w:cs="Times New Roman"/>
          <w:szCs w:val="24"/>
        </w:rPr>
        <w:t>criterios</w:t>
      </w:r>
      <w:r w:rsidR="00D136BB">
        <w:rPr>
          <w:rFonts w:cs="Times New Roman"/>
          <w:szCs w:val="24"/>
        </w:rPr>
        <w:t xml:space="preserve"> </w:t>
      </w:r>
      <w:r w:rsidR="00CF585C">
        <w:rPr>
          <w:rFonts w:cs="Times New Roman"/>
          <w:szCs w:val="24"/>
        </w:rPr>
        <w:t>establecidos</w:t>
      </w:r>
      <w:r w:rsidR="00D136BB">
        <w:rPr>
          <w:rFonts w:cs="Times New Roman"/>
          <w:szCs w:val="24"/>
        </w:rPr>
        <w:t xml:space="preserve"> </w:t>
      </w:r>
      <w:r w:rsidR="00CF585C">
        <w:rPr>
          <w:rFonts w:cs="Times New Roman"/>
          <w:szCs w:val="24"/>
        </w:rPr>
        <w:t>en</w:t>
      </w:r>
      <w:r w:rsidR="00D136BB">
        <w:rPr>
          <w:rFonts w:cs="Times New Roman"/>
          <w:szCs w:val="24"/>
        </w:rPr>
        <w:t xml:space="preserve"> </w:t>
      </w:r>
      <w:r w:rsidR="00CF585C">
        <w:rPr>
          <w:rFonts w:cs="Times New Roman"/>
          <w:szCs w:val="24"/>
        </w:rPr>
        <w:t>la</w:t>
      </w:r>
      <w:r w:rsidR="00D136BB">
        <w:rPr>
          <w:rFonts w:cs="Times New Roman"/>
          <w:szCs w:val="24"/>
        </w:rPr>
        <w:t xml:space="preserve"> </w:t>
      </w:r>
      <w:r w:rsidR="00CF585C">
        <w:rPr>
          <w:rFonts w:cs="Times New Roman"/>
          <w:szCs w:val="24"/>
        </w:rPr>
        <w:t>guía</w:t>
      </w:r>
      <w:r w:rsidR="00D136BB">
        <w:rPr>
          <w:rFonts w:cs="Times New Roman"/>
          <w:szCs w:val="24"/>
        </w:rPr>
        <w:t xml:space="preserve"> </w:t>
      </w:r>
      <w:r w:rsidR="00CF585C">
        <w:rPr>
          <w:rFonts w:cs="Times New Roman"/>
          <w:szCs w:val="24"/>
        </w:rPr>
        <w:t>suplementaria</w:t>
      </w:r>
      <w:r w:rsidR="00D136BB">
        <w:rPr>
          <w:rFonts w:cs="Times New Roman"/>
          <w:szCs w:val="24"/>
        </w:rPr>
        <w:t xml:space="preserve"> </w:t>
      </w:r>
      <w:r w:rsidR="00CF585C">
        <w:rPr>
          <w:rFonts w:cs="Times New Roman"/>
          <w:szCs w:val="24"/>
        </w:rPr>
        <w:t>del</w:t>
      </w:r>
      <w:r w:rsidR="00D136BB">
        <w:rPr>
          <w:rFonts w:cs="Times New Roman"/>
          <w:szCs w:val="24"/>
        </w:rPr>
        <w:t xml:space="preserve"> </w:t>
      </w:r>
      <w:r w:rsidR="00CF585C">
        <w:rPr>
          <w:rFonts w:cs="Times New Roman"/>
          <w:szCs w:val="24"/>
        </w:rPr>
        <w:t>código</w:t>
      </w:r>
      <w:r w:rsidR="00D136BB">
        <w:rPr>
          <w:rFonts w:cs="Times New Roman"/>
          <w:szCs w:val="24"/>
        </w:rPr>
        <w:t xml:space="preserve"> </w:t>
      </w:r>
      <w:r w:rsidR="00CF585C">
        <w:rPr>
          <w:rFonts w:cs="Times New Roman"/>
          <w:szCs w:val="24"/>
        </w:rPr>
        <w:t>de</w:t>
      </w:r>
      <w:r w:rsidR="00D136BB">
        <w:rPr>
          <w:rFonts w:cs="Times New Roman"/>
          <w:szCs w:val="24"/>
        </w:rPr>
        <w:t xml:space="preserve"> </w:t>
      </w:r>
      <w:r w:rsidR="00CF585C">
        <w:rPr>
          <w:rFonts w:cs="Times New Roman"/>
          <w:szCs w:val="24"/>
        </w:rPr>
        <w:t>conducta</w:t>
      </w:r>
      <w:r w:rsidR="00D136BB">
        <w:rPr>
          <w:rFonts w:cs="Times New Roman"/>
          <w:szCs w:val="24"/>
        </w:rPr>
        <w:t xml:space="preserve"> </w:t>
      </w:r>
      <w:r w:rsidR="00CF585C">
        <w:rPr>
          <w:rFonts w:cs="Times New Roman"/>
          <w:szCs w:val="24"/>
        </w:rPr>
        <w:t>de</w:t>
      </w:r>
      <w:r w:rsidR="00D136BB">
        <w:rPr>
          <w:rFonts w:cs="Times New Roman"/>
          <w:szCs w:val="24"/>
        </w:rPr>
        <w:t xml:space="preserve"> </w:t>
      </w:r>
      <w:r w:rsidR="00CF585C">
        <w:rPr>
          <w:rFonts w:cs="Times New Roman"/>
          <w:szCs w:val="24"/>
        </w:rPr>
        <w:t>seguridad</w:t>
      </w:r>
      <w:r w:rsidR="00D136BB">
        <w:rPr>
          <w:rFonts w:cs="Times New Roman"/>
          <w:szCs w:val="24"/>
        </w:rPr>
        <w:t xml:space="preserve"> </w:t>
      </w:r>
      <w:r w:rsidR="00CF585C">
        <w:rPr>
          <w:rFonts w:cs="Times New Roman"/>
          <w:szCs w:val="24"/>
        </w:rPr>
        <w:t>física</w:t>
      </w:r>
      <w:r w:rsidR="00D136BB">
        <w:rPr>
          <w:rFonts w:cs="Times New Roman"/>
          <w:szCs w:val="24"/>
        </w:rPr>
        <w:t xml:space="preserve"> </w:t>
      </w:r>
      <w:r w:rsidR="00CF585C">
        <w:rPr>
          <w:rFonts w:cs="Times New Roman"/>
          <w:szCs w:val="24"/>
        </w:rPr>
        <w:t>y</w:t>
      </w:r>
      <w:r w:rsidR="00D136BB">
        <w:rPr>
          <w:rFonts w:cs="Times New Roman"/>
          <w:szCs w:val="24"/>
        </w:rPr>
        <w:t xml:space="preserve"> </w:t>
      </w:r>
      <w:r w:rsidR="00CF585C">
        <w:rPr>
          <w:rFonts w:cs="Times New Roman"/>
          <w:szCs w:val="24"/>
        </w:rPr>
        <w:t>tecnológica</w:t>
      </w:r>
      <w:r w:rsidR="00D136BB">
        <w:rPr>
          <w:rFonts w:cs="Times New Roman"/>
          <w:szCs w:val="24"/>
        </w:rPr>
        <w:t xml:space="preserve"> </w:t>
      </w:r>
      <w:r w:rsidR="00CF585C">
        <w:rPr>
          <w:rFonts w:cs="Times New Roman"/>
          <w:szCs w:val="24"/>
        </w:rPr>
        <w:t>de</w:t>
      </w:r>
      <w:r w:rsidR="00D136BB">
        <w:rPr>
          <w:rFonts w:cs="Times New Roman"/>
          <w:szCs w:val="24"/>
        </w:rPr>
        <w:t xml:space="preserve"> </w:t>
      </w:r>
      <w:r w:rsidR="00CF585C">
        <w:rPr>
          <w:rFonts w:cs="Times New Roman"/>
          <w:szCs w:val="24"/>
        </w:rPr>
        <w:t>las</w:t>
      </w:r>
      <w:r w:rsidR="00D136BB">
        <w:rPr>
          <w:rFonts w:cs="Times New Roman"/>
          <w:szCs w:val="24"/>
        </w:rPr>
        <w:t xml:space="preserve"> </w:t>
      </w:r>
      <w:r w:rsidR="00CF585C">
        <w:rPr>
          <w:rFonts w:cs="Times New Roman"/>
          <w:szCs w:val="24"/>
        </w:rPr>
        <w:t>fuentes</w:t>
      </w:r>
      <w:r w:rsidRPr="00AE1E0D">
        <w:rPr>
          <w:rFonts w:cs="Times New Roman"/>
          <w:szCs w:val="24"/>
        </w:rPr>
        <w:t>.</w:t>
      </w:r>
    </w:p>
    <w:p w14:paraId="7C91E227" w14:textId="701F03BE" w:rsidR="005D0292" w:rsidRPr="00AE1E0D" w:rsidRDefault="00CF585C" w:rsidP="005D0292">
      <w:pPr>
        <w:pStyle w:val="ListNumber"/>
        <w:rPr>
          <w:rFonts w:cs="Times New Roman"/>
          <w:szCs w:val="24"/>
        </w:rPr>
      </w:pPr>
      <w:r>
        <w:rPr>
          <w:rFonts w:cs="Times New Roman"/>
          <w:szCs w:val="24"/>
        </w:rPr>
        <w:t>No</w:t>
      </w:r>
      <w:r w:rsidR="00D136BB">
        <w:rPr>
          <w:rFonts w:cs="Times New Roman"/>
          <w:szCs w:val="24"/>
        </w:rPr>
        <w:t xml:space="preserve"> </w:t>
      </w:r>
      <w:r>
        <w:rPr>
          <w:rFonts w:cs="Times New Roman"/>
          <w:szCs w:val="24"/>
        </w:rPr>
        <w:t>existe</w:t>
      </w:r>
      <w:r w:rsidR="00D136BB">
        <w:rPr>
          <w:rFonts w:cs="Times New Roman"/>
          <w:szCs w:val="24"/>
        </w:rPr>
        <w:t xml:space="preserve"> </w:t>
      </w:r>
      <w:r>
        <w:rPr>
          <w:rFonts w:cs="Times New Roman"/>
          <w:szCs w:val="24"/>
        </w:rPr>
        <w:t>estrategia</w:t>
      </w:r>
      <w:r w:rsidR="00D136BB">
        <w:rPr>
          <w:rFonts w:cs="Times New Roman"/>
          <w:szCs w:val="24"/>
        </w:rPr>
        <w:t xml:space="preserve"> </w:t>
      </w:r>
      <w:r>
        <w:rPr>
          <w:rFonts w:cs="Times New Roman"/>
          <w:szCs w:val="24"/>
        </w:rPr>
        <w:t>para</w:t>
      </w:r>
      <w:r w:rsidR="00D136BB">
        <w:rPr>
          <w:rFonts w:cs="Times New Roman"/>
          <w:szCs w:val="24"/>
        </w:rPr>
        <w:t xml:space="preserve"> </w:t>
      </w:r>
      <w:r>
        <w:rPr>
          <w:rFonts w:cs="Times New Roman"/>
          <w:szCs w:val="24"/>
        </w:rPr>
        <w:t>l</w:t>
      </w:r>
      <w:r w:rsidR="005D0292" w:rsidRPr="00AE1E0D">
        <w:rPr>
          <w:rFonts w:cs="Times New Roman"/>
          <w:szCs w:val="24"/>
        </w:rPr>
        <w:t>a</w:t>
      </w:r>
      <w:r w:rsidR="00D136BB">
        <w:rPr>
          <w:rFonts w:cs="Times New Roman"/>
          <w:szCs w:val="24"/>
        </w:rPr>
        <w:t xml:space="preserve"> </w:t>
      </w:r>
      <w:r w:rsidR="005D0292" w:rsidRPr="00AE1E0D">
        <w:rPr>
          <w:rFonts w:cs="Times New Roman"/>
          <w:szCs w:val="24"/>
        </w:rPr>
        <w:t>información</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sidR="005D0292" w:rsidRPr="00AE1E0D">
        <w:rPr>
          <w:rFonts w:cs="Times New Roman"/>
          <w:szCs w:val="24"/>
        </w:rPr>
        <w:t>divulgación</w:t>
      </w:r>
      <w:r w:rsidR="00D136BB">
        <w:rPr>
          <w:rFonts w:cs="Times New Roman"/>
          <w:szCs w:val="24"/>
        </w:rPr>
        <w:t xml:space="preserve"> </w:t>
      </w:r>
      <w:r w:rsidR="005D0292" w:rsidRPr="00AE1E0D">
        <w:rPr>
          <w:rFonts w:cs="Times New Roman"/>
          <w:szCs w:val="24"/>
        </w:rPr>
        <w:t>a</w:t>
      </w:r>
      <w:r w:rsidR="00D136BB">
        <w:rPr>
          <w:rFonts w:cs="Times New Roman"/>
          <w:szCs w:val="24"/>
        </w:rPr>
        <w:t xml:space="preserve"> </w:t>
      </w:r>
      <w:r w:rsidR="005D0292" w:rsidRPr="00AE1E0D">
        <w:rPr>
          <w:rFonts w:cs="Times New Roman"/>
          <w:szCs w:val="24"/>
        </w:rPr>
        <w:t>las</w:t>
      </w:r>
      <w:r w:rsidR="00D136BB">
        <w:rPr>
          <w:rFonts w:cs="Times New Roman"/>
          <w:szCs w:val="24"/>
        </w:rPr>
        <w:t xml:space="preserve"> </w:t>
      </w:r>
      <w:r w:rsidR="005D0292" w:rsidRPr="00AE1E0D">
        <w:rPr>
          <w:rFonts w:cs="Times New Roman"/>
          <w:szCs w:val="24"/>
        </w:rPr>
        <w:t>partes</w:t>
      </w:r>
      <w:r w:rsidR="00D136BB">
        <w:rPr>
          <w:rFonts w:cs="Times New Roman"/>
          <w:szCs w:val="24"/>
        </w:rPr>
        <w:t xml:space="preserve"> </w:t>
      </w:r>
      <w:r w:rsidR="005D0292" w:rsidRPr="00AE1E0D">
        <w:rPr>
          <w:rFonts w:cs="Times New Roman"/>
          <w:szCs w:val="24"/>
        </w:rPr>
        <w:t>interesadas</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sidR="005D0292" w:rsidRPr="00AE1E0D">
        <w:rPr>
          <w:rFonts w:cs="Times New Roman"/>
          <w:szCs w:val="24"/>
        </w:rPr>
        <w:t>al</w:t>
      </w:r>
      <w:r w:rsidR="00D136BB">
        <w:rPr>
          <w:rFonts w:cs="Times New Roman"/>
          <w:szCs w:val="24"/>
        </w:rPr>
        <w:t xml:space="preserve"> </w:t>
      </w:r>
      <w:r w:rsidR="005D0292" w:rsidRPr="00AE1E0D">
        <w:rPr>
          <w:rFonts w:cs="Times New Roman"/>
          <w:szCs w:val="24"/>
        </w:rPr>
        <w:t>público</w:t>
      </w:r>
      <w:r w:rsidR="00D136BB">
        <w:rPr>
          <w:rFonts w:cs="Times New Roman"/>
          <w:szCs w:val="24"/>
        </w:rPr>
        <w:t xml:space="preserve"> </w:t>
      </w:r>
      <w:r w:rsidR="005D0292" w:rsidRPr="00AE1E0D">
        <w:rPr>
          <w:rFonts w:cs="Times New Roman"/>
          <w:szCs w:val="24"/>
        </w:rPr>
        <w:t>sobre</w:t>
      </w:r>
      <w:r w:rsidR="00D136BB">
        <w:rPr>
          <w:rFonts w:cs="Times New Roman"/>
          <w:szCs w:val="24"/>
        </w:rPr>
        <w:t xml:space="preserve"> </w:t>
      </w:r>
      <w:r w:rsidR="005D0292" w:rsidRPr="00AE1E0D">
        <w:rPr>
          <w:rFonts w:cs="Times New Roman"/>
          <w:szCs w:val="24"/>
        </w:rPr>
        <w:t>los</w:t>
      </w:r>
      <w:r w:rsidR="00D136BB">
        <w:rPr>
          <w:rFonts w:cs="Times New Roman"/>
          <w:szCs w:val="24"/>
        </w:rPr>
        <w:t xml:space="preserve"> </w:t>
      </w:r>
      <w:r w:rsidR="005D0292" w:rsidRPr="00AE1E0D">
        <w:rPr>
          <w:rFonts w:cs="Times New Roman"/>
          <w:szCs w:val="24"/>
        </w:rPr>
        <w:t>posibles</w:t>
      </w:r>
      <w:r w:rsidR="00D136BB">
        <w:rPr>
          <w:rFonts w:cs="Times New Roman"/>
          <w:szCs w:val="24"/>
        </w:rPr>
        <w:t xml:space="preserve"> </w:t>
      </w:r>
      <w:r w:rsidR="005D0292" w:rsidRPr="00AE1E0D">
        <w:rPr>
          <w:rFonts w:cs="Times New Roman"/>
          <w:szCs w:val="24"/>
        </w:rPr>
        <w:t>riesgos</w:t>
      </w:r>
      <w:r w:rsidR="00D136BB">
        <w:rPr>
          <w:rFonts w:cs="Times New Roman"/>
          <w:szCs w:val="24"/>
        </w:rPr>
        <w:t xml:space="preserve"> </w:t>
      </w:r>
      <w:r w:rsidR="005D0292" w:rsidRPr="00AE1E0D">
        <w:rPr>
          <w:rFonts w:cs="Times New Roman"/>
          <w:szCs w:val="24"/>
        </w:rPr>
        <w:t>radiológicos</w:t>
      </w:r>
      <w:r w:rsidR="00D136BB">
        <w:rPr>
          <w:rFonts w:cs="Times New Roman"/>
          <w:szCs w:val="24"/>
        </w:rPr>
        <w:t xml:space="preserve"> </w:t>
      </w:r>
      <w:r w:rsidR="005D0292" w:rsidRPr="00AE1E0D">
        <w:rPr>
          <w:rFonts w:cs="Times New Roman"/>
          <w:szCs w:val="24"/>
        </w:rPr>
        <w:t>asociados</w:t>
      </w:r>
      <w:r w:rsidR="00D136BB">
        <w:rPr>
          <w:rFonts w:cs="Times New Roman"/>
          <w:szCs w:val="24"/>
        </w:rPr>
        <w:t xml:space="preserve"> </w:t>
      </w:r>
      <w:r w:rsidR="005D0292" w:rsidRPr="00AE1E0D">
        <w:rPr>
          <w:rFonts w:cs="Times New Roman"/>
          <w:szCs w:val="24"/>
        </w:rPr>
        <w:t>a</w:t>
      </w:r>
      <w:r w:rsidR="00D136BB">
        <w:rPr>
          <w:rFonts w:cs="Times New Roman"/>
          <w:szCs w:val="24"/>
        </w:rPr>
        <w:t xml:space="preserve"> </w:t>
      </w:r>
      <w:r w:rsidR="005D0292" w:rsidRPr="00AE1E0D">
        <w:rPr>
          <w:rFonts w:cs="Times New Roman"/>
          <w:szCs w:val="24"/>
        </w:rPr>
        <w:t>las</w:t>
      </w:r>
      <w:r w:rsidR="00D136BB">
        <w:rPr>
          <w:rFonts w:cs="Times New Roman"/>
          <w:szCs w:val="24"/>
        </w:rPr>
        <w:t xml:space="preserve"> </w:t>
      </w:r>
      <w:r w:rsidR="005D0292" w:rsidRPr="00AE1E0D">
        <w:rPr>
          <w:rFonts w:cs="Times New Roman"/>
          <w:szCs w:val="24"/>
        </w:rPr>
        <w:t>instalaciones</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sidR="005D0292" w:rsidRPr="00AE1E0D">
        <w:rPr>
          <w:rFonts w:cs="Times New Roman"/>
          <w:szCs w:val="24"/>
        </w:rPr>
        <w:t>actividades</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sidR="005D0292" w:rsidRPr="00AE1E0D">
        <w:rPr>
          <w:rFonts w:cs="Times New Roman"/>
          <w:szCs w:val="24"/>
        </w:rPr>
        <w:t>sobre</w:t>
      </w:r>
      <w:r w:rsidR="00D136BB">
        <w:rPr>
          <w:rFonts w:cs="Times New Roman"/>
          <w:szCs w:val="24"/>
        </w:rPr>
        <w:t xml:space="preserve"> </w:t>
      </w:r>
      <w:r w:rsidR="005D0292" w:rsidRPr="00AE1E0D">
        <w:rPr>
          <w:rFonts w:cs="Times New Roman"/>
          <w:szCs w:val="24"/>
        </w:rPr>
        <w:t>los</w:t>
      </w:r>
      <w:r w:rsidR="00D136BB">
        <w:rPr>
          <w:rFonts w:cs="Times New Roman"/>
          <w:szCs w:val="24"/>
        </w:rPr>
        <w:t xml:space="preserve"> </w:t>
      </w:r>
      <w:r w:rsidR="005D0292" w:rsidRPr="00AE1E0D">
        <w:rPr>
          <w:rFonts w:cs="Times New Roman"/>
          <w:szCs w:val="24"/>
        </w:rPr>
        <w:t>procesos</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sidR="005D0292" w:rsidRPr="00AE1E0D">
        <w:rPr>
          <w:rFonts w:cs="Times New Roman"/>
          <w:szCs w:val="24"/>
        </w:rPr>
        <w:t>decisiones</w:t>
      </w:r>
      <w:r w:rsidR="00D136BB">
        <w:rPr>
          <w:rFonts w:cs="Times New Roman"/>
          <w:szCs w:val="24"/>
        </w:rPr>
        <w:t xml:space="preserve"> </w:t>
      </w:r>
      <w:r w:rsidR="005D0292" w:rsidRPr="00AE1E0D">
        <w:rPr>
          <w:rFonts w:cs="Times New Roman"/>
          <w:szCs w:val="24"/>
        </w:rPr>
        <w:t>del</w:t>
      </w:r>
      <w:r w:rsidR="00D136BB">
        <w:rPr>
          <w:rFonts w:cs="Times New Roman"/>
          <w:szCs w:val="24"/>
        </w:rPr>
        <w:t xml:space="preserve"> </w:t>
      </w:r>
      <w:r w:rsidR="005D0292" w:rsidRPr="00AE1E0D">
        <w:rPr>
          <w:rFonts w:cs="Times New Roman"/>
          <w:szCs w:val="24"/>
        </w:rPr>
        <w:t>órgano</w:t>
      </w:r>
      <w:r w:rsidR="00D136BB">
        <w:rPr>
          <w:rFonts w:cs="Times New Roman"/>
          <w:szCs w:val="24"/>
        </w:rPr>
        <w:t xml:space="preserve"> </w:t>
      </w:r>
      <w:r w:rsidR="005D0292" w:rsidRPr="00AE1E0D">
        <w:rPr>
          <w:rFonts w:cs="Times New Roman"/>
          <w:szCs w:val="24"/>
        </w:rPr>
        <w:t>regulador.</w:t>
      </w:r>
    </w:p>
    <w:p w14:paraId="039DE7A9" w14:textId="1C982A3B" w:rsidR="005D0292" w:rsidRDefault="005D0292" w:rsidP="005D0292">
      <w:pPr>
        <w:pStyle w:val="ListNumber"/>
        <w:rPr>
          <w:rFonts w:cs="Times New Roman"/>
          <w:szCs w:val="24"/>
        </w:rPr>
      </w:pPr>
      <w:r w:rsidRPr="00AE1E0D">
        <w:rPr>
          <w:rFonts w:cs="Times New Roman"/>
          <w:szCs w:val="24"/>
        </w:rPr>
        <w:t>No</w:t>
      </w:r>
      <w:r w:rsidR="00DA332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tiene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preparación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licenciamiento</w:t>
      </w:r>
      <w:r w:rsidR="00D136BB">
        <w:rPr>
          <w:rFonts w:cs="Times New Roman"/>
          <w:szCs w:val="24"/>
        </w:rPr>
        <w:t xml:space="preserve"> </w:t>
      </w:r>
      <w:r w:rsidRPr="00AE1E0D">
        <w:rPr>
          <w:rFonts w:cs="Times New Roman"/>
          <w:szCs w:val="24"/>
        </w:rPr>
        <w:t>creciente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instalaciones</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albergan</w:t>
      </w:r>
      <w:r w:rsidR="00D136BB">
        <w:rPr>
          <w:rFonts w:cs="Times New Roman"/>
          <w:szCs w:val="24"/>
        </w:rPr>
        <w:t xml:space="preserve"> </w:t>
      </w:r>
      <w:r w:rsidRPr="00AE1E0D">
        <w:rPr>
          <w:rFonts w:cs="Times New Roman"/>
          <w:szCs w:val="24"/>
        </w:rPr>
        <w:t>ciclotrones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00CF585C" w:rsidRPr="00AE1E0D">
        <w:rPr>
          <w:rFonts w:cs="Times New Roman"/>
          <w:szCs w:val="24"/>
        </w:rPr>
        <w:t>preparación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00CF585C">
        <w:rPr>
          <w:rFonts w:cs="Times New Roman"/>
          <w:szCs w:val="24"/>
        </w:rPr>
        <w:t>radiofármacos</w:t>
      </w:r>
      <w:r w:rsidR="00D136BB">
        <w:rPr>
          <w:rFonts w:cs="Times New Roman"/>
          <w:szCs w:val="24"/>
        </w:rPr>
        <w:t xml:space="preserve"> </w:t>
      </w:r>
      <w:r w:rsidR="00CF585C">
        <w:rPr>
          <w:rFonts w:cs="Times New Roman"/>
          <w:szCs w:val="24"/>
        </w:rPr>
        <w:t>y</w:t>
      </w:r>
      <w:r w:rsidR="00D136BB">
        <w:rPr>
          <w:rFonts w:cs="Times New Roman"/>
          <w:szCs w:val="24"/>
        </w:rPr>
        <w:t xml:space="preserve"> </w:t>
      </w:r>
      <w:r w:rsidR="00CF585C">
        <w:rPr>
          <w:rFonts w:cs="Times New Roman"/>
          <w:szCs w:val="24"/>
        </w:rPr>
        <w:t>nuevas</w:t>
      </w:r>
      <w:r w:rsidR="00D136BB">
        <w:rPr>
          <w:rFonts w:cs="Times New Roman"/>
          <w:szCs w:val="24"/>
        </w:rPr>
        <w:t xml:space="preserve"> </w:t>
      </w:r>
      <w:r w:rsidR="00CF585C">
        <w:rPr>
          <w:rFonts w:cs="Times New Roman"/>
          <w:szCs w:val="24"/>
        </w:rPr>
        <w:t>tecnologías</w:t>
      </w:r>
      <w:r w:rsidR="00D136BB">
        <w:rPr>
          <w:rFonts w:cs="Times New Roman"/>
          <w:szCs w:val="24"/>
        </w:rPr>
        <w:t xml:space="preserve"> </w:t>
      </w:r>
      <w:r w:rsidR="00CF585C">
        <w:rPr>
          <w:rFonts w:cs="Times New Roman"/>
          <w:szCs w:val="24"/>
        </w:rPr>
        <w:t>inmersas</w:t>
      </w:r>
      <w:r w:rsidR="00D136BB">
        <w:rPr>
          <w:rFonts w:cs="Times New Roman"/>
          <w:szCs w:val="24"/>
        </w:rPr>
        <w:t xml:space="preserve"> </w:t>
      </w:r>
      <w:r w:rsidR="00CF585C">
        <w:rPr>
          <w:rFonts w:cs="Times New Roman"/>
          <w:szCs w:val="24"/>
        </w:rPr>
        <w:t>en</w:t>
      </w:r>
      <w:r w:rsidR="00D136BB">
        <w:rPr>
          <w:rFonts w:cs="Times New Roman"/>
          <w:szCs w:val="24"/>
        </w:rPr>
        <w:t xml:space="preserve"> </w:t>
      </w:r>
      <w:r w:rsidR="00CF585C">
        <w:rPr>
          <w:rFonts w:cs="Times New Roman"/>
          <w:szCs w:val="24"/>
        </w:rPr>
        <w:t>el</w:t>
      </w:r>
      <w:r w:rsidR="00D136BB">
        <w:rPr>
          <w:rFonts w:cs="Times New Roman"/>
          <w:szCs w:val="24"/>
        </w:rPr>
        <w:t xml:space="preserve"> </w:t>
      </w:r>
      <w:r w:rsidR="00CF585C">
        <w:rPr>
          <w:rFonts w:cs="Times New Roman"/>
          <w:szCs w:val="24"/>
        </w:rPr>
        <w:t>país.</w:t>
      </w:r>
    </w:p>
    <w:p w14:paraId="608588FC" w14:textId="0BE6AFED" w:rsidR="00CF585C" w:rsidRPr="00AE1E0D" w:rsidRDefault="00D136BB" w:rsidP="005D0292">
      <w:pPr>
        <w:pStyle w:val="ListNumber"/>
        <w:rPr>
          <w:rFonts w:cs="Times New Roman"/>
          <w:szCs w:val="24"/>
        </w:rPr>
      </w:pPr>
      <w:r>
        <w:rPr>
          <w:rFonts w:cs="Times New Roman"/>
          <w:szCs w:val="24"/>
        </w:rPr>
        <w:t xml:space="preserve"> </w:t>
      </w:r>
      <w:r w:rsidR="00CF585C">
        <w:rPr>
          <w:rFonts w:cs="Times New Roman"/>
          <w:szCs w:val="24"/>
        </w:rPr>
        <w:t>Débil</w:t>
      </w:r>
      <w:r>
        <w:rPr>
          <w:rFonts w:cs="Times New Roman"/>
          <w:szCs w:val="24"/>
        </w:rPr>
        <w:t xml:space="preserve"> </w:t>
      </w:r>
      <w:r w:rsidR="00CF585C">
        <w:rPr>
          <w:rFonts w:cs="Times New Roman"/>
          <w:szCs w:val="24"/>
        </w:rPr>
        <w:t>infraestructura</w:t>
      </w:r>
      <w:r>
        <w:rPr>
          <w:rFonts w:cs="Times New Roman"/>
          <w:szCs w:val="24"/>
        </w:rPr>
        <w:t xml:space="preserve"> </w:t>
      </w:r>
      <w:r w:rsidR="00CF585C">
        <w:rPr>
          <w:rFonts w:cs="Times New Roman"/>
          <w:szCs w:val="24"/>
        </w:rPr>
        <w:t>reguladora</w:t>
      </w:r>
      <w:r>
        <w:rPr>
          <w:rFonts w:cs="Times New Roman"/>
          <w:szCs w:val="24"/>
        </w:rPr>
        <w:t xml:space="preserve"> </w:t>
      </w:r>
      <w:r w:rsidR="00CF585C">
        <w:rPr>
          <w:rFonts w:cs="Times New Roman"/>
          <w:szCs w:val="24"/>
        </w:rPr>
        <w:t>en</w:t>
      </w:r>
      <w:r>
        <w:rPr>
          <w:rFonts w:cs="Times New Roman"/>
          <w:szCs w:val="24"/>
        </w:rPr>
        <w:t xml:space="preserve"> </w:t>
      </w:r>
      <w:r w:rsidR="00CF585C">
        <w:rPr>
          <w:rFonts w:cs="Times New Roman"/>
          <w:szCs w:val="24"/>
        </w:rPr>
        <w:t>muchos</w:t>
      </w:r>
      <w:r>
        <w:rPr>
          <w:rFonts w:cs="Times New Roman"/>
          <w:szCs w:val="24"/>
        </w:rPr>
        <w:t xml:space="preserve"> </w:t>
      </w:r>
      <w:r w:rsidR="00CF585C">
        <w:rPr>
          <w:rFonts w:cs="Times New Roman"/>
          <w:szCs w:val="24"/>
        </w:rPr>
        <w:t>organismos</w:t>
      </w:r>
      <w:r>
        <w:rPr>
          <w:rFonts w:cs="Times New Roman"/>
          <w:szCs w:val="24"/>
        </w:rPr>
        <w:t xml:space="preserve"> </w:t>
      </w:r>
      <w:r w:rsidR="00CF585C">
        <w:rPr>
          <w:rFonts w:cs="Times New Roman"/>
          <w:szCs w:val="24"/>
        </w:rPr>
        <w:t>que</w:t>
      </w:r>
      <w:r>
        <w:rPr>
          <w:rFonts w:cs="Times New Roman"/>
          <w:szCs w:val="24"/>
        </w:rPr>
        <w:t xml:space="preserve"> </w:t>
      </w:r>
      <w:r w:rsidR="00CF585C">
        <w:rPr>
          <w:rFonts w:cs="Times New Roman"/>
          <w:szCs w:val="24"/>
        </w:rPr>
        <w:t>tienen</w:t>
      </w:r>
      <w:r>
        <w:rPr>
          <w:rFonts w:cs="Times New Roman"/>
          <w:szCs w:val="24"/>
        </w:rPr>
        <w:t xml:space="preserve"> </w:t>
      </w:r>
      <w:r w:rsidR="00CF585C">
        <w:rPr>
          <w:rFonts w:cs="Times New Roman"/>
          <w:szCs w:val="24"/>
        </w:rPr>
        <w:t>la</w:t>
      </w:r>
      <w:r>
        <w:rPr>
          <w:rFonts w:cs="Times New Roman"/>
          <w:szCs w:val="24"/>
        </w:rPr>
        <w:t xml:space="preserve"> </w:t>
      </w:r>
      <w:r w:rsidR="00CF585C">
        <w:rPr>
          <w:rFonts w:cs="Times New Roman"/>
          <w:szCs w:val="24"/>
        </w:rPr>
        <w:t>responsabilidad</w:t>
      </w:r>
      <w:r>
        <w:rPr>
          <w:rFonts w:cs="Times New Roman"/>
          <w:szCs w:val="24"/>
        </w:rPr>
        <w:t xml:space="preserve"> </w:t>
      </w:r>
      <w:r w:rsidR="00CF585C">
        <w:rPr>
          <w:rFonts w:cs="Times New Roman"/>
          <w:szCs w:val="24"/>
        </w:rPr>
        <w:t>de</w:t>
      </w:r>
      <w:r>
        <w:rPr>
          <w:rFonts w:cs="Times New Roman"/>
          <w:szCs w:val="24"/>
        </w:rPr>
        <w:t xml:space="preserve"> </w:t>
      </w:r>
      <w:r w:rsidR="00CF585C">
        <w:rPr>
          <w:rFonts w:cs="Times New Roman"/>
          <w:szCs w:val="24"/>
        </w:rPr>
        <w:t>control</w:t>
      </w:r>
      <w:r>
        <w:rPr>
          <w:rFonts w:cs="Times New Roman"/>
          <w:szCs w:val="24"/>
        </w:rPr>
        <w:t xml:space="preserve"> </w:t>
      </w:r>
      <w:r w:rsidR="00CF585C">
        <w:rPr>
          <w:rFonts w:cs="Times New Roman"/>
          <w:szCs w:val="24"/>
        </w:rPr>
        <w:t>los</w:t>
      </w:r>
      <w:r>
        <w:rPr>
          <w:rFonts w:cs="Times New Roman"/>
          <w:szCs w:val="24"/>
        </w:rPr>
        <w:t xml:space="preserve"> </w:t>
      </w:r>
      <w:r w:rsidR="00CF585C">
        <w:rPr>
          <w:rFonts w:cs="Times New Roman"/>
          <w:szCs w:val="24"/>
        </w:rPr>
        <w:t>usos</w:t>
      </w:r>
      <w:r>
        <w:rPr>
          <w:rFonts w:cs="Times New Roman"/>
          <w:szCs w:val="24"/>
        </w:rPr>
        <w:t xml:space="preserve"> </w:t>
      </w:r>
      <w:r w:rsidR="00CF585C">
        <w:rPr>
          <w:rFonts w:cs="Times New Roman"/>
          <w:szCs w:val="24"/>
        </w:rPr>
        <w:t>médicos</w:t>
      </w:r>
      <w:r>
        <w:rPr>
          <w:rFonts w:cs="Times New Roman"/>
          <w:szCs w:val="24"/>
        </w:rPr>
        <w:t xml:space="preserve"> </w:t>
      </w:r>
      <w:r w:rsidR="00CF585C">
        <w:rPr>
          <w:rFonts w:cs="Times New Roman"/>
          <w:szCs w:val="24"/>
        </w:rPr>
        <w:t>con</w:t>
      </w:r>
      <w:r>
        <w:rPr>
          <w:rFonts w:cs="Times New Roman"/>
          <w:szCs w:val="24"/>
        </w:rPr>
        <w:t xml:space="preserve"> </w:t>
      </w:r>
      <w:r w:rsidR="00CF585C">
        <w:rPr>
          <w:rFonts w:cs="Times New Roman"/>
          <w:szCs w:val="24"/>
        </w:rPr>
        <w:t>rayos</w:t>
      </w:r>
      <w:r>
        <w:rPr>
          <w:rFonts w:cs="Times New Roman"/>
          <w:szCs w:val="24"/>
        </w:rPr>
        <w:t xml:space="preserve"> </w:t>
      </w:r>
      <w:r w:rsidR="00CF585C">
        <w:rPr>
          <w:rFonts w:cs="Times New Roman"/>
          <w:szCs w:val="24"/>
        </w:rPr>
        <w:t>X.</w:t>
      </w:r>
    </w:p>
    <w:p w14:paraId="5BCCEAAD" w14:textId="5F285724" w:rsidR="005D0292" w:rsidRPr="006454E8" w:rsidRDefault="001F7F3E" w:rsidP="001F7F3E">
      <w:pPr>
        <w:pStyle w:val="Heading3"/>
        <w:numPr>
          <w:ilvl w:val="0"/>
          <w:numId w:val="0"/>
        </w:numPr>
        <w:tabs>
          <w:tab w:val="clear" w:pos="851"/>
          <w:tab w:val="clear" w:pos="1134"/>
          <w:tab w:val="clear" w:pos="1429"/>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360" w:after="120"/>
        <w:rPr>
          <w:szCs w:val="24"/>
          <w:lang w:val="es-ES_tradnl"/>
        </w:rPr>
      </w:pPr>
      <w:r w:rsidRPr="006454E8">
        <w:rPr>
          <w:szCs w:val="24"/>
          <w:lang w:val="es-ES_tradnl"/>
        </w:rPr>
        <w:t>ii)</w:t>
      </w:r>
      <w:r w:rsidR="00D136BB">
        <w:rPr>
          <w:szCs w:val="24"/>
          <w:lang w:val="es-ES_tradnl"/>
        </w:rPr>
        <w:t xml:space="preserve"> </w:t>
      </w:r>
      <w:r w:rsidR="005D0292" w:rsidRPr="006454E8">
        <w:rPr>
          <w:szCs w:val="24"/>
          <w:lang w:val="es-ES_tradnl"/>
        </w:rPr>
        <w:t>Protección</w:t>
      </w:r>
      <w:r w:rsidR="00D136BB">
        <w:rPr>
          <w:szCs w:val="24"/>
          <w:lang w:val="es-ES_tradnl"/>
        </w:rPr>
        <w:t xml:space="preserve"> </w:t>
      </w:r>
      <w:r w:rsidR="005D0292" w:rsidRPr="006454E8">
        <w:rPr>
          <w:szCs w:val="24"/>
          <w:lang w:val="es-ES_tradnl"/>
        </w:rPr>
        <w:t>radiológica</w:t>
      </w:r>
      <w:r w:rsidR="00D136BB">
        <w:rPr>
          <w:szCs w:val="24"/>
          <w:lang w:val="es-ES_tradnl"/>
        </w:rPr>
        <w:t xml:space="preserve"> </w:t>
      </w:r>
      <w:r w:rsidR="005D0292" w:rsidRPr="006454E8">
        <w:rPr>
          <w:szCs w:val="24"/>
          <w:lang w:val="es-ES_tradnl"/>
        </w:rPr>
        <w:t>en</w:t>
      </w:r>
      <w:r w:rsidR="00D136BB">
        <w:rPr>
          <w:szCs w:val="24"/>
          <w:lang w:val="es-ES_tradnl"/>
        </w:rPr>
        <w:t xml:space="preserve"> </w:t>
      </w:r>
      <w:r w:rsidR="005D0292" w:rsidRPr="006454E8">
        <w:rPr>
          <w:szCs w:val="24"/>
          <w:lang w:val="es-ES_tradnl"/>
        </w:rPr>
        <w:t>exposición</w:t>
      </w:r>
      <w:r w:rsidR="00D136BB">
        <w:rPr>
          <w:szCs w:val="24"/>
          <w:lang w:val="es-ES_tradnl"/>
        </w:rPr>
        <w:t xml:space="preserve"> </w:t>
      </w:r>
      <w:r w:rsidR="005D0292" w:rsidRPr="006454E8">
        <w:rPr>
          <w:szCs w:val="24"/>
          <w:lang w:val="es-ES_tradnl"/>
        </w:rPr>
        <w:t>ocupacional</w:t>
      </w:r>
      <w:r w:rsidR="00D136BB">
        <w:rPr>
          <w:szCs w:val="24"/>
          <w:lang w:val="es-ES_tradnl"/>
        </w:rPr>
        <w:t xml:space="preserve"> </w:t>
      </w:r>
      <w:r w:rsidR="005D0292" w:rsidRPr="006454E8">
        <w:rPr>
          <w:szCs w:val="24"/>
          <w:lang w:val="es-ES_tradnl"/>
        </w:rPr>
        <w:t>en</w:t>
      </w:r>
      <w:r w:rsidR="00D136BB">
        <w:rPr>
          <w:szCs w:val="24"/>
          <w:lang w:val="es-ES_tradnl"/>
        </w:rPr>
        <w:t xml:space="preserve"> </w:t>
      </w:r>
      <w:r w:rsidR="005D0292" w:rsidRPr="006454E8">
        <w:rPr>
          <w:szCs w:val="24"/>
          <w:lang w:val="es-ES_tradnl"/>
        </w:rPr>
        <w:t>usuarios</w:t>
      </w:r>
      <w:r w:rsidR="00D136BB">
        <w:rPr>
          <w:szCs w:val="24"/>
          <w:lang w:val="es-ES_tradnl"/>
        </w:rPr>
        <w:t xml:space="preserve"> </w:t>
      </w:r>
      <w:r w:rsidR="005D0292" w:rsidRPr="006454E8">
        <w:rPr>
          <w:szCs w:val="24"/>
          <w:lang w:val="es-ES_tradnl"/>
        </w:rPr>
        <w:t>finales.</w:t>
      </w:r>
    </w:p>
    <w:p w14:paraId="5F53D619" w14:textId="42C2FE6D" w:rsidR="005D0292" w:rsidRPr="00AE1E0D" w:rsidRDefault="005D0292" w:rsidP="005D0292">
      <w:pPr>
        <w:pStyle w:val="ListNumber"/>
        <w:rPr>
          <w:rFonts w:cs="Times New Roman"/>
          <w:szCs w:val="24"/>
        </w:rPr>
      </w:pPr>
      <w:r w:rsidRPr="00AE1E0D">
        <w:rPr>
          <w:rFonts w:cs="Times New Roman"/>
          <w:szCs w:val="24"/>
        </w:rPr>
        <w:t>El</w:t>
      </w:r>
      <w:r w:rsidR="00D136BB">
        <w:rPr>
          <w:rFonts w:cs="Times New Roman"/>
          <w:szCs w:val="24"/>
        </w:rPr>
        <w:t xml:space="preserve"> </w:t>
      </w:r>
      <w:r w:rsidRPr="00AE1E0D">
        <w:rPr>
          <w:rFonts w:cs="Times New Roman"/>
          <w:szCs w:val="24"/>
        </w:rPr>
        <w:t>proceso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evaluación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sus</w:t>
      </w:r>
      <w:r w:rsidR="00D136BB">
        <w:rPr>
          <w:rFonts w:cs="Times New Roman"/>
          <w:szCs w:val="24"/>
        </w:rPr>
        <w:t xml:space="preserve"> </w:t>
      </w:r>
      <w:r w:rsidRPr="00AE1E0D">
        <w:rPr>
          <w:rFonts w:cs="Times New Roman"/>
          <w:szCs w:val="24"/>
        </w:rPr>
        <w:t>herramientas</w:t>
      </w:r>
      <w:r w:rsidR="00D136BB">
        <w:rPr>
          <w:rFonts w:cs="Times New Roman"/>
          <w:szCs w:val="24"/>
        </w:rPr>
        <w:t xml:space="preserve"> </w:t>
      </w:r>
      <w:r w:rsidRPr="00AE1E0D">
        <w:rPr>
          <w:rFonts w:cs="Times New Roman"/>
          <w:szCs w:val="24"/>
        </w:rPr>
        <w:t>es</w:t>
      </w:r>
      <w:r w:rsidR="00D136BB">
        <w:rPr>
          <w:rFonts w:cs="Times New Roman"/>
          <w:szCs w:val="24"/>
        </w:rPr>
        <w:t xml:space="preserve"> </w:t>
      </w:r>
      <w:r w:rsidRPr="00AE1E0D">
        <w:rPr>
          <w:rFonts w:cs="Times New Roman"/>
          <w:szCs w:val="24"/>
        </w:rPr>
        <w:t>limitado,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acuerdo</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requerimientos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GSR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4.</w:t>
      </w:r>
    </w:p>
    <w:p w14:paraId="2E496276" w14:textId="532E753E" w:rsidR="005D0292" w:rsidRPr="00AE1E0D" w:rsidRDefault="005D0292" w:rsidP="005D0292">
      <w:pPr>
        <w:pStyle w:val="ListNumber"/>
        <w:rPr>
          <w:rFonts w:cs="Times New Roman"/>
          <w:szCs w:val="24"/>
        </w:rPr>
      </w:pPr>
      <w:r w:rsidRPr="00AE1E0D">
        <w:rPr>
          <w:rFonts w:cs="Times New Roman"/>
          <w:szCs w:val="24"/>
        </w:rPr>
        <w:t>No</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trabajadores</w:t>
      </w:r>
      <w:r w:rsidR="00D136BB">
        <w:rPr>
          <w:rFonts w:cs="Times New Roman"/>
          <w:szCs w:val="24"/>
        </w:rPr>
        <w:t xml:space="preserve"> </w:t>
      </w:r>
      <w:r w:rsidRPr="00AE1E0D">
        <w:rPr>
          <w:rFonts w:cs="Times New Roman"/>
          <w:szCs w:val="24"/>
        </w:rPr>
        <w:t>ocupacionalmente</w:t>
      </w:r>
      <w:r w:rsidR="00D136BB">
        <w:rPr>
          <w:rFonts w:cs="Times New Roman"/>
          <w:szCs w:val="24"/>
        </w:rPr>
        <w:t xml:space="preserve"> </w:t>
      </w:r>
      <w:r w:rsidRPr="00AE1E0D">
        <w:rPr>
          <w:rFonts w:cs="Times New Roman"/>
          <w:szCs w:val="24"/>
        </w:rPr>
        <w:t>expuestos</w:t>
      </w:r>
      <w:r w:rsidR="00D136BB">
        <w:rPr>
          <w:rFonts w:cs="Times New Roman"/>
          <w:szCs w:val="24"/>
        </w:rPr>
        <w:t xml:space="preserve"> </w:t>
      </w:r>
      <w:r w:rsidRPr="00AE1E0D">
        <w:rPr>
          <w:rFonts w:cs="Times New Roman"/>
          <w:szCs w:val="24"/>
        </w:rPr>
        <w:t>cuentan</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monitorización</w:t>
      </w:r>
      <w:r w:rsidR="00D136BB">
        <w:rPr>
          <w:rFonts w:cs="Times New Roman"/>
          <w:szCs w:val="24"/>
        </w:rPr>
        <w:t xml:space="preserve"> </w:t>
      </w:r>
      <w:r w:rsidRPr="00AE1E0D">
        <w:rPr>
          <w:rFonts w:cs="Times New Roman"/>
          <w:szCs w:val="24"/>
        </w:rPr>
        <w:t>individual</w:t>
      </w:r>
      <w:r w:rsidR="00D136BB">
        <w:rPr>
          <w:rFonts w:cs="Times New Roman"/>
          <w:szCs w:val="24"/>
        </w:rPr>
        <w:t xml:space="preserve"> </w:t>
      </w:r>
      <w:r w:rsidRPr="00AE1E0D">
        <w:rPr>
          <w:rFonts w:cs="Times New Roman"/>
          <w:szCs w:val="24"/>
        </w:rPr>
        <w:t>requerido</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recomendaciones</w:t>
      </w:r>
      <w:r w:rsidR="00D136BB">
        <w:rPr>
          <w:rFonts w:cs="Times New Roman"/>
          <w:szCs w:val="24"/>
        </w:rPr>
        <w:t xml:space="preserve"> </w:t>
      </w:r>
      <w:r w:rsidRPr="00AE1E0D">
        <w:rPr>
          <w:rFonts w:cs="Times New Roman"/>
          <w:szCs w:val="24"/>
        </w:rPr>
        <w:t>internacionales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regulaciones</w:t>
      </w:r>
      <w:r w:rsidR="00D136BB">
        <w:rPr>
          <w:rFonts w:cs="Times New Roman"/>
          <w:szCs w:val="24"/>
        </w:rPr>
        <w:t xml:space="preserve"> </w:t>
      </w:r>
      <w:r w:rsidRPr="00AE1E0D">
        <w:rPr>
          <w:rFonts w:cs="Times New Roman"/>
          <w:szCs w:val="24"/>
        </w:rPr>
        <w:t>nacionales,</w:t>
      </w:r>
      <w:r w:rsidR="00D136BB">
        <w:rPr>
          <w:rFonts w:cs="Times New Roman"/>
          <w:szCs w:val="24"/>
        </w:rPr>
        <w:t xml:space="preserve"> </w:t>
      </w:r>
      <w:r w:rsidRPr="00AE1E0D">
        <w:rPr>
          <w:rFonts w:cs="Times New Roman"/>
          <w:szCs w:val="24"/>
        </w:rPr>
        <w:t>acentuándose</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problema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caso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monitorización</w:t>
      </w:r>
      <w:r w:rsidR="00D136BB">
        <w:rPr>
          <w:rFonts w:cs="Times New Roman"/>
          <w:szCs w:val="24"/>
        </w:rPr>
        <w:t xml:space="preserve"> </w:t>
      </w:r>
      <w:r w:rsidRPr="00AE1E0D">
        <w:rPr>
          <w:rFonts w:cs="Times New Roman"/>
          <w:szCs w:val="24"/>
        </w:rPr>
        <w:t>individual</w:t>
      </w:r>
      <w:r w:rsidR="00D136BB">
        <w:rPr>
          <w:rFonts w:cs="Times New Roman"/>
          <w:szCs w:val="24"/>
        </w:rPr>
        <w:t xml:space="preserve"> </w:t>
      </w:r>
      <w:r w:rsidRPr="00AE1E0D">
        <w:rPr>
          <w:rFonts w:cs="Times New Roman"/>
          <w:szCs w:val="24"/>
        </w:rPr>
        <w:t>interno</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dosimetría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cristalino</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extremidades.</w:t>
      </w:r>
    </w:p>
    <w:p w14:paraId="5053197D" w14:textId="4DCCB3C9" w:rsidR="005D0292" w:rsidRPr="00AE1E0D" w:rsidRDefault="005D0292" w:rsidP="005D0292">
      <w:pPr>
        <w:pStyle w:val="ListNumber"/>
        <w:rPr>
          <w:rFonts w:cs="Times New Roman"/>
          <w:szCs w:val="24"/>
          <w:lang w:val="es-ES"/>
        </w:rPr>
      </w:pPr>
      <w:r w:rsidRPr="00AE1E0D">
        <w:rPr>
          <w:rFonts w:cs="Times New Roman"/>
          <w:szCs w:val="24"/>
        </w:rPr>
        <w:t>Los</w:t>
      </w:r>
      <w:r w:rsidR="00D136BB">
        <w:rPr>
          <w:rFonts w:cs="Times New Roman"/>
          <w:szCs w:val="24"/>
        </w:rPr>
        <w:t xml:space="preserve"> </w:t>
      </w:r>
      <w:r w:rsidRPr="00AE1E0D">
        <w:rPr>
          <w:rFonts w:cs="Times New Roman"/>
          <w:szCs w:val="24"/>
        </w:rPr>
        <w:t>registros</w:t>
      </w:r>
      <w:r w:rsidR="00D136BB">
        <w:rPr>
          <w:rFonts w:cs="Times New Roman"/>
          <w:szCs w:val="24"/>
        </w:rPr>
        <w:t xml:space="preserve"> </w:t>
      </w:r>
      <w:r w:rsidRPr="00AE1E0D">
        <w:rPr>
          <w:rFonts w:cs="Times New Roman"/>
          <w:szCs w:val="24"/>
        </w:rPr>
        <w:t>nacionales</w:t>
      </w:r>
      <w:r w:rsidR="00D136BB">
        <w:rPr>
          <w:rFonts w:cs="Times New Roman"/>
          <w:szCs w:val="24"/>
        </w:rPr>
        <w:t xml:space="preserve"> </w:t>
      </w:r>
      <w:r w:rsidRPr="00AE1E0D">
        <w:rPr>
          <w:rFonts w:cs="Times New Roman"/>
          <w:szCs w:val="24"/>
          <w:lang w:val="es-ES"/>
        </w:rPr>
        <w:t>únicos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todas</w:t>
      </w:r>
      <w:r w:rsidR="00D136BB">
        <w:rPr>
          <w:rFonts w:cs="Times New Roman"/>
          <w:szCs w:val="24"/>
          <w:lang w:val="es-ES"/>
        </w:rPr>
        <w:t xml:space="preserve"> </w:t>
      </w:r>
      <w:r w:rsidRPr="00AE1E0D">
        <w:rPr>
          <w:rFonts w:cs="Times New Roman"/>
          <w:szCs w:val="24"/>
          <w:lang w:val="es-ES"/>
        </w:rPr>
        <w:t>las</w:t>
      </w:r>
      <w:r w:rsidR="00D136BB">
        <w:rPr>
          <w:rFonts w:cs="Times New Roman"/>
          <w:szCs w:val="24"/>
          <w:lang w:val="es-ES"/>
        </w:rPr>
        <w:t xml:space="preserve"> </w:t>
      </w:r>
      <w:r w:rsidRPr="00AE1E0D">
        <w:rPr>
          <w:rFonts w:cs="Times New Roman"/>
          <w:szCs w:val="24"/>
          <w:lang w:val="es-ES"/>
        </w:rPr>
        <w:t>dosis</w:t>
      </w:r>
      <w:r w:rsidR="00D136BB">
        <w:rPr>
          <w:rFonts w:cs="Times New Roman"/>
          <w:szCs w:val="24"/>
          <w:lang w:val="es-ES"/>
        </w:rPr>
        <w:t xml:space="preserve"> </w:t>
      </w:r>
      <w:r w:rsidRPr="00AE1E0D">
        <w:rPr>
          <w:rFonts w:cs="Times New Roman"/>
          <w:szCs w:val="24"/>
          <w:lang w:val="es-ES"/>
        </w:rPr>
        <w:t>ocupacionales</w:t>
      </w:r>
      <w:r w:rsidR="00D136BB">
        <w:rPr>
          <w:rFonts w:cs="Times New Roman"/>
          <w:szCs w:val="24"/>
          <w:lang w:val="es-ES"/>
        </w:rPr>
        <w:t xml:space="preserve"> </w:t>
      </w:r>
      <w:r w:rsidRPr="00AE1E0D">
        <w:rPr>
          <w:rFonts w:cs="Times New Roman"/>
          <w:szCs w:val="24"/>
          <w:lang w:val="es-ES"/>
        </w:rPr>
        <w:t>no</w:t>
      </w:r>
      <w:r w:rsidR="00D136BB">
        <w:rPr>
          <w:rFonts w:cs="Times New Roman"/>
          <w:szCs w:val="24"/>
          <w:lang w:val="es-ES"/>
        </w:rPr>
        <w:t xml:space="preserve"> </w:t>
      </w:r>
      <w:r w:rsidRPr="00AE1E0D">
        <w:rPr>
          <w:rFonts w:cs="Times New Roman"/>
          <w:szCs w:val="24"/>
          <w:lang w:val="es-ES"/>
        </w:rPr>
        <w:t>están</w:t>
      </w:r>
      <w:r w:rsidR="00D136BB">
        <w:rPr>
          <w:rFonts w:cs="Times New Roman"/>
          <w:szCs w:val="24"/>
          <w:lang w:val="es-ES"/>
        </w:rPr>
        <w:t xml:space="preserve"> </w:t>
      </w:r>
      <w:r w:rsidRPr="00AE1E0D">
        <w:rPr>
          <w:rFonts w:cs="Times New Roman"/>
          <w:szCs w:val="24"/>
          <w:lang w:val="es-ES"/>
        </w:rPr>
        <w:t>disponibles</w:t>
      </w:r>
      <w:r w:rsidR="00D136BB">
        <w:rPr>
          <w:rFonts w:cs="Times New Roman"/>
          <w:szCs w:val="24"/>
          <w:lang w:val="es-ES"/>
        </w:rPr>
        <w:t xml:space="preserve"> </w:t>
      </w:r>
      <w:r w:rsidRPr="00AE1E0D">
        <w:rPr>
          <w:rFonts w:cs="Times New Roman"/>
          <w:szCs w:val="24"/>
          <w:lang w:val="es-ES"/>
        </w:rPr>
        <w:t>o</w:t>
      </w:r>
      <w:r w:rsidR="00D136BB">
        <w:rPr>
          <w:rFonts w:cs="Times New Roman"/>
          <w:szCs w:val="24"/>
          <w:lang w:val="es-ES"/>
        </w:rPr>
        <w:t xml:space="preserve"> </w:t>
      </w:r>
      <w:r w:rsidRPr="00AE1E0D">
        <w:rPr>
          <w:rFonts w:cs="Times New Roman"/>
          <w:szCs w:val="24"/>
          <w:lang w:val="es-ES"/>
        </w:rPr>
        <w:t>no</w:t>
      </w:r>
      <w:r w:rsidR="00D136BB">
        <w:rPr>
          <w:rFonts w:cs="Times New Roman"/>
          <w:szCs w:val="24"/>
          <w:lang w:val="es-ES"/>
        </w:rPr>
        <w:t xml:space="preserve"> </w:t>
      </w:r>
      <w:r w:rsidRPr="00AE1E0D">
        <w:rPr>
          <w:rFonts w:cs="Times New Roman"/>
          <w:szCs w:val="24"/>
          <w:lang w:val="es-ES"/>
        </w:rPr>
        <w:t>son</w:t>
      </w:r>
      <w:r w:rsidR="00D136BB">
        <w:rPr>
          <w:rFonts w:cs="Times New Roman"/>
          <w:szCs w:val="24"/>
          <w:lang w:val="es-ES"/>
        </w:rPr>
        <w:t xml:space="preserve"> </w:t>
      </w:r>
      <w:r w:rsidRPr="00AE1E0D">
        <w:rPr>
          <w:rFonts w:cs="Times New Roman"/>
          <w:szCs w:val="24"/>
          <w:lang w:val="es-ES"/>
        </w:rPr>
        <w:t>usados</w:t>
      </w:r>
      <w:r w:rsidR="00D136BB">
        <w:rPr>
          <w:rFonts w:cs="Times New Roman"/>
          <w:szCs w:val="24"/>
          <w:lang w:val="es-ES"/>
        </w:rPr>
        <w:t xml:space="preserve"> </w:t>
      </w:r>
      <w:r w:rsidRPr="00AE1E0D">
        <w:rPr>
          <w:rFonts w:cs="Times New Roman"/>
          <w:szCs w:val="24"/>
          <w:lang w:val="es-ES"/>
        </w:rPr>
        <w:t>adecuadamente</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todos</w:t>
      </w:r>
      <w:r w:rsidR="00D136BB">
        <w:rPr>
          <w:rFonts w:cs="Times New Roman"/>
          <w:szCs w:val="24"/>
          <w:lang w:val="es-ES"/>
        </w:rPr>
        <w:t xml:space="preserve"> </w:t>
      </w:r>
      <w:r w:rsidRPr="00AE1E0D">
        <w:rPr>
          <w:rFonts w:cs="Times New Roman"/>
          <w:szCs w:val="24"/>
          <w:lang w:val="es-ES"/>
        </w:rPr>
        <w:t>los</w:t>
      </w:r>
      <w:r w:rsidR="00D136BB">
        <w:rPr>
          <w:rFonts w:cs="Times New Roman"/>
          <w:szCs w:val="24"/>
          <w:lang w:val="es-ES"/>
        </w:rPr>
        <w:t xml:space="preserve"> </w:t>
      </w:r>
      <w:r w:rsidRPr="00AE1E0D">
        <w:rPr>
          <w:rFonts w:cs="Times New Roman"/>
          <w:szCs w:val="24"/>
          <w:lang w:val="es-ES"/>
        </w:rPr>
        <w:t>países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región.</w:t>
      </w:r>
    </w:p>
    <w:p w14:paraId="1F05BB56" w14:textId="63856445" w:rsidR="005D0292" w:rsidRPr="00AE1E0D" w:rsidRDefault="005D0292" w:rsidP="005D0292">
      <w:pPr>
        <w:pStyle w:val="ListNumber"/>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adecuada</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programa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acuerdo</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recomendaciones</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OIEA.</w:t>
      </w:r>
    </w:p>
    <w:p w14:paraId="39F08D70" w14:textId="43F83D59" w:rsidR="005D0292" w:rsidRPr="00AE1E0D" w:rsidRDefault="005D0292" w:rsidP="005D0292">
      <w:pPr>
        <w:pStyle w:val="ListNumber"/>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procesos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optimización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trabajador.</w:t>
      </w:r>
    </w:p>
    <w:p w14:paraId="5C6EC832" w14:textId="1784C789" w:rsidR="005D0292" w:rsidRPr="00AE1E0D" w:rsidRDefault="005D0292" w:rsidP="005D0292">
      <w:pPr>
        <w:pStyle w:val="ListNumber"/>
        <w:rPr>
          <w:rFonts w:cs="Times New Roman"/>
          <w:szCs w:val="24"/>
        </w:rPr>
      </w:pPr>
      <w:r w:rsidRPr="00AE1E0D">
        <w:rPr>
          <w:rFonts w:cs="Times New Roman"/>
          <w:szCs w:val="24"/>
        </w:rPr>
        <w:t>La</w:t>
      </w:r>
      <w:r w:rsidR="00D136BB">
        <w:rPr>
          <w:rFonts w:cs="Times New Roman"/>
          <w:szCs w:val="24"/>
        </w:rPr>
        <w:t xml:space="preserve"> </w:t>
      </w:r>
      <w:r w:rsidRPr="00AE1E0D">
        <w:rPr>
          <w:rFonts w:cs="Times New Roman"/>
          <w:szCs w:val="24"/>
        </w:rPr>
        <w:t>promoción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fomento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Cultura</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realiza</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alcance</w:t>
      </w:r>
      <w:r w:rsidR="00D136BB">
        <w:rPr>
          <w:rFonts w:cs="Times New Roman"/>
          <w:szCs w:val="24"/>
        </w:rPr>
        <w:t xml:space="preserve"> </w:t>
      </w:r>
      <w:r w:rsidRPr="00AE1E0D">
        <w:rPr>
          <w:rFonts w:cs="Times New Roman"/>
          <w:szCs w:val="24"/>
        </w:rPr>
        <w:t>limitado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niveles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gerencia,</w:t>
      </w:r>
      <w:r w:rsidR="00D136BB">
        <w:rPr>
          <w:rFonts w:cs="Times New Roman"/>
          <w:szCs w:val="24"/>
        </w:rPr>
        <w:t xml:space="preserve"> </w:t>
      </w:r>
      <w:r w:rsidRPr="00AE1E0D">
        <w:rPr>
          <w:rFonts w:cs="Times New Roman"/>
          <w:szCs w:val="24"/>
        </w:rPr>
        <w:t>organizaciones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trabajadores.</w:t>
      </w:r>
    </w:p>
    <w:p w14:paraId="2102FD15" w14:textId="2DF8CA0B" w:rsidR="005D0292" w:rsidRPr="00AE1E0D" w:rsidRDefault="005D0292" w:rsidP="005D0292">
      <w:pPr>
        <w:pStyle w:val="ListNumber"/>
        <w:rPr>
          <w:rFonts w:cs="Times New Roman"/>
          <w:szCs w:val="24"/>
        </w:rPr>
      </w:pPr>
      <w:r w:rsidRPr="00AE1E0D">
        <w:rPr>
          <w:rFonts w:cs="Times New Roman"/>
          <w:szCs w:val="24"/>
        </w:rPr>
        <w:t>No</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han</w:t>
      </w:r>
      <w:r w:rsidR="00D136BB">
        <w:rPr>
          <w:rFonts w:cs="Times New Roman"/>
          <w:szCs w:val="24"/>
        </w:rPr>
        <w:t xml:space="preserve"> </w:t>
      </w:r>
      <w:r w:rsidRPr="00AE1E0D">
        <w:rPr>
          <w:rFonts w:cs="Times New Roman"/>
          <w:szCs w:val="24"/>
        </w:rPr>
        <w:t>identificado</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industrias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actividades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NORM</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requieran</w:t>
      </w:r>
      <w:r w:rsidR="00D136BB">
        <w:rPr>
          <w:rFonts w:cs="Times New Roman"/>
          <w:szCs w:val="24"/>
        </w:rPr>
        <w:t xml:space="preserve"> </w:t>
      </w:r>
      <w:r w:rsidRPr="00AE1E0D">
        <w:rPr>
          <w:rFonts w:cs="Times New Roman"/>
          <w:szCs w:val="24"/>
        </w:rPr>
        <w:t>un</w:t>
      </w:r>
      <w:r w:rsidR="00D136BB">
        <w:rPr>
          <w:rFonts w:cs="Times New Roman"/>
          <w:szCs w:val="24"/>
        </w:rPr>
        <w:t xml:space="preserve"> </w:t>
      </w:r>
      <w:r w:rsidRPr="00AE1E0D">
        <w:rPr>
          <w:rFonts w:cs="Times New Roman"/>
          <w:szCs w:val="24"/>
        </w:rPr>
        <w:t>programa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ocupacional.</w:t>
      </w:r>
    </w:p>
    <w:p w14:paraId="0AB3DD15" w14:textId="13FAE4F3" w:rsidR="005D0292" w:rsidRPr="00AE1E0D" w:rsidRDefault="005D0292" w:rsidP="005D0292">
      <w:pPr>
        <w:pStyle w:val="ListNumber"/>
        <w:rPr>
          <w:rFonts w:cs="Times New Roman"/>
          <w:szCs w:val="24"/>
        </w:rPr>
      </w:pPr>
      <w:r w:rsidRPr="00AE1E0D">
        <w:rPr>
          <w:rFonts w:cs="Times New Roman"/>
          <w:szCs w:val="24"/>
        </w:rPr>
        <w:t>Limitada</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incluyan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aspectos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usuarios</w:t>
      </w:r>
      <w:r w:rsidR="00D136BB">
        <w:rPr>
          <w:rFonts w:cs="Times New Roman"/>
          <w:szCs w:val="24"/>
        </w:rPr>
        <w:t xml:space="preserve"> </w:t>
      </w:r>
      <w:r w:rsidRPr="00AE1E0D">
        <w:rPr>
          <w:rFonts w:cs="Times New Roman"/>
          <w:szCs w:val="24"/>
        </w:rPr>
        <w:t>finales.</w:t>
      </w:r>
    </w:p>
    <w:p w14:paraId="313528ED" w14:textId="6D407088" w:rsidR="005D0292" w:rsidRDefault="005D0292" w:rsidP="005D0292">
      <w:pPr>
        <w:pStyle w:val="ListNumber"/>
        <w:rPr>
          <w:rFonts w:cs="Times New Roman"/>
          <w:szCs w:val="24"/>
        </w:rPr>
      </w:pPr>
      <w:r w:rsidRPr="00AE1E0D">
        <w:rPr>
          <w:rFonts w:cs="Times New Roman"/>
          <w:szCs w:val="24"/>
        </w:rPr>
        <w:t>El</w:t>
      </w:r>
      <w:r w:rsidR="00D136BB">
        <w:rPr>
          <w:rFonts w:cs="Times New Roman"/>
          <w:szCs w:val="24"/>
        </w:rPr>
        <w:t xml:space="preserve"> </w:t>
      </w:r>
      <w:r w:rsidRPr="00AE1E0D">
        <w:rPr>
          <w:rFonts w:cs="Times New Roman"/>
          <w:szCs w:val="24"/>
        </w:rPr>
        <w:t>número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equipamiento</w:t>
      </w:r>
      <w:r w:rsidR="00D136BB">
        <w:rPr>
          <w:rFonts w:cs="Times New Roman"/>
          <w:szCs w:val="24"/>
        </w:rPr>
        <w:t xml:space="preserve"> </w:t>
      </w:r>
      <w:r w:rsidRPr="00AE1E0D">
        <w:rPr>
          <w:rFonts w:cs="Times New Roman"/>
          <w:szCs w:val="24"/>
        </w:rPr>
        <w:t>disponibles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monitorización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puesto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trabajo</w:t>
      </w:r>
      <w:r w:rsidR="00D136BB">
        <w:rPr>
          <w:rFonts w:cs="Times New Roman"/>
          <w:szCs w:val="24"/>
        </w:rPr>
        <w:t xml:space="preserve"> </w:t>
      </w:r>
      <w:r w:rsidR="00DA332B">
        <w:rPr>
          <w:rFonts w:cs="Times New Roman"/>
          <w:szCs w:val="24"/>
        </w:rPr>
        <w:t>en las instalaciones y actividades de los usuarios finales</w:t>
      </w:r>
      <w:r w:rsidR="00DA332B" w:rsidRPr="00AE1E0D">
        <w:rPr>
          <w:rFonts w:cs="Times New Roman"/>
          <w:szCs w:val="24"/>
        </w:rPr>
        <w:t xml:space="preserve"> </w:t>
      </w:r>
      <w:r w:rsidRPr="00AE1E0D">
        <w:rPr>
          <w:rFonts w:cs="Times New Roman"/>
          <w:szCs w:val="24"/>
        </w:rPr>
        <w:t>(medición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campos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radiación,</w:t>
      </w:r>
      <w:r w:rsidR="00D136BB">
        <w:rPr>
          <w:rFonts w:cs="Times New Roman"/>
          <w:szCs w:val="24"/>
        </w:rPr>
        <w:t xml:space="preserve"> </w:t>
      </w:r>
      <w:r w:rsidRPr="00AE1E0D">
        <w:rPr>
          <w:rFonts w:cs="Times New Roman"/>
          <w:szCs w:val="24"/>
        </w:rPr>
        <w:t>contaminación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superficies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ventilación)</w:t>
      </w:r>
      <w:r w:rsidR="00D136BB">
        <w:rPr>
          <w:rFonts w:cs="Times New Roman"/>
          <w:szCs w:val="24"/>
        </w:rPr>
        <w:t xml:space="preserve"> </w:t>
      </w:r>
      <w:r w:rsidRPr="00AE1E0D">
        <w:rPr>
          <w:rFonts w:cs="Times New Roman"/>
          <w:szCs w:val="24"/>
        </w:rPr>
        <w:t>es</w:t>
      </w:r>
      <w:r w:rsidR="00D136BB">
        <w:rPr>
          <w:rFonts w:cs="Times New Roman"/>
          <w:szCs w:val="24"/>
        </w:rPr>
        <w:t xml:space="preserve"> </w:t>
      </w:r>
      <w:r w:rsidRPr="00AE1E0D">
        <w:rPr>
          <w:rFonts w:cs="Times New Roman"/>
          <w:szCs w:val="24"/>
        </w:rPr>
        <w:t>limitado.</w:t>
      </w:r>
      <w:r w:rsidR="00D136BB">
        <w:rPr>
          <w:rFonts w:cs="Times New Roman"/>
          <w:szCs w:val="24"/>
        </w:rPr>
        <w:t xml:space="preserve"> </w:t>
      </w:r>
    </w:p>
    <w:p w14:paraId="3242EA59" w14:textId="399DA35C" w:rsidR="00985D3E" w:rsidRPr="00985D3E" w:rsidRDefault="00985D3E" w:rsidP="00985D3E">
      <w:pPr>
        <w:pStyle w:val="ListNumber"/>
        <w:rPr>
          <w:rFonts w:cs="Times New Roman"/>
          <w:szCs w:val="24"/>
        </w:rPr>
      </w:pPr>
      <w:r w:rsidRPr="00985D3E">
        <w:rPr>
          <w:rFonts w:cs="Times New Roman"/>
          <w:szCs w:val="24"/>
        </w:rPr>
        <w:lastRenderedPageBreak/>
        <w:t>Falta</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material</w:t>
      </w:r>
      <w:r w:rsidR="00D136BB">
        <w:rPr>
          <w:rFonts w:cs="Times New Roman"/>
          <w:szCs w:val="24"/>
        </w:rPr>
        <w:t xml:space="preserve"> </w:t>
      </w:r>
      <w:r w:rsidRPr="00985D3E">
        <w:rPr>
          <w:rFonts w:cs="Times New Roman"/>
          <w:szCs w:val="24"/>
        </w:rPr>
        <w:t>para</w:t>
      </w:r>
      <w:r w:rsidR="00D136BB">
        <w:rPr>
          <w:rFonts w:cs="Times New Roman"/>
          <w:szCs w:val="24"/>
        </w:rPr>
        <w:t xml:space="preserve"> </w:t>
      </w:r>
      <w:r w:rsidRPr="00985D3E">
        <w:rPr>
          <w:rFonts w:cs="Times New Roman"/>
          <w:szCs w:val="24"/>
        </w:rPr>
        <w:t>educación</w:t>
      </w:r>
      <w:r w:rsidR="00D136BB">
        <w:rPr>
          <w:rFonts w:cs="Times New Roman"/>
          <w:szCs w:val="24"/>
        </w:rPr>
        <w:t xml:space="preserve"> </w:t>
      </w:r>
      <w:r w:rsidRPr="00985D3E">
        <w:rPr>
          <w:rFonts w:cs="Times New Roman"/>
          <w:szCs w:val="24"/>
        </w:rPr>
        <w:t>a</w:t>
      </w:r>
      <w:r w:rsidR="00D136BB">
        <w:rPr>
          <w:rFonts w:cs="Times New Roman"/>
          <w:szCs w:val="24"/>
        </w:rPr>
        <w:t xml:space="preserve"> </w:t>
      </w:r>
      <w:r w:rsidRPr="00985D3E">
        <w:rPr>
          <w:rFonts w:cs="Times New Roman"/>
          <w:szCs w:val="24"/>
        </w:rPr>
        <w:t>distancia</w:t>
      </w:r>
      <w:r w:rsidR="00D136BB">
        <w:rPr>
          <w:rFonts w:cs="Times New Roman"/>
          <w:szCs w:val="24"/>
        </w:rPr>
        <w:t xml:space="preserve"> </w:t>
      </w:r>
      <w:r w:rsidRPr="00985D3E">
        <w:rPr>
          <w:rFonts w:cs="Times New Roman"/>
          <w:szCs w:val="24"/>
        </w:rPr>
        <w:t>(e-learning)</w:t>
      </w:r>
      <w:r w:rsidR="00D136BB">
        <w:rPr>
          <w:rFonts w:cs="Times New Roman"/>
          <w:szCs w:val="24"/>
        </w:rPr>
        <w:t xml:space="preserve"> </w:t>
      </w:r>
      <w:r w:rsidRPr="00985D3E">
        <w:rPr>
          <w:rFonts w:cs="Times New Roman"/>
          <w:szCs w:val="24"/>
        </w:rPr>
        <w:t>relativo</w:t>
      </w:r>
      <w:r w:rsidR="00D136BB">
        <w:rPr>
          <w:rFonts w:cs="Times New Roman"/>
          <w:szCs w:val="24"/>
        </w:rPr>
        <w:t xml:space="preserve"> </w:t>
      </w:r>
      <w:r w:rsidRPr="00985D3E">
        <w:rPr>
          <w:rFonts w:cs="Times New Roman"/>
          <w:szCs w:val="24"/>
        </w:rPr>
        <w:t>a</w:t>
      </w:r>
      <w:r w:rsidR="00D136BB">
        <w:rPr>
          <w:rFonts w:cs="Times New Roman"/>
          <w:szCs w:val="24"/>
        </w:rPr>
        <w:t xml:space="preserve"> </w:t>
      </w:r>
      <w:r w:rsidRPr="00985D3E">
        <w:rPr>
          <w:rFonts w:cs="Times New Roman"/>
          <w:szCs w:val="24"/>
        </w:rPr>
        <w:t>los</w:t>
      </w:r>
      <w:r w:rsidR="00D136BB">
        <w:rPr>
          <w:rFonts w:cs="Times New Roman"/>
          <w:szCs w:val="24"/>
        </w:rPr>
        <w:t xml:space="preserve"> </w:t>
      </w:r>
      <w:r w:rsidRPr="00985D3E">
        <w:rPr>
          <w:rFonts w:cs="Times New Roman"/>
          <w:szCs w:val="24"/>
        </w:rPr>
        <w:t>programas</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evaluación</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seguridad,</w:t>
      </w:r>
      <w:r w:rsidR="00D136BB">
        <w:rPr>
          <w:rFonts w:cs="Times New Roman"/>
          <w:szCs w:val="24"/>
        </w:rPr>
        <w:t xml:space="preserve"> </w:t>
      </w:r>
      <w:r w:rsidRPr="00985D3E">
        <w:rPr>
          <w:rFonts w:cs="Times New Roman"/>
          <w:szCs w:val="24"/>
        </w:rPr>
        <w:t>protección</w:t>
      </w:r>
      <w:r w:rsidR="00D136BB">
        <w:rPr>
          <w:rFonts w:cs="Times New Roman"/>
          <w:szCs w:val="24"/>
        </w:rPr>
        <w:t xml:space="preserve"> </w:t>
      </w:r>
      <w:r w:rsidRPr="00985D3E">
        <w:rPr>
          <w:rFonts w:cs="Times New Roman"/>
          <w:szCs w:val="24"/>
        </w:rPr>
        <w:t>radiológica</w:t>
      </w:r>
      <w:r w:rsidR="00D136BB">
        <w:rPr>
          <w:rFonts w:cs="Times New Roman"/>
          <w:szCs w:val="24"/>
        </w:rPr>
        <w:t xml:space="preserve"> </w:t>
      </w:r>
      <w:r w:rsidRPr="00985D3E">
        <w:rPr>
          <w:rFonts w:cs="Times New Roman"/>
          <w:szCs w:val="24"/>
        </w:rPr>
        <w:t>y</w:t>
      </w:r>
      <w:r w:rsidR="00D136BB">
        <w:rPr>
          <w:rFonts w:cs="Times New Roman"/>
          <w:szCs w:val="24"/>
        </w:rPr>
        <w:t xml:space="preserve"> </w:t>
      </w:r>
      <w:r w:rsidRPr="00985D3E">
        <w:rPr>
          <w:rFonts w:cs="Times New Roman"/>
          <w:szCs w:val="24"/>
        </w:rPr>
        <w:t>optimización</w:t>
      </w:r>
      <w:r w:rsidR="00D136BB">
        <w:rPr>
          <w:rFonts w:cs="Times New Roman"/>
          <w:szCs w:val="24"/>
        </w:rPr>
        <w:t xml:space="preserve"> </w:t>
      </w:r>
      <w:r w:rsidRPr="00985D3E">
        <w:rPr>
          <w:rFonts w:cs="Times New Roman"/>
          <w:szCs w:val="24"/>
        </w:rPr>
        <w:t>para</w:t>
      </w:r>
      <w:r w:rsidR="00D136BB">
        <w:rPr>
          <w:rFonts w:cs="Times New Roman"/>
          <w:szCs w:val="24"/>
        </w:rPr>
        <w:t xml:space="preserve"> </w:t>
      </w:r>
      <w:r w:rsidRPr="00985D3E">
        <w:rPr>
          <w:rFonts w:cs="Times New Roman"/>
          <w:szCs w:val="24"/>
        </w:rPr>
        <w:t>los</w:t>
      </w:r>
      <w:r w:rsidR="00D136BB">
        <w:rPr>
          <w:rFonts w:cs="Times New Roman"/>
          <w:szCs w:val="24"/>
        </w:rPr>
        <w:t xml:space="preserve"> </w:t>
      </w:r>
      <w:r w:rsidRPr="00985D3E">
        <w:rPr>
          <w:rFonts w:cs="Times New Roman"/>
          <w:szCs w:val="24"/>
        </w:rPr>
        <w:t>usuarios</w:t>
      </w:r>
      <w:r w:rsidR="00D136BB">
        <w:rPr>
          <w:rFonts w:cs="Times New Roman"/>
          <w:szCs w:val="24"/>
        </w:rPr>
        <w:t xml:space="preserve"> </w:t>
      </w:r>
      <w:r w:rsidRPr="00985D3E">
        <w:rPr>
          <w:rFonts w:cs="Times New Roman"/>
          <w:szCs w:val="24"/>
        </w:rPr>
        <w:t>finales.</w:t>
      </w:r>
      <w:r w:rsidR="00D136BB">
        <w:rPr>
          <w:rFonts w:cs="Times New Roman"/>
          <w:szCs w:val="24"/>
        </w:rPr>
        <w:t xml:space="preserve"> </w:t>
      </w:r>
      <w:r w:rsidRPr="00985D3E">
        <w:rPr>
          <w:rFonts w:cs="Times New Roman"/>
          <w:szCs w:val="24"/>
        </w:rPr>
        <w:t>Estos</w:t>
      </w:r>
      <w:r w:rsidR="00D136BB">
        <w:rPr>
          <w:rFonts w:cs="Times New Roman"/>
          <w:szCs w:val="24"/>
        </w:rPr>
        <w:t xml:space="preserve"> </w:t>
      </w:r>
      <w:r w:rsidRPr="00985D3E">
        <w:rPr>
          <w:rFonts w:cs="Times New Roman"/>
          <w:szCs w:val="24"/>
        </w:rPr>
        <w:t>programas</w:t>
      </w:r>
      <w:r w:rsidR="00D136BB">
        <w:rPr>
          <w:rFonts w:cs="Times New Roman"/>
          <w:szCs w:val="24"/>
        </w:rPr>
        <w:t xml:space="preserve"> </w:t>
      </w:r>
      <w:r w:rsidRPr="00985D3E">
        <w:rPr>
          <w:rFonts w:cs="Times New Roman"/>
          <w:szCs w:val="24"/>
        </w:rPr>
        <w:t>deben</w:t>
      </w:r>
      <w:r w:rsidR="00D136BB">
        <w:rPr>
          <w:rFonts w:cs="Times New Roman"/>
          <w:szCs w:val="24"/>
        </w:rPr>
        <w:t xml:space="preserve"> </w:t>
      </w:r>
      <w:r w:rsidRPr="00985D3E">
        <w:rPr>
          <w:rFonts w:cs="Times New Roman"/>
          <w:szCs w:val="24"/>
        </w:rPr>
        <w:t>ser</w:t>
      </w:r>
      <w:r w:rsidR="00D136BB">
        <w:rPr>
          <w:rFonts w:cs="Times New Roman"/>
          <w:szCs w:val="24"/>
        </w:rPr>
        <w:t xml:space="preserve"> </w:t>
      </w:r>
      <w:r w:rsidRPr="00985D3E">
        <w:rPr>
          <w:rFonts w:cs="Times New Roman"/>
          <w:szCs w:val="24"/>
        </w:rPr>
        <w:t>dirigidos</w:t>
      </w:r>
      <w:r w:rsidR="00D136BB">
        <w:rPr>
          <w:rFonts w:cs="Times New Roman"/>
          <w:szCs w:val="24"/>
        </w:rPr>
        <w:t xml:space="preserve"> </w:t>
      </w:r>
      <w:r w:rsidRPr="00985D3E">
        <w:rPr>
          <w:rFonts w:cs="Times New Roman"/>
          <w:szCs w:val="24"/>
        </w:rPr>
        <w:t>a</w:t>
      </w:r>
      <w:r w:rsidR="00D136BB">
        <w:rPr>
          <w:rFonts w:cs="Times New Roman"/>
          <w:szCs w:val="24"/>
        </w:rPr>
        <w:t xml:space="preserve"> </w:t>
      </w:r>
      <w:r w:rsidRPr="00985D3E">
        <w:rPr>
          <w:rFonts w:cs="Times New Roman"/>
          <w:szCs w:val="24"/>
        </w:rPr>
        <w:t>los</w:t>
      </w:r>
      <w:r w:rsidR="00D136BB">
        <w:rPr>
          <w:rFonts w:cs="Times New Roman"/>
          <w:szCs w:val="24"/>
        </w:rPr>
        <w:t xml:space="preserve"> </w:t>
      </w:r>
      <w:r w:rsidRPr="00985D3E">
        <w:rPr>
          <w:rFonts w:cs="Times New Roman"/>
          <w:szCs w:val="24"/>
        </w:rPr>
        <w:t>Oficiales</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Protección</w:t>
      </w:r>
      <w:r w:rsidR="00D136BB">
        <w:rPr>
          <w:rFonts w:cs="Times New Roman"/>
          <w:szCs w:val="24"/>
        </w:rPr>
        <w:t xml:space="preserve"> </w:t>
      </w:r>
      <w:r w:rsidRPr="00985D3E">
        <w:rPr>
          <w:rFonts w:cs="Times New Roman"/>
          <w:szCs w:val="24"/>
        </w:rPr>
        <w:t>Radiológica.</w:t>
      </w:r>
      <w:r w:rsidR="00D136BB">
        <w:rPr>
          <w:rFonts w:cs="Times New Roman"/>
          <w:szCs w:val="24"/>
        </w:rPr>
        <w:t xml:space="preserve"> </w:t>
      </w:r>
    </w:p>
    <w:p w14:paraId="65CF80A8" w14:textId="07FEFE1C" w:rsidR="00985D3E" w:rsidRPr="00985D3E" w:rsidRDefault="00985D3E" w:rsidP="00985D3E">
      <w:pPr>
        <w:pStyle w:val="ListNumber"/>
        <w:rPr>
          <w:rFonts w:cs="Times New Roman"/>
          <w:szCs w:val="24"/>
        </w:rPr>
      </w:pPr>
      <w:r w:rsidRPr="00985D3E">
        <w:rPr>
          <w:rFonts w:cs="Times New Roman"/>
          <w:szCs w:val="24"/>
        </w:rPr>
        <w:t>Falta</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material</w:t>
      </w:r>
      <w:r w:rsidR="00D136BB">
        <w:rPr>
          <w:rFonts w:cs="Times New Roman"/>
          <w:szCs w:val="24"/>
        </w:rPr>
        <w:t xml:space="preserve"> </w:t>
      </w:r>
      <w:r w:rsidRPr="00985D3E">
        <w:rPr>
          <w:rFonts w:cs="Times New Roman"/>
          <w:szCs w:val="24"/>
        </w:rPr>
        <w:t>para</w:t>
      </w:r>
      <w:r w:rsidR="00D136BB">
        <w:rPr>
          <w:rFonts w:cs="Times New Roman"/>
          <w:szCs w:val="24"/>
        </w:rPr>
        <w:t xml:space="preserve"> </w:t>
      </w:r>
      <w:r w:rsidRPr="00985D3E">
        <w:rPr>
          <w:rFonts w:cs="Times New Roman"/>
          <w:szCs w:val="24"/>
        </w:rPr>
        <w:t>educación</w:t>
      </w:r>
      <w:r w:rsidR="00D136BB">
        <w:rPr>
          <w:rFonts w:cs="Times New Roman"/>
          <w:szCs w:val="24"/>
        </w:rPr>
        <w:t xml:space="preserve"> </w:t>
      </w:r>
      <w:r w:rsidRPr="00985D3E">
        <w:rPr>
          <w:rFonts w:cs="Times New Roman"/>
          <w:szCs w:val="24"/>
        </w:rPr>
        <w:t>a</w:t>
      </w:r>
      <w:r w:rsidR="00D136BB">
        <w:rPr>
          <w:rFonts w:cs="Times New Roman"/>
          <w:szCs w:val="24"/>
        </w:rPr>
        <w:t xml:space="preserve"> </w:t>
      </w:r>
      <w:r w:rsidRPr="00985D3E">
        <w:rPr>
          <w:rFonts w:cs="Times New Roman"/>
          <w:szCs w:val="24"/>
        </w:rPr>
        <w:t>distancia</w:t>
      </w:r>
      <w:r w:rsidR="00D136BB">
        <w:rPr>
          <w:rFonts w:cs="Times New Roman"/>
          <w:szCs w:val="24"/>
        </w:rPr>
        <w:t xml:space="preserve"> </w:t>
      </w:r>
      <w:r w:rsidRPr="00985D3E">
        <w:rPr>
          <w:rFonts w:cs="Times New Roman"/>
          <w:szCs w:val="24"/>
        </w:rPr>
        <w:t>(e-learning)</w:t>
      </w:r>
      <w:r w:rsidR="00D136BB">
        <w:rPr>
          <w:rFonts w:cs="Times New Roman"/>
          <w:szCs w:val="24"/>
        </w:rPr>
        <w:t xml:space="preserve"> </w:t>
      </w:r>
      <w:r w:rsidRPr="00985D3E">
        <w:rPr>
          <w:rFonts w:cs="Times New Roman"/>
          <w:szCs w:val="24"/>
        </w:rPr>
        <w:t>relativo</w:t>
      </w:r>
      <w:r w:rsidR="00D136BB">
        <w:rPr>
          <w:rFonts w:cs="Times New Roman"/>
          <w:szCs w:val="24"/>
        </w:rPr>
        <w:t xml:space="preserve"> </w:t>
      </w:r>
      <w:r w:rsidRPr="00985D3E">
        <w:rPr>
          <w:rFonts w:cs="Times New Roman"/>
          <w:szCs w:val="24"/>
        </w:rPr>
        <w:t>a</w:t>
      </w:r>
      <w:r w:rsidR="00D136BB">
        <w:rPr>
          <w:rFonts w:cs="Times New Roman"/>
          <w:szCs w:val="24"/>
        </w:rPr>
        <w:t xml:space="preserve"> </w:t>
      </w:r>
      <w:r w:rsidRPr="00985D3E">
        <w:rPr>
          <w:rFonts w:cs="Times New Roman"/>
          <w:szCs w:val="24"/>
        </w:rPr>
        <w:t>rol,</w:t>
      </w:r>
      <w:r w:rsidR="00D136BB">
        <w:rPr>
          <w:rFonts w:cs="Times New Roman"/>
          <w:szCs w:val="24"/>
        </w:rPr>
        <w:t xml:space="preserve"> </w:t>
      </w:r>
      <w:r w:rsidRPr="00985D3E">
        <w:rPr>
          <w:rFonts w:cs="Times New Roman"/>
          <w:szCs w:val="24"/>
        </w:rPr>
        <w:t>funciones</w:t>
      </w:r>
      <w:r w:rsidR="00D136BB">
        <w:rPr>
          <w:rFonts w:cs="Times New Roman"/>
          <w:szCs w:val="24"/>
        </w:rPr>
        <w:t xml:space="preserve"> </w:t>
      </w:r>
      <w:r w:rsidRPr="00985D3E">
        <w:rPr>
          <w:rFonts w:cs="Times New Roman"/>
          <w:szCs w:val="24"/>
        </w:rPr>
        <w:t>y</w:t>
      </w:r>
      <w:r w:rsidR="00D136BB">
        <w:rPr>
          <w:rFonts w:cs="Times New Roman"/>
          <w:szCs w:val="24"/>
        </w:rPr>
        <w:t xml:space="preserve"> </w:t>
      </w:r>
      <w:r w:rsidRPr="00985D3E">
        <w:rPr>
          <w:rFonts w:cs="Times New Roman"/>
          <w:szCs w:val="24"/>
        </w:rPr>
        <w:t>tareas</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la</w:t>
      </w:r>
      <w:r w:rsidR="00D136BB">
        <w:rPr>
          <w:rFonts w:cs="Times New Roman"/>
          <w:szCs w:val="24"/>
        </w:rPr>
        <w:t xml:space="preserve"> </w:t>
      </w:r>
      <w:r w:rsidRPr="00985D3E">
        <w:rPr>
          <w:rFonts w:cs="Times New Roman"/>
          <w:szCs w:val="24"/>
        </w:rPr>
        <w:t>persona</w:t>
      </w:r>
      <w:r w:rsidR="00D136BB">
        <w:rPr>
          <w:rFonts w:cs="Times New Roman"/>
          <w:szCs w:val="24"/>
        </w:rPr>
        <w:t xml:space="preserve"> </w:t>
      </w:r>
      <w:r w:rsidRPr="00985D3E">
        <w:rPr>
          <w:rFonts w:cs="Times New Roman"/>
          <w:szCs w:val="24"/>
        </w:rPr>
        <w:t>técnicamente</w:t>
      </w:r>
      <w:r w:rsidR="00D136BB">
        <w:rPr>
          <w:rFonts w:cs="Times New Roman"/>
          <w:szCs w:val="24"/>
        </w:rPr>
        <w:t xml:space="preserve"> </w:t>
      </w:r>
      <w:r w:rsidRPr="00985D3E">
        <w:rPr>
          <w:rFonts w:cs="Times New Roman"/>
          <w:szCs w:val="24"/>
        </w:rPr>
        <w:t>competente</w:t>
      </w:r>
      <w:r w:rsidR="00D136BB">
        <w:rPr>
          <w:rFonts w:cs="Times New Roman"/>
          <w:szCs w:val="24"/>
        </w:rPr>
        <w:t xml:space="preserve"> </w:t>
      </w:r>
      <w:r w:rsidRPr="00985D3E">
        <w:rPr>
          <w:rFonts w:cs="Times New Roman"/>
          <w:szCs w:val="24"/>
        </w:rPr>
        <w:t>en</w:t>
      </w:r>
      <w:r w:rsidR="00D136BB">
        <w:rPr>
          <w:rFonts w:cs="Times New Roman"/>
          <w:szCs w:val="24"/>
        </w:rPr>
        <w:t xml:space="preserve"> </w:t>
      </w:r>
      <w:r w:rsidRPr="00985D3E">
        <w:rPr>
          <w:rFonts w:cs="Times New Roman"/>
          <w:szCs w:val="24"/>
        </w:rPr>
        <w:t>materia</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protección</w:t>
      </w:r>
      <w:r w:rsidR="00D136BB">
        <w:rPr>
          <w:rFonts w:cs="Times New Roman"/>
          <w:szCs w:val="24"/>
        </w:rPr>
        <w:t xml:space="preserve"> </w:t>
      </w:r>
      <w:r w:rsidRPr="00985D3E">
        <w:rPr>
          <w:rFonts w:cs="Times New Roman"/>
          <w:szCs w:val="24"/>
        </w:rPr>
        <w:t>radiológica</w:t>
      </w:r>
      <w:r w:rsidR="00D136BB">
        <w:rPr>
          <w:rFonts w:cs="Times New Roman"/>
          <w:szCs w:val="24"/>
        </w:rPr>
        <w:t xml:space="preserve"> </w:t>
      </w:r>
      <w:r w:rsidRPr="00985D3E">
        <w:rPr>
          <w:rFonts w:cs="Times New Roman"/>
          <w:szCs w:val="24"/>
        </w:rPr>
        <w:t>relevante</w:t>
      </w:r>
      <w:r w:rsidR="00D136BB">
        <w:rPr>
          <w:rFonts w:cs="Times New Roman"/>
          <w:szCs w:val="24"/>
        </w:rPr>
        <w:t xml:space="preserve"> </w:t>
      </w:r>
      <w:r w:rsidRPr="00985D3E">
        <w:rPr>
          <w:rFonts w:cs="Times New Roman"/>
          <w:szCs w:val="24"/>
        </w:rPr>
        <w:t>para</w:t>
      </w:r>
      <w:r w:rsidR="00D136BB">
        <w:rPr>
          <w:rFonts w:cs="Times New Roman"/>
          <w:szCs w:val="24"/>
        </w:rPr>
        <w:t xml:space="preserve"> </w:t>
      </w:r>
      <w:r w:rsidRPr="00985D3E">
        <w:rPr>
          <w:rFonts w:cs="Times New Roman"/>
          <w:szCs w:val="24"/>
        </w:rPr>
        <w:t>un</w:t>
      </w:r>
      <w:r w:rsidR="00D136BB">
        <w:rPr>
          <w:rFonts w:cs="Times New Roman"/>
          <w:szCs w:val="24"/>
        </w:rPr>
        <w:t xml:space="preserve"> </w:t>
      </w:r>
      <w:r w:rsidRPr="00985D3E">
        <w:rPr>
          <w:rFonts w:cs="Times New Roman"/>
          <w:szCs w:val="24"/>
        </w:rPr>
        <w:t>tipo</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práctica</w:t>
      </w:r>
      <w:r w:rsidR="00D136BB">
        <w:rPr>
          <w:rFonts w:cs="Times New Roman"/>
          <w:szCs w:val="24"/>
        </w:rPr>
        <w:t xml:space="preserve"> </w:t>
      </w:r>
      <w:r w:rsidRPr="00985D3E">
        <w:rPr>
          <w:rFonts w:cs="Times New Roman"/>
          <w:szCs w:val="24"/>
        </w:rPr>
        <w:t>determinada,</w:t>
      </w:r>
      <w:r w:rsidR="00D136BB">
        <w:rPr>
          <w:rFonts w:cs="Times New Roman"/>
          <w:szCs w:val="24"/>
        </w:rPr>
        <w:t xml:space="preserve"> </w:t>
      </w:r>
      <w:r w:rsidRPr="00985D3E">
        <w:rPr>
          <w:rFonts w:cs="Times New Roman"/>
          <w:szCs w:val="24"/>
        </w:rPr>
        <w:t>designada</w:t>
      </w:r>
      <w:r w:rsidR="00D136BB">
        <w:rPr>
          <w:rFonts w:cs="Times New Roman"/>
          <w:szCs w:val="24"/>
        </w:rPr>
        <w:t xml:space="preserve"> </w:t>
      </w:r>
      <w:r w:rsidRPr="00985D3E">
        <w:rPr>
          <w:rFonts w:cs="Times New Roman"/>
          <w:szCs w:val="24"/>
        </w:rPr>
        <w:t>por</w:t>
      </w:r>
      <w:r w:rsidR="00D136BB">
        <w:rPr>
          <w:rFonts w:cs="Times New Roman"/>
          <w:szCs w:val="24"/>
        </w:rPr>
        <w:t xml:space="preserve"> </w:t>
      </w:r>
      <w:r w:rsidRPr="00985D3E">
        <w:rPr>
          <w:rFonts w:cs="Times New Roman"/>
          <w:szCs w:val="24"/>
        </w:rPr>
        <w:t>el</w:t>
      </w:r>
      <w:r w:rsidR="00D136BB">
        <w:rPr>
          <w:rFonts w:cs="Times New Roman"/>
          <w:szCs w:val="24"/>
        </w:rPr>
        <w:t xml:space="preserve"> </w:t>
      </w:r>
      <w:r w:rsidRPr="00985D3E">
        <w:rPr>
          <w:rFonts w:cs="Times New Roman"/>
          <w:szCs w:val="24"/>
        </w:rPr>
        <w:t>titular</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licencia</w:t>
      </w:r>
      <w:r w:rsidR="00D136BB">
        <w:rPr>
          <w:rFonts w:cs="Times New Roman"/>
          <w:szCs w:val="24"/>
        </w:rPr>
        <w:t xml:space="preserve"> </w:t>
      </w:r>
      <w:r w:rsidRPr="00985D3E">
        <w:rPr>
          <w:rFonts w:cs="Times New Roman"/>
          <w:szCs w:val="24"/>
        </w:rPr>
        <w:t>o</w:t>
      </w:r>
      <w:r w:rsidR="00D136BB">
        <w:rPr>
          <w:rFonts w:cs="Times New Roman"/>
          <w:szCs w:val="24"/>
        </w:rPr>
        <w:t xml:space="preserve"> </w:t>
      </w:r>
      <w:r w:rsidRPr="00985D3E">
        <w:rPr>
          <w:rFonts w:cs="Times New Roman"/>
          <w:szCs w:val="24"/>
        </w:rPr>
        <w:t>el</w:t>
      </w:r>
      <w:r w:rsidR="00D136BB">
        <w:rPr>
          <w:rFonts w:cs="Times New Roman"/>
          <w:szCs w:val="24"/>
        </w:rPr>
        <w:t xml:space="preserve"> </w:t>
      </w:r>
      <w:r w:rsidRPr="00985D3E">
        <w:rPr>
          <w:rFonts w:cs="Times New Roman"/>
          <w:szCs w:val="24"/>
        </w:rPr>
        <w:t>empleador</w:t>
      </w:r>
      <w:r w:rsidR="00D136BB">
        <w:rPr>
          <w:rFonts w:cs="Times New Roman"/>
          <w:szCs w:val="24"/>
        </w:rPr>
        <w:t xml:space="preserve"> </w:t>
      </w:r>
      <w:r w:rsidRPr="00985D3E">
        <w:rPr>
          <w:rFonts w:cs="Times New Roman"/>
          <w:szCs w:val="24"/>
        </w:rPr>
        <w:t>para</w:t>
      </w:r>
      <w:r w:rsidR="00D136BB">
        <w:rPr>
          <w:rFonts w:cs="Times New Roman"/>
          <w:szCs w:val="24"/>
        </w:rPr>
        <w:t xml:space="preserve"> </w:t>
      </w:r>
      <w:r w:rsidRPr="00985D3E">
        <w:rPr>
          <w:rFonts w:cs="Times New Roman"/>
          <w:szCs w:val="24"/>
        </w:rPr>
        <w:t>supervisar</w:t>
      </w:r>
      <w:r w:rsidR="00D136BB">
        <w:rPr>
          <w:rFonts w:cs="Times New Roman"/>
          <w:szCs w:val="24"/>
        </w:rPr>
        <w:t xml:space="preserve"> </w:t>
      </w:r>
      <w:r w:rsidRPr="00985D3E">
        <w:rPr>
          <w:rFonts w:cs="Times New Roman"/>
          <w:szCs w:val="24"/>
        </w:rPr>
        <w:t>la</w:t>
      </w:r>
      <w:r w:rsidR="00D136BB">
        <w:rPr>
          <w:rFonts w:cs="Times New Roman"/>
          <w:szCs w:val="24"/>
        </w:rPr>
        <w:t xml:space="preserve"> </w:t>
      </w:r>
      <w:r w:rsidRPr="00985D3E">
        <w:rPr>
          <w:rFonts w:cs="Times New Roman"/>
          <w:szCs w:val="24"/>
        </w:rPr>
        <w:t>aplicación</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los</w:t>
      </w:r>
      <w:r w:rsidR="00D136BB">
        <w:rPr>
          <w:rFonts w:cs="Times New Roman"/>
          <w:szCs w:val="24"/>
        </w:rPr>
        <w:t xml:space="preserve"> </w:t>
      </w:r>
      <w:r w:rsidRPr="00985D3E">
        <w:rPr>
          <w:rFonts w:cs="Times New Roman"/>
          <w:szCs w:val="24"/>
        </w:rPr>
        <w:t>requisitos</w:t>
      </w:r>
      <w:r w:rsidR="00D136BB">
        <w:rPr>
          <w:rFonts w:cs="Times New Roman"/>
          <w:szCs w:val="24"/>
        </w:rPr>
        <w:t xml:space="preserve"> </w:t>
      </w:r>
      <w:r w:rsidRPr="00985D3E">
        <w:rPr>
          <w:rFonts w:cs="Times New Roman"/>
          <w:szCs w:val="24"/>
        </w:rPr>
        <w:t>reglamentarios</w:t>
      </w:r>
      <w:r w:rsidR="00D136BB">
        <w:rPr>
          <w:rFonts w:cs="Times New Roman"/>
          <w:szCs w:val="24"/>
        </w:rPr>
        <w:t xml:space="preserve"> </w:t>
      </w:r>
      <w:r w:rsidRPr="00985D3E">
        <w:rPr>
          <w:rFonts w:cs="Times New Roman"/>
          <w:szCs w:val="24"/>
        </w:rPr>
        <w:t>en</w:t>
      </w:r>
      <w:r w:rsidR="00D136BB">
        <w:rPr>
          <w:rFonts w:cs="Times New Roman"/>
          <w:szCs w:val="24"/>
        </w:rPr>
        <w:t xml:space="preserve"> </w:t>
      </w:r>
      <w:r w:rsidRPr="00985D3E">
        <w:rPr>
          <w:rFonts w:cs="Times New Roman"/>
          <w:szCs w:val="24"/>
        </w:rPr>
        <w:t>la</w:t>
      </w:r>
      <w:r w:rsidR="00D136BB">
        <w:rPr>
          <w:rFonts w:cs="Times New Roman"/>
          <w:szCs w:val="24"/>
        </w:rPr>
        <w:t xml:space="preserve"> </w:t>
      </w:r>
      <w:r w:rsidRPr="00985D3E">
        <w:rPr>
          <w:rFonts w:cs="Times New Roman"/>
          <w:szCs w:val="24"/>
        </w:rPr>
        <w:t>instalación/actividad</w:t>
      </w:r>
      <w:r w:rsidR="00D136BB">
        <w:rPr>
          <w:rFonts w:cs="Times New Roman"/>
          <w:szCs w:val="24"/>
        </w:rPr>
        <w:t xml:space="preserve"> </w:t>
      </w:r>
      <w:r w:rsidRPr="00985D3E">
        <w:rPr>
          <w:rFonts w:cs="Times New Roman"/>
          <w:szCs w:val="24"/>
        </w:rPr>
        <w:t>(Oficial</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Protección</w:t>
      </w:r>
      <w:r w:rsidR="00D136BB">
        <w:rPr>
          <w:rFonts w:cs="Times New Roman"/>
          <w:szCs w:val="24"/>
        </w:rPr>
        <w:t xml:space="preserve"> </w:t>
      </w:r>
      <w:r w:rsidRPr="00985D3E">
        <w:rPr>
          <w:rFonts w:cs="Times New Roman"/>
          <w:szCs w:val="24"/>
        </w:rPr>
        <w:t>Radiológica)</w:t>
      </w:r>
    </w:p>
    <w:p w14:paraId="5F6FCBB6" w14:textId="6CD0B7A2" w:rsidR="005D0292" w:rsidRPr="006454E8" w:rsidRDefault="001F7F3E" w:rsidP="001F7F3E">
      <w:pPr>
        <w:pStyle w:val="Heading3"/>
        <w:numPr>
          <w:ilvl w:val="0"/>
          <w:numId w:val="0"/>
        </w:numPr>
        <w:tabs>
          <w:tab w:val="clear" w:pos="851"/>
          <w:tab w:val="clear" w:pos="1134"/>
          <w:tab w:val="clear" w:pos="1429"/>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360" w:after="120"/>
        <w:jc w:val="both"/>
        <w:rPr>
          <w:szCs w:val="24"/>
          <w:lang w:val="es-ES_tradnl"/>
        </w:rPr>
      </w:pPr>
      <w:bookmarkStart w:id="30" w:name="_Hlk24126220"/>
      <w:r w:rsidRPr="006454E8">
        <w:rPr>
          <w:szCs w:val="24"/>
          <w:lang w:val="es-ES_tradnl"/>
        </w:rPr>
        <w:t>iii)</w:t>
      </w:r>
      <w:r w:rsidR="00D136BB">
        <w:rPr>
          <w:szCs w:val="24"/>
          <w:lang w:val="es-ES_tradnl"/>
        </w:rPr>
        <w:t xml:space="preserve"> </w:t>
      </w:r>
      <w:r w:rsidR="005D0292" w:rsidRPr="006454E8">
        <w:rPr>
          <w:szCs w:val="24"/>
          <w:lang w:val="es-ES_tradnl"/>
        </w:rPr>
        <w:t>Servicios</w:t>
      </w:r>
      <w:r w:rsidR="00D136BB">
        <w:rPr>
          <w:szCs w:val="24"/>
          <w:lang w:val="es-ES_tradnl"/>
        </w:rPr>
        <w:t xml:space="preserve"> </w:t>
      </w:r>
      <w:r w:rsidR="005D0292" w:rsidRPr="006454E8">
        <w:rPr>
          <w:szCs w:val="24"/>
          <w:lang w:val="es-ES_tradnl"/>
        </w:rPr>
        <w:t>científico-técnicos</w:t>
      </w:r>
      <w:r w:rsidR="00D136BB">
        <w:rPr>
          <w:szCs w:val="24"/>
          <w:lang w:val="es-ES_tradnl"/>
        </w:rPr>
        <w:t xml:space="preserve"> </w:t>
      </w:r>
      <w:r w:rsidR="005D0292" w:rsidRPr="006454E8">
        <w:rPr>
          <w:szCs w:val="24"/>
          <w:lang w:val="es-ES_tradnl"/>
        </w:rPr>
        <w:t>de</w:t>
      </w:r>
      <w:r w:rsidR="00D136BB">
        <w:rPr>
          <w:szCs w:val="24"/>
          <w:lang w:val="es-ES_tradnl"/>
        </w:rPr>
        <w:t xml:space="preserve"> </w:t>
      </w:r>
      <w:r w:rsidR="005D0292" w:rsidRPr="006454E8">
        <w:rPr>
          <w:szCs w:val="24"/>
          <w:lang w:val="es-ES_tradnl"/>
        </w:rPr>
        <w:t>apoyo</w:t>
      </w:r>
      <w:r w:rsidR="00D136BB">
        <w:rPr>
          <w:szCs w:val="24"/>
          <w:lang w:val="es-ES_tradnl"/>
        </w:rPr>
        <w:t xml:space="preserve"> </w:t>
      </w:r>
      <w:bookmarkEnd w:id="30"/>
      <w:r w:rsidR="005D0292" w:rsidRPr="006454E8">
        <w:rPr>
          <w:szCs w:val="24"/>
          <w:lang w:val="es-ES_tradnl"/>
        </w:rPr>
        <w:t>a</w:t>
      </w:r>
      <w:r w:rsidR="00D136BB">
        <w:rPr>
          <w:szCs w:val="24"/>
          <w:lang w:val="es-ES_tradnl"/>
        </w:rPr>
        <w:t xml:space="preserve"> </w:t>
      </w:r>
      <w:r w:rsidR="005D0292" w:rsidRPr="006454E8">
        <w:rPr>
          <w:szCs w:val="24"/>
          <w:lang w:val="es-ES_tradnl"/>
        </w:rPr>
        <w:t>la</w:t>
      </w:r>
      <w:r w:rsidR="00D136BB">
        <w:rPr>
          <w:szCs w:val="24"/>
          <w:lang w:val="es-ES_tradnl"/>
        </w:rPr>
        <w:t xml:space="preserve"> </w:t>
      </w:r>
      <w:r w:rsidR="005D0292" w:rsidRPr="006454E8">
        <w:rPr>
          <w:szCs w:val="24"/>
          <w:lang w:val="es-ES_tradnl"/>
        </w:rPr>
        <w:t>infraestructura</w:t>
      </w:r>
      <w:r w:rsidR="00D136BB">
        <w:rPr>
          <w:szCs w:val="24"/>
          <w:lang w:val="es-ES_tradnl"/>
        </w:rPr>
        <w:t xml:space="preserve"> </w:t>
      </w:r>
      <w:r w:rsidR="005D0292" w:rsidRPr="006454E8">
        <w:rPr>
          <w:szCs w:val="24"/>
          <w:lang w:val="es-ES_tradnl"/>
        </w:rPr>
        <w:t>de</w:t>
      </w:r>
      <w:r w:rsidR="00D136BB">
        <w:rPr>
          <w:szCs w:val="24"/>
          <w:lang w:val="es-ES_tradnl"/>
        </w:rPr>
        <w:t xml:space="preserve"> </w:t>
      </w:r>
      <w:r w:rsidR="005D0292" w:rsidRPr="006454E8">
        <w:rPr>
          <w:szCs w:val="24"/>
          <w:lang w:val="es-ES_tradnl"/>
        </w:rPr>
        <w:t>seguridad</w:t>
      </w:r>
      <w:r w:rsidR="00D136BB">
        <w:rPr>
          <w:szCs w:val="24"/>
          <w:lang w:val="es-ES_tradnl"/>
        </w:rPr>
        <w:t xml:space="preserve"> </w:t>
      </w:r>
      <w:r w:rsidR="005D0292" w:rsidRPr="006454E8">
        <w:rPr>
          <w:szCs w:val="24"/>
          <w:lang w:val="es-ES_tradnl"/>
        </w:rPr>
        <w:t>radiológica.</w:t>
      </w:r>
    </w:p>
    <w:p w14:paraId="5EE6E71F" w14:textId="3697CF9C" w:rsidR="005D0292" w:rsidRPr="00AE1E0D" w:rsidRDefault="005D0292" w:rsidP="005D0292">
      <w:pPr>
        <w:pStyle w:val="ListNumber"/>
        <w:rPr>
          <w:rFonts w:cs="Times New Roman"/>
          <w:szCs w:val="24"/>
        </w:rPr>
      </w:pPr>
      <w:r w:rsidRPr="00AE1E0D">
        <w:rPr>
          <w:rFonts w:cs="Times New Roman"/>
          <w:szCs w:val="24"/>
        </w:rPr>
        <w:t>Servicios</w:t>
      </w:r>
      <w:r w:rsidR="00D136BB">
        <w:rPr>
          <w:rFonts w:cs="Times New Roman"/>
          <w:szCs w:val="24"/>
        </w:rPr>
        <w:t xml:space="preserve"> </w:t>
      </w:r>
      <w:r w:rsidRPr="00AE1E0D">
        <w:rPr>
          <w:rFonts w:cs="Times New Roman"/>
          <w:szCs w:val="24"/>
        </w:rPr>
        <w:t>limitados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sostenibles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monitorización</w:t>
      </w:r>
      <w:r w:rsidR="00D136BB">
        <w:rPr>
          <w:rFonts w:cs="Times New Roman"/>
          <w:szCs w:val="24"/>
        </w:rPr>
        <w:t xml:space="preserve"> </w:t>
      </w:r>
      <w:r w:rsidRPr="00AE1E0D">
        <w:rPr>
          <w:rFonts w:cs="Times New Roman"/>
          <w:szCs w:val="24"/>
        </w:rPr>
        <w:t>individual,</w:t>
      </w:r>
      <w:r w:rsidR="00D136BB">
        <w:rPr>
          <w:rFonts w:cs="Times New Roman"/>
          <w:szCs w:val="24"/>
        </w:rPr>
        <w:t xml:space="preserve"> </w:t>
      </w:r>
      <w:r w:rsidRPr="00AE1E0D">
        <w:rPr>
          <w:rFonts w:cs="Times New Roman"/>
          <w:szCs w:val="24"/>
        </w:rPr>
        <w:t>puestos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trabajo</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00985D3E" w:rsidRPr="00985D3E">
        <w:rPr>
          <w:rFonts w:cs="Times New Roman"/>
          <w:szCs w:val="24"/>
        </w:rPr>
        <w:t>dosimetría</w:t>
      </w:r>
      <w:r w:rsidR="00D136BB">
        <w:rPr>
          <w:rFonts w:cs="Times New Roman"/>
          <w:szCs w:val="24"/>
        </w:rPr>
        <w:t xml:space="preserve"> </w:t>
      </w:r>
      <w:r w:rsidR="00985D3E" w:rsidRPr="00985D3E">
        <w:rPr>
          <w:rFonts w:cs="Times New Roman"/>
          <w:szCs w:val="24"/>
        </w:rPr>
        <w:t>retrospectiva</w:t>
      </w:r>
      <w:r w:rsidR="00D136BB">
        <w:rPr>
          <w:rFonts w:cs="Times New Roman"/>
          <w:szCs w:val="24"/>
        </w:rPr>
        <w:t xml:space="preserve"> </w:t>
      </w:r>
      <w:r w:rsidR="00985D3E" w:rsidRPr="00985D3E">
        <w:rPr>
          <w:rFonts w:cs="Times New Roman"/>
          <w:szCs w:val="24"/>
        </w:rPr>
        <w:t>(monitorización</w:t>
      </w:r>
      <w:r w:rsidR="00D136BB">
        <w:rPr>
          <w:rFonts w:cs="Times New Roman"/>
          <w:szCs w:val="24"/>
        </w:rPr>
        <w:t xml:space="preserve"> </w:t>
      </w:r>
      <w:r w:rsidR="00985D3E" w:rsidRPr="00985D3E">
        <w:rPr>
          <w:rFonts w:cs="Times New Roman"/>
          <w:szCs w:val="24"/>
        </w:rPr>
        <w:t>de</w:t>
      </w:r>
      <w:r w:rsidR="00D136BB">
        <w:rPr>
          <w:rFonts w:cs="Times New Roman"/>
          <w:szCs w:val="24"/>
        </w:rPr>
        <w:t xml:space="preserve"> </w:t>
      </w:r>
      <w:r w:rsidR="00985D3E" w:rsidRPr="00985D3E">
        <w:rPr>
          <w:rFonts w:cs="Times New Roman"/>
          <w:szCs w:val="24"/>
        </w:rPr>
        <w:t>personas</w:t>
      </w:r>
      <w:r w:rsidR="00D136BB">
        <w:rPr>
          <w:rFonts w:cs="Times New Roman"/>
          <w:szCs w:val="24"/>
        </w:rPr>
        <w:t xml:space="preserve"> </w:t>
      </w:r>
      <w:r w:rsidR="00985D3E" w:rsidRPr="00985D3E">
        <w:rPr>
          <w:rFonts w:cs="Times New Roman"/>
          <w:szCs w:val="24"/>
        </w:rPr>
        <w:t>sobre</w:t>
      </w:r>
      <w:r w:rsidR="00D136BB">
        <w:rPr>
          <w:rFonts w:cs="Times New Roman"/>
          <w:szCs w:val="24"/>
        </w:rPr>
        <w:t xml:space="preserve"> </w:t>
      </w:r>
      <w:r w:rsidR="00985D3E" w:rsidRPr="00985D3E">
        <w:rPr>
          <w:rFonts w:cs="Times New Roman"/>
          <w:szCs w:val="24"/>
        </w:rPr>
        <w:t>expuestas)</w:t>
      </w:r>
    </w:p>
    <w:p w14:paraId="5B3D8094" w14:textId="5343C8CC" w:rsidR="005D0292" w:rsidRPr="00AE1E0D" w:rsidRDefault="005D0292" w:rsidP="005D0292">
      <w:pPr>
        <w:pStyle w:val="ListNumber"/>
        <w:rPr>
          <w:rFonts w:cs="Times New Roman"/>
          <w:szCs w:val="24"/>
        </w:rPr>
      </w:pPr>
      <w:r w:rsidRPr="00AE1E0D">
        <w:rPr>
          <w:rFonts w:cs="Times New Roman"/>
          <w:szCs w:val="24"/>
        </w:rPr>
        <w:t>Limitada</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técnicos,</w:t>
      </w:r>
      <w:r w:rsidR="00D136BB">
        <w:rPr>
          <w:rFonts w:cs="Times New Roman"/>
          <w:szCs w:val="24"/>
        </w:rPr>
        <w:t xml:space="preserve"> </w:t>
      </w:r>
      <w:r w:rsidRPr="00AE1E0D">
        <w:rPr>
          <w:rFonts w:cs="Times New Roman"/>
          <w:szCs w:val="24"/>
        </w:rPr>
        <w:t>basadas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ISO</w:t>
      </w:r>
      <w:r w:rsidR="00D136BB">
        <w:rPr>
          <w:rFonts w:cs="Times New Roman"/>
          <w:szCs w:val="24"/>
        </w:rPr>
        <w:t xml:space="preserve"> </w:t>
      </w:r>
      <w:r w:rsidRPr="00AE1E0D">
        <w:rPr>
          <w:rFonts w:cs="Times New Roman"/>
          <w:szCs w:val="24"/>
        </w:rPr>
        <w:t>17025:2017.</w:t>
      </w:r>
    </w:p>
    <w:p w14:paraId="364C247D" w14:textId="197AE50B" w:rsidR="005D0292" w:rsidRPr="00AE1E0D" w:rsidRDefault="005D0292" w:rsidP="005D0292">
      <w:pPr>
        <w:pStyle w:val="ListNumber"/>
        <w:rPr>
          <w:rFonts w:cs="Times New Roman"/>
          <w:szCs w:val="24"/>
        </w:rPr>
      </w:pPr>
      <w:r w:rsidRPr="00AE1E0D">
        <w:rPr>
          <w:rFonts w:cs="Times New Roman"/>
          <w:szCs w:val="24"/>
        </w:rPr>
        <w:t>Limitadas</w:t>
      </w:r>
      <w:r w:rsidR="00D136BB">
        <w:rPr>
          <w:rFonts w:cs="Times New Roman"/>
          <w:szCs w:val="24"/>
        </w:rPr>
        <w:t xml:space="preserve"> </w:t>
      </w:r>
      <w:r w:rsidRPr="00AE1E0D">
        <w:rPr>
          <w:rFonts w:cs="Times New Roman"/>
          <w:szCs w:val="24"/>
        </w:rPr>
        <w:t>redes</w:t>
      </w:r>
      <w:r w:rsidR="00D136BB">
        <w:rPr>
          <w:rFonts w:cs="Times New Roman"/>
          <w:szCs w:val="24"/>
        </w:rPr>
        <w:t xml:space="preserve"> </w:t>
      </w:r>
      <w:r w:rsidRPr="00AE1E0D">
        <w:rPr>
          <w:rFonts w:cs="Times New Roman"/>
          <w:szCs w:val="24"/>
        </w:rPr>
        <w:t>entre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soporte</w:t>
      </w:r>
      <w:r w:rsidR="00D136BB">
        <w:rPr>
          <w:rFonts w:cs="Times New Roman"/>
          <w:szCs w:val="24"/>
        </w:rPr>
        <w:t xml:space="preserve"> </w:t>
      </w:r>
      <w:r w:rsidRPr="00AE1E0D">
        <w:rPr>
          <w:rFonts w:cs="Times New Roman"/>
          <w:szCs w:val="24"/>
        </w:rPr>
        <w:t>técnico</w:t>
      </w:r>
      <w:r w:rsidR="00D136BB">
        <w:rPr>
          <w:rFonts w:cs="Times New Roman"/>
          <w:szCs w:val="24"/>
        </w:rPr>
        <w:t xml:space="preserve"> </w:t>
      </w:r>
      <w:r w:rsidRPr="00AE1E0D">
        <w:rPr>
          <w:rFonts w:cs="Times New Roman"/>
          <w:szCs w:val="24"/>
        </w:rPr>
        <w:t>(REPROLAM</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LBDNET).</w:t>
      </w:r>
    </w:p>
    <w:p w14:paraId="7D3812F5" w14:textId="277B1DCC" w:rsidR="00985D3E" w:rsidRPr="00985D3E" w:rsidRDefault="00985D3E" w:rsidP="00985D3E">
      <w:pPr>
        <w:pStyle w:val="ListNumber"/>
        <w:rPr>
          <w:rFonts w:cs="Times New Roman"/>
          <w:szCs w:val="24"/>
        </w:rPr>
      </w:pPr>
      <w:r w:rsidRPr="00985D3E">
        <w:rPr>
          <w:rFonts w:cs="Times New Roman"/>
          <w:szCs w:val="24"/>
        </w:rPr>
        <w:t>Falta</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material</w:t>
      </w:r>
      <w:r w:rsidR="00D136BB">
        <w:rPr>
          <w:rFonts w:cs="Times New Roman"/>
          <w:szCs w:val="24"/>
        </w:rPr>
        <w:t xml:space="preserve"> </w:t>
      </w:r>
      <w:r w:rsidRPr="00985D3E">
        <w:rPr>
          <w:rFonts w:cs="Times New Roman"/>
          <w:szCs w:val="24"/>
        </w:rPr>
        <w:t>para</w:t>
      </w:r>
      <w:r w:rsidR="00D136BB">
        <w:rPr>
          <w:rFonts w:cs="Times New Roman"/>
          <w:szCs w:val="24"/>
        </w:rPr>
        <w:t xml:space="preserve"> </w:t>
      </w:r>
      <w:r w:rsidRPr="00985D3E">
        <w:rPr>
          <w:rFonts w:cs="Times New Roman"/>
          <w:szCs w:val="24"/>
        </w:rPr>
        <w:t>educación</w:t>
      </w:r>
      <w:r w:rsidR="00D136BB">
        <w:rPr>
          <w:rFonts w:cs="Times New Roman"/>
          <w:szCs w:val="24"/>
        </w:rPr>
        <w:t xml:space="preserve"> </w:t>
      </w:r>
      <w:r w:rsidRPr="00985D3E">
        <w:rPr>
          <w:rFonts w:cs="Times New Roman"/>
          <w:szCs w:val="24"/>
        </w:rPr>
        <w:t>a</w:t>
      </w:r>
      <w:r w:rsidR="00D136BB">
        <w:rPr>
          <w:rFonts w:cs="Times New Roman"/>
          <w:szCs w:val="24"/>
        </w:rPr>
        <w:t xml:space="preserve"> </w:t>
      </w:r>
      <w:r w:rsidRPr="00985D3E">
        <w:rPr>
          <w:rFonts w:cs="Times New Roman"/>
          <w:szCs w:val="24"/>
        </w:rPr>
        <w:t>distancia</w:t>
      </w:r>
      <w:r w:rsidR="00D136BB">
        <w:rPr>
          <w:rFonts w:cs="Times New Roman"/>
          <w:szCs w:val="24"/>
        </w:rPr>
        <w:t xml:space="preserve"> </w:t>
      </w:r>
      <w:r w:rsidRPr="00985D3E">
        <w:rPr>
          <w:rFonts w:cs="Times New Roman"/>
          <w:szCs w:val="24"/>
        </w:rPr>
        <w:t>(e-learning)</w:t>
      </w:r>
      <w:r w:rsidR="00D136BB">
        <w:rPr>
          <w:rFonts w:cs="Times New Roman"/>
          <w:szCs w:val="24"/>
        </w:rPr>
        <w:t xml:space="preserve"> </w:t>
      </w:r>
      <w:r w:rsidRPr="00985D3E">
        <w:rPr>
          <w:rFonts w:cs="Times New Roman"/>
          <w:szCs w:val="24"/>
        </w:rPr>
        <w:t>relativo</w:t>
      </w:r>
      <w:r w:rsidR="00D136BB">
        <w:rPr>
          <w:rFonts w:cs="Times New Roman"/>
          <w:szCs w:val="24"/>
        </w:rPr>
        <w:t xml:space="preserve"> </w:t>
      </w:r>
      <w:r w:rsidRPr="00985D3E">
        <w:rPr>
          <w:rFonts w:cs="Times New Roman"/>
          <w:szCs w:val="24"/>
        </w:rPr>
        <w:t>a</w:t>
      </w:r>
      <w:r w:rsidR="00D136BB">
        <w:rPr>
          <w:rFonts w:cs="Times New Roman"/>
          <w:szCs w:val="24"/>
        </w:rPr>
        <w:t xml:space="preserve"> </w:t>
      </w:r>
      <w:r w:rsidRPr="00985D3E">
        <w:rPr>
          <w:rFonts w:cs="Times New Roman"/>
          <w:szCs w:val="24"/>
        </w:rPr>
        <w:t>los</w:t>
      </w:r>
      <w:r w:rsidR="00D136BB">
        <w:rPr>
          <w:rFonts w:cs="Times New Roman"/>
          <w:szCs w:val="24"/>
        </w:rPr>
        <w:t xml:space="preserve"> </w:t>
      </w:r>
      <w:r w:rsidRPr="00985D3E">
        <w:rPr>
          <w:rFonts w:cs="Times New Roman"/>
          <w:szCs w:val="24"/>
        </w:rPr>
        <w:t>métodos</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medición</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radiaciones</w:t>
      </w:r>
      <w:r w:rsidR="00D136BB">
        <w:rPr>
          <w:rFonts w:cs="Times New Roman"/>
          <w:szCs w:val="24"/>
        </w:rPr>
        <w:t xml:space="preserve"> </w:t>
      </w:r>
      <w:r w:rsidRPr="00985D3E">
        <w:rPr>
          <w:rFonts w:cs="Times New Roman"/>
          <w:szCs w:val="24"/>
        </w:rPr>
        <w:t>y</w:t>
      </w:r>
      <w:r w:rsidR="00D136BB">
        <w:rPr>
          <w:rFonts w:cs="Times New Roman"/>
          <w:szCs w:val="24"/>
        </w:rPr>
        <w:t xml:space="preserve"> </w:t>
      </w:r>
      <w:r w:rsidRPr="00985D3E">
        <w:rPr>
          <w:rFonts w:cs="Times New Roman"/>
          <w:szCs w:val="24"/>
        </w:rPr>
        <w:t>tipos</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monitorización.</w:t>
      </w:r>
      <w:r w:rsidR="00D136BB">
        <w:rPr>
          <w:rFonts w:cs="Times New Roman"/>
          <w:szCs w:val="24"/>
        </w:rPr>
        <w:t xml:space="preserve"> </w:t>
      </w:r>
    </w:p>
    <w:p w14:paraId="57E4C69F" w14:textId="197C3570" w:rsidR="005D0292" w:rsidRPr="00AE1E0D" w:rsidRDefault="005D0292" w:rsidP="005D0292">
      <w:pPr>
        <w:pStyle w:val="ListNumber"/>
        <w:rPr>
          <w:rFonts w:cs="Times New Roman"/>
          <w:szCs w:val="24"/>
        </w:rPr>
      </w:pPr>
      <w:r w:rsidRPr="00AE1E0D">
        <w:rPr>
          <w:rFonts w:cs="Times New Roman"/>
          <w:szCs w:val="24"/>
        </w:rPr>
        <w:t>Limitadas</w:t>
      </w:r>
      <w:r w:rsidR="00D136BB">
        <w:rPr>
          <w:rFonts w:cs="Times New Roman"/>
          <w:szCs w:val="24"/>
        </w:rPr>
        <w:t xml:space="preserve"> </w:t>
      </w:r>
      <w:r w:rsidRPr="00AE1E0D">
        <w:rPr>
          <w:rFonts w:cs="Times New Roman"/>
          <w:szCs w:val="24"/>
        </w:rPr>
        <w:t>posibilidades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ejercicios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intercomparación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pruebas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desempeño.</w:t>
      </w:r>
    </w:p>
    <w:p w14:paraId="7EA4AF01" w14:textId="38A456E0" w:rsidR="005D0292" w:rsidRPr="00AE1E0D" w:rsidRDefault="005D0292" w:rsidP="005D0292">
      <w:pPr>
        <w:pStyle w:val="ListNumber"/>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designación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centros</w:t>
      </w:r>
      <w:r w:rsidR="00D136BB">
        <w:rPr>
          <w:rFonts w:cs="Times New Roman"/>
          <w:szCs w:val="24"/>
        </w:rPr>
        <w:t xml:space="preserve"> </w:t>
      </w:r>
      <w:r w:rsidRPr="00AE1E0D">
        <w:rPr>
          <w:rFonts w:cs="Times New Roman"/>
          <w:szCs w:val="24"/>
        </w:rPr>
        <w:t>colaboradores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facilitar</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capacitación</w:t>
      </w:r>
      <w:r w:rsidR="00D136BB">
        <w:rPr>
          <w:rFonts w:cs="Times New Roman"/>
          <w:szCs w:val="24"/>
        </w:rPr>
        <w:t xml:space="preserve"> </w:t>
      </w:r>
      <w:r w:rsidRPr="00AE1E0D">
        <w:rPr>
          <w:rFonts w:cs="Times New Roman"/>
          <w:szCs w:val="24"/>
        </w:rPr>
        <w:t>regional</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nuevas</w:t>
      </w:r>
      <w:r w:rsidR="00D136BB">
        <w:rPr>
          <w:rFonts w:cs="Times New Roman"/>
          <w:szCs w:val="24"/>
        </w:rPr>
        <w:t xml:space="preserve"> </w:t>
      </w:r>
      <w:r w:rsidRPr="00AE1E0D">
        <w:rPr>
          <w:rFonts w:cs="Times New Roman"/>
          <w:szCs w:val="24"/>
        </w:rPr>
        <w:t>metodologías,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dosimetría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calibración.</w:t>
      </w:r>
    </w:p>
    <w:p w14:paraId="0EDAB320" w14:textId="180B1E8A" w:rsidR="005D0292" w:rsidRPr="00AE1E0D" w:rsidRDefault="005D0292" w:rsidP="005D0292">
      <w:pPr>
        <w:pStyle w:val="ListNumber"/>
        <w:rPr>
          <w:rFonts w:cs="Times New Roman"/>
          <w:szCs w:val="24"/>
        </w:rPr>
      </w:pPr>
      <w:r w:rsidRPr="00AE1E0D">
        <w:rPr>
          <w:rFonts w:cs="Times New Roman"/>
          <w:szCs w:val="24"/>
        </w:rPr>
        <w:t>Los</w:t>
      </w:r>
      <w:r w:rsidR="00D136BB">
        <w:rPr>
          <w:rFonts w:cs="Times New Roman"/>
          <w:szCs w:val="24"/>
        </w:rPr>
        <w:t xml:space="preserve"> </w:t>
      </w:r>
      <w:r w:rsidRPr="00AE1E0D">
        <w:rPr>
          <w:rFonts w:cs="Times New Roman"/>
          <w:szCs w:val="24"/>
        </w:rPr>
        <w:t>Laboratorios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Calibración</w:t>
      </w:r>
      <w:r w:rsidR="00D136BB">
        <w:rPr>
          <w:rFonts w:cs="Times New Roman"/>
          <w:szCs w:val="24"/>
        </w:rPr>
        <w:t xml:space="preserve"> </w:t>
      </w:r>
      <w:r w:rsidRPr="00AE1E0D">
        <w:rPr>
          <w:rFonts w:cs="Times New Roman"/>
          <w:szCs w:val="24"/>
        </w:rPr>
        <w:t>Dosimétrica</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cubren</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necesidades</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presentan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cuanto</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calibración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haces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gamma,</w:t>
      </w:r>
      <w:r w:rsidR="00D136BB">
        <w:rPr>
          <w:rFonts w:cs="Times New Roman"/>
          <w:szCs w:val="24"/>
        </w:rPr>
        <w:t xml:space="preserve"> </w:t>
      </w:r>
      <w:r w:rsidRPr="00AE1E0D">
        <w:rPr>
          <w:rFonts w:cs="Times New Roman"/>
          <w:szCs w:val="24"/>
        </w:rPr>
        <w:t>rayos</w:t>
      </w:r>
      <w:r w:rsidR="00D136BB">
        <w:rPr>
          <w:rFonts w:cs="Times New Roman"/>
          <w:szCs w:val="24"/>
        </w:rPr>
        <w:t xml:space="preserve"> </w:t>
      </w:r>
      <w:r w:rsidRPr="00AE1E0D">
        <w:rPr>
          <w:rFonts w:cs="Times New Roman"/>
          <w:szCs w:val="24"/>
        </w:rPr>
        <w:t>X,</w:t>
      </w:r>
      <w:r w:rsidR="00D136BB">
        <w:rPr>
          <w:rFonts w:cs="Times New Roman"/>
          <w:szCs w:val="24"/>
        </w:rPr>
        <w:t xml:space="preserve"> </w:t>
      </w:r>
      <w:r w:rsidRPr="00AE1E0D">
        <w:rPr>
          <w:rFonts w:cs="Times New Roman"/>
          <w:szCs w:val="24"/>
        </w:rPr>
        <w:t>neutrones,</w:t>
      </w:r>
      <w:r w:rsidR="00D136BB">
        <w:rPr>
          <w:rFonts w:cs="Times New Roman"/>
          <w:szCs w:val="24"/>
        </w:rPr>
        <w:t xml:space="preserve"> </w:t>
      </w:r>
      <w:r w:rsidRPr="00AE1E0D">
        <w:rPr>
          <w:rFonts w:cs="Times New Roman"/>
          <w:szCs w:val="24"/>
        </w:rPr>
        <w:t>radiación</w:t>
      </w:r>
      <w:r w:rsidR="00D136BB">
        <w:rPr>
          <w:rFonts w:cs="Times New Roman"/>
          <w:szCs w:val="24"/>
        </w:rPr>
        <w:t xml:space="preserve"> </w:t>
      </w:r>
      <w:r w:rsidRPr="00AE1E0D">
        <w:rPr>
          <w:rFonts w:cs="Times New Roman"/>
          <w:szCs w:val="24"/>
        </w:rPr>
        <w:t>alfa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beta.</w:t>
      </w:r>
    </w:p>
    <w:p w14:paraId="77168C8B" w14:textId="698CDD33" w:rsidR="005D0292" w:rsidRPr="00AE1E0D" w:rsidRDefault="005D0292" w:rsidP="005D0292">
      <w:pPr>
        <w:pStyle w:val="ListNumber"/>
        <w:rPr>
          <w:rFonts w:cs="Times New Roman"/>
          <w:szCs w:val="24"/>
        </w:rPr>
      </w:pPr>
      <w:r w:rsidRPr="00AE1E0D">
        <w:rPr>
          <w:rFonts w:cs="Times New Roman"/>
          <w:szCs w:val="24"/>
        </w:rPr>
        <w:t>Los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Laboratorios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Calibración</w:t>
      </w:r>
      <w:r w:rsidR="00D136BB">
        <w:rPr>
          <w:rFonts w:cs="Times New Roman"/>
          <w:szCs w:val="24"/>
        </w:rPr>
        <w:t xml:space="preserve"> </w:t>
      </w:r>
      <w:r w:rsidRPr="00AE1E0D">
        <w:rPr>
          <w:rFonts w:cs="Times New Roman"/>
          <w:szCs w:val="24"/>
        </w:rPr>
        <w:t>Dosimétrica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son</w:t>
      </w:r>
      <w:r w:rsidR="00D136BB">
        <w:rPr>
          <w:rFonts w:cs="Times New Roman"/>
          <w:szCs w:val="24"/>
        </w:rPr>
        <w:t xml:space="preserve"> </w:t>
      </w:r>
      <w:r w:rsidRPr="00AE1E0D">
        <w:rPr>
          <w:rFonts w:cs="Times New Roman"/>
          <w:szCs w:val="24"/>
        </w:rPr>
        <w:t>limitados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niveles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necesidad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calibración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equipamiento</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monitorización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puesto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trabajo.</w:t>
      </w:r>
      <w:r w:rsidR="00D136BB">
        <w:rPr>
          <w:rFonts w:cs="Times New Roman"/>
          <w:szCs w:val="24"/>
        </w:rPr>
        <w:t xml:space="preserve"> </w:t>
      </w:r>
    </w:p>
    <w:p w14:paraId="371A99FF" w14:textId="46E94C4D" w:rsidR="005D0292" w:rsidRPr="00AE1E0D" w:rsidRDefault="005D0292" w:rsidP="005D0292">
      <w:pPr>
        <w:pStyle w:val="ListNumber"/>
        <w:rPr>
          <w:rFonts w:cs="Times New Roman"/>
          <w:szCs w:val="24"/>
        </w:rPr>
      </w:pPr>
      <w:r w:rsidRPr="00AE1E0D">
        <w:rPr>
          <w:rFonts w:cs="Times New Roman"/>
          <w:szCs w:val="24"/>
        </w:rPr>
        <w:t>Insuficiente</w:t>
      </w:r>
      <w:r w:rsidR="00D136BB">
        <w:rPr>
          <w:rFonts w:cs="Times New Roman"/>
          <w:szCs w:val="24"/>
        </w:rPr>
        <w:t xml:space="preserve"> </w:t>
      </w:r>
      <w:r w:rsidRPr="00AE1E0D">
        <w:rPr>
          <w:rFonts w:cs="Times New Roman"/>
          <w:szCs w:val="24"/>
        </w:rPr>
        <w:t>capacidad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calibración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radiología</w:t>
      </w:r>
      <w:r w:rsidR="00D136BB">
        <w:rPr>
          <w:rFonts w:cs="Times New Roman"/>
          <w:szCs w:val="24"/>
        </w:rPr>
        <w:t xml:space="preserve"> </w:t>
      </w:r>
      <w:r w:rsidRPr="00AE1E0D">
        <w:rPr>
          <w:rFonts w:cs="Times New Roman"/>
          <w:szCs w:val="24"/>
        </w:rPr>
        <w:t>diagnóstica,</w:t>
      </w:r>
      <w:r w:rsidR="00D136BB">
        <w:rPr>
          <w:rFonts w:cs="Times New Roman"/>
          <w:szCs w:val="24"/>
        </w:rPr>
        <w:t xml:space="preserve"> </w:t>
      </w:r>
      <w:r w:rsidRPr="00AE1E0D">
        <w:rPr>
          <w:rFonts w:cs="Times New Roman"/>
          <w:szCs w:val="24"/>
        </w:rPr>
        <w:t>radioterapia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medicina</w:t>
      </w:r>
      <w:r w:rsidR="00D136BB">
        <w:rPr>
          <w:rFonts w:cs="Times New Roman"/>
          <w:szCs w:val="24"/>
        </w:rPr>
        <w:t xml:space="preserve"> </w:t>
      </w:r>
      <w:r w:rsidRPr="00AE1E0D">
        <w:rPr>
          <w:rFonts w:cs="Times New Roman"/>
          <w:szCs w:val="24"/>
        </w:rPr>
        <w:t>nuclear,</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laboratorios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calibración.</w:t>
      </w:r>
    </w:p>
    <w:p w14:paraId="12929BE3" w14:textId="5ED41281" w:rsidR="005D0292" w:rsidRPr="00AE1E0D" w:rsidRDefault="00DA332B" w:rsidP="005D0292">
      <w:pPr>
        <w:pStyle w:val="ListNumber"/>
        <w:rPr>
          <w:rFonts w:cs="Times New Roman"/>
          <w:szCs w:val="24"/>
        </w:rPr>
      </w:pPr>
      <w:r>
        <w:rPr>
          <w:rFonts w:cs="Times New Roman"/>
          <w:szCs w:val="24"/>
        </w:rPr>
        <w:t>Limitada</w:t>
      </w:r>
      <w:r w:rsidR="00D136BB">
        <w:rPr>
          <w:rFonts w:cs="Times New Roman"/>
          <w:szCs w:val="24"/>
        </w:rPr>
        <w:t xml:space="preserve"> </w:t>
      </w:r>
      <w:r w:rsidR="005D0292" w:rsidRPr="00AE1E0D">
        <w:rPr>
          <w:rFonts w:cs="Times New Roman"/>
          <w:szCs w:val="24"/>
        </w:rPr>
        <w:t>diseminación</w:t>
      </w:r>
      <w:r w:rsidR="00D136BB">
        <w:rPr>
          <w:rFonts w:cs="Times New Roman"/>
          <w:szCs w:val="24"/>
        </w:rPr>
        <w:t xml:space="preserve"> </w:t>
      </w:r>
      <w:r w:rsidR="005D0292" w:rsidRPr="00AE1E0D">
        <w:rPr>
          <w:rFonts w:cs="Times New Roman"/>
          <w:szCs w:val="24"/>
        </w:rPr>
        <w:t>del</w:t>
      </w:r>
      <w:r w:rsidR="00D136BB">
        <w:rPr>
          <w:rFonts w:cs="Times New Roman"/>
          <w:szCs w:val="24"/>
        </w:rPr>
        <w:t xml:space="preserve"> </w:t>
      </w:r>
      <w:r w:rsidR="005D0292" w:rsidRPr="00AE1E0D">
        <w:rPr>
          <w:rFonts w:cs="Times New Roman"/>
          <w:szCs w:val="24"/>
        </w:rPr>
        <w:t>código</w:t>
      </w:r>
      <w:r w:rsidR="00D136BB">
        <w:rPr>
          <w:rFonts w:cs="Times New Roman"/>
          <w:szCs w:val="24"/>
        </w:rPr>
        <w:t xml:space="preserve"> </w:t>
      </w:r>
      <w:r w:rsidR="005D0292" w:rsidRPr="00AE1E0D">
        <w:rPr>
          <w:rFonts w:cs="Times New Roman"/>
          <w:szCs w:val="24"/>
        </w:rPr>
        <w:t>internacional</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calibración</w:t>
      </w:r>
      <w:r w:rsidR="00D136BB">
        <w:rPr>
          <w:rFonts w:cs="Times New Roman"/>
          <w:szCs w:val="24"/>
        </w:rPr>
        <w:t xml:space="preserve"> </w:t>
      </w:r>
      <w:r w:rsidR="005D0292" w:rsidRPr="00AE1E0D">
        <w:rPr>
          <w:rFonts w:cs="Times New Roman"/>
          <w:szCs w:val="24"/>
        </w:rPr>
        <w:t>en</w:t>
      </w:r>
      <w:r w:rsidR="00D136BB">
        <w:rPr>
          <w:rFonts w:cs="Times New Roman"/>
          <w:szCs w:val="24"/>
        </w:rPr>
        <w:t xml:space="preserve"> </w:t>
      </w:r>
      <w:r w:rsidR="005D0292" w:rsidRPr="00AE1E0D">
        <w:rPr>
          <w:rFonts w:cs="Times New Roman"/>
          <w:szCs w:val="24"/>
        </w:rPr>
        <w:t>protección</w:t>
      </w:r>
      <w:r w:rsidR="00D136BB">
        <w:rPr>
          <w:rFonts w:cs="Times New Roman"/>
          <w:szCs w:val="24"/>
        </w:rPr>
        <w:t xml:space="preserve"> </w:t>
      </w:r>
      <w:r w:rsidR="005D0292" w:rsidRPr="00AE1E0D">
        <w:rPr>
          <w:rFonts w:cs="Times New Roman"/>
          <w:szCs w:val="24"/>
        </w:rPr>
        <w:t>radiológica</w:t>
      </w:r>
      <w:r w:rsidR="00D136BB">
        <w:rPr>
          <w:rFonts w:cs="Times New Roman"/>
          <w:szCs w:val="24"/>
        </w:rPr>
        <w:t xml:space="preserve"> </w:t>
      </w:r>
      <w:r w:rsidR="005D0292" w:rsidRPr="00AE1E0D">
        <w:rPr>
          <w:rFonts w:cs="Times New Roman"/>
          <w:szCs w:val="24"/>
        </w:rPr>
        <w:t>(Actualmente</w:t>
      </w:r>
      <w:r w:rsidR="00D136BB">
        <w:rPr>
          <w:rFonts w:cs="Times New Roman"/>
          <w:szCs w:val="24"/>
        </w:rPr>
        <w:t xml:space="preserve"> </w:t>
      </w:r>
      <w:r w:rsidR="005D0292" w:rsidRPr="00AE1E0D">
        <w:rPr>
          <w:rFonts w:cs="Times New Roman"/>
          <w:szCs w:val="24"/>
        </w:rPr>
        <w:t>se</w:t>
      </w:r>
      <w:r w:rsidR="00D136BB">
        <w:rPr>
          <w:rFonts w:cs="Times New Roman"/>
          <w:szCs w:val="24"/>
        </w:rPr>
        <w:t xml:space="preserve"> </w:t>
      </w:r>
      <w:r w:rsidR="005D0292" w:rsidRPr="00AE1E0D">
        <w:rPr>
          <w:rFonts w:cs="Times New Roman"/>
          <w:szCs w:val="24"/>
        </w:rPr>
        <w:t>utiliza</w:t>
      </w:r>
      <w:r w:rsidR="00D136BB">
        <w:rPr>
          <w:rFonts w:cs="Times New Roman"/>
          <w:szCs w:val="24"/>
        </w:rPr>
        <w:t xml:space="preserve"> </w:t>
      </w:r>
      <w:r w:rsidR="005D0292" w:rsidRPr="00AE1E0D">
        <w:rPr>
          <w:rFonts w:cs="Times New Roman"/>
          <w:szCs w:val="24"/>
        </w:rPr>
        <w:t>el</w:t>
      </w:r>
      <w:r w:rsidR="00D136BB">
        <w:rPr>
          <w:rFonts w:cs="Times New Roman"/>
          <w:szCs w:val="24"/>
        </w:rPr>
        <w:t xml:space="preserve"> </w:t>
      </w:r>
      <w:r w:rsidR="005D0292" w:rsidRPr="00AE1E0D">
        <w:rPr>
          <w:rFonts w:cs="Times New Roman"/>
          <w:szCs w:val="24"/>
        </w:rPr>
        <w:t>documento</w:t>
      </w:r>
      <w:r w:rsidR="00D136BB">
        <w:rPr>
          <w:rFonts w:cs="Times New Roman"/>
          <w:szCs w:val="24"/>
        </w:rPr>
        <w:t xml:space="preserve"> </w:t>
      </w:r>
      <w:r w:rsidR="005D0292" w:rsidRPr="00AE1E0D">
        <w:rPr>
          <w:rFonts w:cs="Times New Roman"/>
          <w:szCs w:val="24"/>
        </w:rPr>
        <w:t>SRS-16</w:t>
      </w:r>
      <w:r>
        <w:rPr>
          <w:rFonts w:cs="Times New Roman"/>
          <w:szCs w:val="24"/>
        </w:rPr>
        <w:t>, que esta en proceso de actualización</w:t>
      </w:r>
      <w:r w:rsidR="005D0292" w:rsidRPr="00AE1E0D">
        <w:rPr>
          <w:rFonts w:cs="Times New Roman"/>
          <w:szCs w:val="24"/>
        </w:rPr>
        <w:t>).</w:t>
      </w:r>
      <w:r w:rsidR="00D136BB">
        <w:rPr>
          <w:rFonts w:cs="Times New Roman"/>
          <w:szCs w:val="24"/>
        </w:rPr>
        <w:t xml:space="preserve"> </w:t>
      </w:r>
      <w:r w:rsidR="005D0292" w:rsidRPr="00AE1E0D">
        <w:rPr>
          <w:rFonts w:cs="Times New Roman"/>
          <w:szCs w:val="24"/>
        </w:rPr>
        <w:t>Además</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que</w:t>
      </w:r>
      <w:r w:rsidR="00D136BB">
        <w:rPr>
          <w:rFonts w:cs="Times New Roman"/>
          <w:szCs w:val="24"/>
        </w:rPr>
        <w:t xml:space="preserve"> </w:t>
      </w:r>
      <w:r w:rsidR="005D0292" w:rsidRPr="00AE1E0D">
        <w:rPr>
          <w:rFonts w:cs="Times New Roman"/>
          <w:szCs w:val="24"/>
        </w:rPr>
        <w:t>no</w:t>
      </w:r>
      <w:r w:rsidR="00D136BB">
        <w:rPr>
          <w:rFonts w:cs="Times New Roman"/>
          <w:szCs w:val="24"/>
        </w:rPr>
        <w:t xml:space="preserve"> </w:t>
      </w:r>
      <w:r w:rsidR="005D0292" w:rsidRPr="00AE1E0D">
        <w:rPr>
          <w:rFonts w:cs="Times New Roman"/>
          <w:szCs w:val="24"/>
        </w:rPr>
        <w:t>hay</w:t>
      </w:r>
      <w:r w:rsidR="00D136BB">
        <w:rPr>
          <w:rFonts w:cs="Times New Roman"/>
          <w:szCs w:val="24"/>
        </w:rPr>
        <w:t xml:space="preserve"> </w:t>
      </w:r>
      <w:r w:rsidR="005D0292" w:rsidRPr="00AE1E0D">
        <w:rPr>
          <w:rFonts w:cs="Times New Roman"/>
          <w:szCs w:val="24"/>
        </w:rPr>
        <w:t>un</w:t>
      </w:r>
      <w:r w:rsidR="00D136BB">
        <w:rPr>
          <w:rFonts w:cs="Times New Roman"/>
          <w:szCs w:val="24"/>
        </w:rPr>
        <w:t xml:space="preserve"> </w:t>
      </w:r>
      <w:r w:rsidR="005D0292" w:rsidRPr="00AE1E0D">
        <w:rPr>
          <w:rFonts w:cs="Times New Roman"/>
          <w:szCs w:val="24"/>
        </w:rPr>
        <w:t>código</w:t>
      </w:r>
      <w:r w:rsidR="00D136BB">
        <w:rPr>
          <w:rFonts w:cs="Times New Roman"/>
          <w:szCs w:val="24"/>
        </w:rPr>
        <w:t xml:space="preserve"> </w:t>
      </w:r>
      <w:r w:rsidR="005D0292" w:rsidRPr="00AE1E0D">
        <w:rPr>
          <w:rFonts w:cs="Times New Roman"/>
          <w:szCs w:val="24"/>
        </w:rPr>
        <w:t>internacional</w:t>
      </w:r>
      <w:r w:rsidR="00D136BB">
        <w:rPr>
          <w:rFonts w:cs="Times New Roman"/>
          <w:szCs w:val="24"/>
        </w:rPr>
        <w:t xml:space="preserve"> </w:t>
      </w:r>
      <w:r w:rsidR="005D0292" w:rsidRPr="00AE1E0D">
        <w:rPr>
          <w:rFonts w:cs="Times New Roman"/>
          <w:szCs w:val="24"/>
        </w:rPr>
        <w:t>para</w:t>
      </w:r>
      <w:r w:rsidR="00D136BB">
        <w:rPr>
          <w:rFonts w:cs="Times New Roman"/>
          <w:szCs w:val="24"/>
        </w:rPr>
        <w:t xml:space="preserve"> </w:t>
      </w:r>
      <w:r w:rsidR="005D0292" w:rsidRPr="00AE1E0D">
        <w:rPr>
          <w:rFonts w:cs="Times New Roman"/>
          <w:szCs w:val="24"/>
        </w:rPr>
        <w:t>la</w:t>
      </w:r>
      <w:r w:rsidR="00D136BB">
        <w:rPr>
          <w:rFonts w:cs="Times New Roman"/>
          <w:szCs w:val="24"/>
        </w:rPr>
        <w:t xml:space="preserve"> </w:t>
      </w:r>
      <w:r w:rsidR="005D0292" w:rsidRPr="00AE1E0D">
        <w:rPr>
          <w:rFonts w:cs="Times New Roman"/>
          <w:szCs w:val="24"/>
        </w:rPr>
        <w:t>calibración</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medidores</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actividad</w:t>
      </w:r>
      <w:r w:rsidR="00D136BB">
        <w:rPr>
          <w:rFonts w:cs="Times New Roman"/>
          <w:szCs w:val="24"/>
        </w:rPr>
        <w:t xml:space="preserve"> </w:t>
      </w:r>
      <w:r w:rsidR="005D0292" w:rsidRPr="00AE1E0D">
        <w:rPr>
          <w:rFonts w:cs="Times New Roman"/>
          <w:szCs w:val="24"/>
        </w:rPr>
        <w:t>para</w:t>
      </w:r>
      <w:r w:rsidR="00D136BB">
        <w:rPr>
          <w:rFonts w:cs="Times New Roman"/>
          <w:szCs w:val="24"/>
        </w:rPr>
        <w:t xml:space="preserve"> </w:t>
      </w:r>
      <w:r w:rsidR="005D0292" w:rsidRPr="00AE1E0D">
        <w:rPr>
          <w:rFonts w:cs="Times New Roman"/>
          <w:szCs w:val="24"/>
        </w:rPr>
        <w:t>la</w:t>
      </w:r>
      <w:r w:rsidR="00D136BB">
        <w:rPr>
          <w:rFonts w:cs="Times New Roman"/>
          <w:szCs w:val="24"/>
        </w:rPr>
        <w:t xml:space="preserve"> </w:t>
      </w:r>
      <w:r w:rsidR="005D0292" w:rsidRPr="00AE1E0D">
        <w:rPr>
          <w:rFonts w:cs="Times New Roman"/>
          <w:szCs w:val="24"/>
        </w:rPr>
        <w:t>práctica</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medicina</w:t>
      </w:r>
      <w:r w:rsidR="00D136BB">
        <w:rPr>
          <w:rFonts w:cs="Times New Roman"/>
          <w:szCs w:val="24"/>
        </w:rPr>
        <w:t xml:space="preserve"> </w:t>
      </w:r>
      <w:r w:rsidR="005D0292" w:rsidRPr="00AE1E0D">
        <w:rPr>
          <w:rFonts w:cs="Times New Roman"/>
          <w:szCs w:val="24"/>
        </w:rPr>
        <w:t>nuclear.</w:t>
      </w:r>
    </w:p>
    <w:p w14:paraId="1D731B8C" w14:textId="1FC81051" w:rsidR="005D0292" w:rsidRPr="006454E8" w:rsidRDefault="001F7F3E" w:rsidP="001F7F3E">
      <w:pPr>
        <w:pStyle w:val="Heading3"/>
        <w:numPr>
          <w:ilvl w:val="0"/>
          <w:numId w:val="0"/>
        </w:numPr>
        <w:tabs>
          <w:tab w:val="clear" w:pos="851"/>
          <w:tab w:val="clear" w:pos="1134"/>
          <w:tab w:val="clear" w:pos="1429"/>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360" w:after="120"/>
        <w:rPr>
          <w:szCs w:val="24"/>
          <w:lang w:val="es-ES_tradnl"/>
        </w:rPr>
      </w:pPr>
      <w:r w:rsidRPr="006454E8">
        <w:rPr>
          <w:szCs w:val="24"/>
          <w:lang w:val="es-ES_tradnl"/>
        </w:rPr>
        <w:t>iv)</w:t>
      </w:r>
      <w:r w:rsidR="00D136BB">
        <w:rPr>
          <w:szCs w:val="24"/>
          <w:lang w:val="es-ES_tradnl"/>
        </w:rPr>
        <w:t xml:space="preserve"> </w:t>
      </w:r>
      <w:r w:rsidR="005D0292" w:rsidRPr="006454E8">
        <w:rPr>
          <w:szCs w:val="24"/>
          <w:lang w:val="es-ES_tradnl"/>
        </w:rPr>
        <w:t>Protección</w:t>
      </w:r>
      <w:r w:rsidR="00D136BB">
        <w:rPr>
          <w:szCs w:val="24"/>
          <w:lang w:val="es-ES_tradnl"/>
        </w:rPr>
        <w:t xml:space="preserve"> </w:t>
      </w:r>
      <w:r w:rsidR="005D0292" w:rsidRPr="006454E8">
        <w:rPr>
          <w:szCs w:val="24"/>
          <w:lang w:val="es-ES_tradnl"/>
        </w:rPr>
        <w:t>radiológica</w:t>
      </w:r>
      <w:r w:rsidR="00D136BB">
        <w:rPr>
          <w:szCs w:val="24"/>
          <w:lang w:val="es-ES_tradnl"/>
        </w:rPr>
        <w:t xml:space="preserve"> </w:t>
      </w:r>
      <w:r w:rsidR="005D0292" w:rsidRPr="006454E8">
        <w:rPr>
          <w:szCs w:val="24"/>
          <w:lang w:val="es-ES_tradnl"/>
        </w:rPr>
        <w:t>en</w:t>
      </w:r>
      <w:r w:rsidR="00D136BB">
        <w:rPr>
          <w:szCs w:val="24"/>
          <w:lang w:val="es-ES_tradnl"/>
        </w:rPr>
        <w:t xml:space="preserve"> </w:t>
      </w:r>
      <w:r w:rsidR="005D0292" w:rsidRPr="006454E8">
        <w:rPr>
          <w:szCs w:val="24"/>
          <w:lang w:val="es-ES_tradnl"/>
        </w:rPr>
        <w:t>medicina.</w:t>
      </w:r>
    </w:p>
    <w:p w14:paraId="63F499A8" w14:textId="5443EEFB" w:rsidR="005D0292" w:rsidRPr="00AE1E0D" w:rsidRDefault="005D0292" w:rsidP="005D0292">
      <w:pPr>
        <w:pStyle w:val="ListNumber"/>
        <w:rPr>
          <w:rFonts w:cs="Times New Roman"/>
          <w:szCs w:val="24"/>
        </w:rPr>
      </w:pP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ha</w:t>
      </w:r>
      <w:r w:rsidR="00D136BB">
        <w:rPr>
          <w:rFonts w:cs="Times New Roman"/>
          <w:szCs w:val="24"/>
        </w:rPr>
        <w:t xml:space="preserve"> </w:t>
      </w:r>
      <w:r w:rsidRPr="00AE1E0D">
        <w:rPr>
          <w:rFonts w:cs="Times New Roman"/>
          <w:szCs w:val="24"/>
        </w:rPr>
        <w:t>trabajado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desarrollo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una</w:t>
      </w:r>
      <w:r w:rsidR="00D136BB">
        <w:rPr>
          <w:rFonts w:cs="Times New Roman"/>
          <w:szCs w:val="24"/>
        </w:rPr>
        <w:t xml:space="preserve"> </w:t>
      </w:r>
      <w:r w:rsidRPr="00AE1E0D">
        <w:rPr>
          <w:rFonts w:cs="Times New Roman"/>
          <w:szCs w:val="24"/>
        </w:rPr>
        <w:t>guía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salud</w:t>
      </w:r>
      <w:r w:rsidR="00D136BB">
        <w:rPr>
          <w:rFonts w:cs="Times New Roman"/>
          <w:szCs w:val="24"/>
        </w:rPr>
        <w:t xml:space="preserve"> </w:t>
      </w:r>
      <w:r w:rsidRPr="00AE1E0D">
        <w:rPr>
          <w:rFonts w:cs="Times New Roman"/>
          <w:szCs w:val="24"/>
        </w:rPr>
        <w:t>específica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justificación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práctica</w:t>
      </w:r>
      <w:r w:rsidR="00D136BB">
        <w:rPr>
          <w:rFonts w:cs="Times New Roman"/>
          <w:szCs w:val="24"/>
        </w:rPr>
        <w:t xml:space="preserve"> </w:t>
      </w:r>
      <w:r w:rsidRPr="00AE1E0D">
        <w:rPr>
          <w:rFonts w:cs="Times New Roman"/>
          <w:szCs w:val="24"/>
        </w:rPr>
        <w:t>médica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prácticas,</w:t>
      </w:r>
      <w:r w:rsidR="00D136BB">
        <w:rPr>
          <w:rFonts w:cs="Times New Roman"/>
          <w:szCs w:val="24"/>
        </w:rPr>
        <w:t xml:space="preserve"> </w:t>
      </w:r>
      <w:r w:rsidRPr="00AE1E0D">
        <w:rPr>
          <w:rFonts w:cs="Times New Roman"/>
          <w:szCs w:val="24"/>
        </w:rPr>
        <w:t>sin</w:t>
      </w:r>
      <w:r w:rsidR="00D136BB">
        <w:rPr>
          <w:rFonts w:cs="Times New Roman"/>
          <w:szCs w:val="24"/>
        </w:rPr>
        <w:t xml:space="preserve"> </w:t>
      </w:r>
      <w:r w:rsidRPr="00AE1E0D">
        <w:rPr>
          <w:rFonts w:cs="Times New Roman"/>
          <w:szCs w:val="24"/>
        </w:rPr>
        <w:t>embargo,</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sociedades</w:t>
      </w:r>
      <w:r w:rsidR="00D136BB">
        <w:rPr>
          <w:rFonts w:cs="Times New Roman"/>
          <w:szCs w:val="24"/>
        </w:rPr>
        <w:t xml:space="preserve"> </w:t>
      </w:r>
      <w:r w:rsidRPr="00AE1E0D">
        <w:rPr>
          <w:rFonts w:cs="Times New Roman"/>
          <w:szCs w:val="24"/>
        </w:rPr>
        <w:t>médicas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instituciones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salud</w:t>
      </w:r>
      <w:r w:rsidR="00D136BB">
        <w:rPr>
          <w:rFonts w:cs="Times New Roman"/>
          <w:szCs w:val="24"/>
        </w:rPr>
        <w:t xml:space="preserve"> </w:t>
      </w:r>
      <w:r w:rsidRPr="00AE1E0D">
        <w:rPr>
          <w:rFonts w:cs="Times New Roman"/>
          <w:szCs w:val="24"/>
        </w:rPr>
        <w:t>aplican</w:t>
      </w:r>
      <w:r w:rsidR="00D136BB">
        <w:rPr>
          <w:rFonts w:cs="Times New Roman"/>
          <w:szCs w:val="24"/>
        </w:rPr>
        <w:t xml:space="preserve"> </w:t>
      </w:r>
      <w:r w:rsidRPr="00AE1E0D">
        <w:rPr>
          <w:rFonts w:cs="Times New Roman"/>
          <w:szCs w:val="24"/>
        </w:rPr>
        <w:t>adecuadamente</w:t>
      </w:r>
      <w:r w:rsidR="00D136BB">
        <w:rPr>
          <w:rFonts w:cs="Times New Roman"/>
          <w:szCs w:val="24"/>
        </w:rPr>
        <w:t xml:space="preserve"> </w:t>
      </w:r>
      <w:r w:rsidRPr="00AE1E0D">
        <w:rPr>
          <w:rFonts w:cs="Times New Roman"/>
          <w:szCs w:val="24"/>
        </w:rPr>
        <w:t>este</w:t>
      </w:r>
      <w:r w:rsidR="00D136BB">
        <w:rPr>
          <w:rFonts w:cs="Times New Roman"/>
          <w:szCs w:val="24"/>
        </w:rPr>
        <w:t xml:space="preserve"> </w:t>
      </w:r>
      <w:r w:rsidRPr="00AE1E0D">
        <w:rPr>
          <w:rFonts w:cs="Times New Roman"/>
          <w:szCs w:val="24"/>
        </w:rPr>
        <w:t>principio.</w:t>
      </w:r>
    </w:p>
    <w:p w14:paraId="39B7AD08" w14:textId="638DACA9" w:rsidR="005D0292" w:rsidRPr="00AE1E0D" w:rsidRDefault="005D0292" w:rsidP="005D0292">
      <w:pPr>
        <w:pStyle w:val="ListNumber"/>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algunos</w:t>
      </w:r>
      <w:r w:rsidR="00D136BB">
        <w:rPr>
          <w:rFonts w:cs="Times New Roman"/>
          <w:szCs w:val="24"/>
        </w:rPr>
        <w:t xml:space="preserve"> </w:t>
      </w:r>
      <w:r w:rsidRPr="00AE1E0D">
        <w:rPr>
          <w:rFonts w:cs="Times New Roman"/>
          <w:szCs w:val="24"/>
        </w:rPr>
        <w:t>casos.</w:t>
      </w:r>
    </w:p>
    <w:p w14:paraId="5675CE11" w14:textId="459AD577" w:rsidR="005D0292" w:rsidRPr="00AE1E0D" w:rsidRDefault="005D0292" w:rsidP="005D0292">
      <w:pPr>
        <w:pStyle w:val="ListNumber"/>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procesos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guías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optimización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paciente,</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prácticas</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especial</w:t>
      </w:r>
      <w:r w:rsidR="00D136BB">
        <w:rPr>
          <w:rFonts w:cs="Times New Roman"/>
          <w:szCs w:val="24"/>
        </w:rPr>
        <w:t xml:space="preserve"> </w:t>
      </w:r>
      <w:r w:rsidRPr="00AE1E0D">
        <w:rPr>
          <w:rFonts w:cs="Times New Roman"/>
          <w:szCs w:val="24"/>
        </w:rPr>
        <w:t>atención</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procedimientos</w:t>
      </w:r>
      <w:r w:rsidR="00D136BB">
        <w:rPr>
          <w:rFonts w:cs="Times New Roman"/>
          <w:szCs w:val="24"/>
        </w:rPr>
        <w:t xml:space="preserve"> </w:t>
      </w:r>
      <w:r w:rsidRPr="00AE1E0D">
        <w:rPr>
          <w:rFonts w:cs="Times New Roman"/>
          <w:szCs w:val="24"/>
        </w:rPr>
        <w:t>intervencionistas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fluoroscópicos.</w:t>
      </w:r>
    </w:p>
    <w:p w14:paraId="006F4AEE" w14:textId="443E4198" w:rsidR="005D0292" w:rsidRPr="00AE1E0D" w:rsidRDefault="005D0292" w:rsidP="005D0292">
      <w:pPr>
        <w:pStyle w:val="ListNumber"/>
        <w:rPr>
          <w:rFonts w:cs="Times New Roman"/>
          <w:szCs w:val="24"/>
        </w:rPr>
      </w:pPr>
      <w:r w:rsidRPr="00AE1E0D">
        <w:rPr>
          <w:rFonts w:cs="Times New Roman"/>
          <w:szCs w:val="24"/>
        </w:rPr>
        <w:lastRenderedPageBreak/>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estrategia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optimización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ocupacional</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medicina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acuerdo</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informe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N°</w:t>
      </w:r>
      <w:r w:rsidR="00D136BB">
        <w:rPr>
          <w:rFonts w:cs="Times New Roman"/>
          <w:szCs w:val="24"/>
        </w:rPr>
        <w:t xml:space="preserve"> </w:t>
      </w:r>
      <w:r w:rsidRPr="00AE1E0D">
        <w:rPr>
          <w:rFonts w:cs="Times New Roman"/>
          <w:szCs w:val="24"/>
        </w:rPr>
        <w:t>21.</w:t>
      </w:r>
    </w:p>
    <w:p w14:paraId="489A3D64" w14:textId="0BF48C1D" w:rsidR="005D0292" w:rsidRPr="00AE1E0D" w:rsidRDefault="005D0292" w:rsidP="005D0292">
      <w:pPr>
        <w:pStyle w:val="ListNumber"/>
        <w:rPr>
          <w:rFonts w:cs="Times New Roman"/>
          <w:szCs w:val="24"/>
        </w:rPr>
      </w:pPr>
      <w:r w:rsidRPr="00AE1E0D">
        <w:rPr>
          <w:rFonts w:cs="Times New Roman"/>
          <w:szCs w:val="24"/>
        </w:rPr>
        <w:t>La</w:t>
      </w:r>
      <w:r w:rsidR="00D136BB">
        <w:rPr>
          <w:rFonts w:cs="Times New Roman"/>
          <w:szCs w:val="24"/>
        </w:rPr>
        <w:t xml:space="preserve"> </w:t>
      </w:r>
      <w:r w:rsidRPr="00AE1E0D">
        <w:rPr>
          <w:rFonts w:cs="Times New Roman"/>
          <w:szCs w:val="24"/>
        </w:rPr>
        <w:t>promoción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fomento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Cultura</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realiza</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alcance</w:t>
      </w:r>
      <w:r w:rsidR="00D136BB">
        <w:rPr>
          <w:rFonts w:cs="Times New Roman"/>
          <w:szCs w:val="24"/>
        </w:rPr>
        <w:t xml:space="preserve"> </w:t>
      </w:r>
      <w:r w:rsidRPr="00AE1E0D">
        <w:rPr>
          <w:rFonts w:cs="Times New Roman"/>
          <w:szCs w:val="24"/>
        </w:rPr>
        <w:t>limitado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niveles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gerencia,</w:t>
      </w:r>
      <w:r w:rsidR="00D136BB">
        <w:rPr>
          <w:rFonts w:cs="Times New Roman"/>
          <w:szCs w:val="24"/>
        </w:rPr>
        <w:t xml:space="preserve"> </w:t>
      </w:r>
      <w:r w:rsidRPr="00AE1E0D">
        <w:rPr>
          <w:rFonts w:cs="Times New Roman"/>
          <w:szCs w:val="24"/>
        </w:rPr>
        <w:t>organizaciones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trabajadores.</w:t>
      </w:r>
    </w:p>
    <w:p w14:paraId="6031F042" w14:textId="586D07E1" w:rsidR="005D0292" w:rsidRPr="00AE1E0D" w:rsidRDefault="005D0292" w:rsidP="005D0292">
      <w:pPr>
        <w:pStyle w:val="ListNumber"/>
        <w:rPr>
          <w:rFonts w:cs="Times New Roman"/>
          <w:szCs w:val="24"/>
        </w:rPr>
      </w:pP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están</w:t>
      </w:r>
      <w:r w:rsidR="00D136BB">
        <w:rPr>
          <w:rFonts w:cs="Times New Roman"/>
          <w:szCs w:val="24"/>
        </w:rPr>
        <w:t xml:space="preserve"> </w:t>
      </w:r>
      <w:r w:rsidRPr="00AE1E0D">
        <w:rPr>
          <w:rFonts w:cs="Times New Roman"/>
          <w:szCs w:val="24"/>
        </w:rPr>
        <w:t>incorporando</w:t>
      </w:r>
      <w:r w:rsidR="00D136BB">
        <w:rPr>
          <w:rFonts w:cs="Times New Roman"/>
          <w:szCs w:val="24"/>
        </w:rPr>
        <w:t xml:space="preserve"> </w:t>
      </w:r>
      <w:r w:rsidRPr="00AE1E0D">
        <w:rPr>
          <w:rFonts w:cs="Times New Roman"/>
          <w:szCs w:val="24"/>
        </w:rPr>
        <w:t>tecnologías</w:t>
      </w:r>
      <w:r w:rsidR="00D136BB">
        <w:rPr>
          <w:rFonts w:cs="Times New Roman"/>
          <w:szCs w:val="24"/>
        </w:rPr>
        <w:t xml:space="preserve"> </w:t>
      </w:r>
      <w:r w:rsidRPr="00AE1E0D">
        <w:rPr>
          <w:rFonts w:cs="Times New Roman"/>
          <w:szCs w:val="24"/>
        </w:rPr>
        <w:t>avanzadas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radioterapia</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requieren</w:t>
      </w:r>
      <w:r w:rsidR="00D136BB">
        <w:rPr>
          <w:rFonts w:cs="Times New Roman"/>
          <w:szCs w:val="24"/>
        </w:rPr>
        <w:t xml:space="preserve"> </w:t>
      </w:r>
      <w:r w:rsidRPr="00AE1E0D">
        <w:rPr>
          <w:rFonts w:cs="Times New Roman"/>
          <w:szCs w:val="24"/>
        </w:rPr>
        <w:t>una</w:t>
      </w:r>
      <w:r w:rsidR="00D136BB">
        <w:rPr>
          <w:rFonts w:cs="Times New Roman"/>
          <w:szCs w:val="24"/>
        </w:rPr>
        <w:t xml:space="preserve"> </w:t>
      </w:r>
      <w:r w:rsidRPr="00AE1E0D">
        <w:rPr>
          <w:rFonts w:cs="Times New Roman"/>
          <w:szCs w:val="24"/>
        </w:rPr>
        <w:t>adecuación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medidas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p>
    <w:p w14:paraId="76DAEB7D" w14:textId="45C52F15" w:rsidR="005D0292" w:rsidRPr="00AE1E0D" w:rsidRDefault="005D0292" w:rsidP="005D0292">
      <w:pPr>
        <w:pStyle w:val="ListNumber"/>
        <w:rPr>
          <w:rFonts w:cs="Times New Roman"/>
          <w:szCs w:val="24"/>
        </w:rPr>
      </w:pPr>
      <w:r w:rsidRPr="00AE1E0D">
        <w:rPr>
          <w:rFonts w:cs="Times New Roman"/>
          <w:szCs w:val="24"/>
        </w:rPr>
        <w:t>Insuficiente</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promoción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reporte</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aprendizaje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incidentes.</w:t>
      </w:r>
    </w:p>
    <w:p w14:paraId="4789209B" w14:textId="7B818C4C" w:rsidR="005D0292" w:rsidRPr="00AE1E0D" w:rsidRDefault="005D0292" w:rsidP="005D0292">
      <w:pPr>
        <w:pStyle w:val="ListNumber"/>
        <w:rPr>
          <w:rFonts w:cs="Times New Roman"/>
          <w:szCs w:val="24"/>
        </w:rPr>
      </w:pPr>
      <w:r w:rsidRPr="00AE1E0D">
        <w:rPr>
          <w:rFonts w:cs="Times New Roman"/>
          <w:szCs w:val="24"/>
        </w:rPr>
        <w:t>Insuficiente</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nivel</w:t>
      </w:r>
      <w:r w:rsidR="00D136BB">
        <w:rPr>
          <w:rFonts w:cs="Times New Roman"/>
          <w:szCs w:val="24"/>
        </w:rPr>
        <w:t xml:space="preserve"> </w:t>
      </w:r>
      <w:r w:rsidRPr="00AE1E0D">
        <w:rPr>
          <w:rFonts w:cs="Times New Roman"/>
          <w:szCs w:val="24"/>
        </w:rPr>
        <w:t>regional</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nacional</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niveles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referencia</w:t>
      </w:r>
      <w:r w:rsidR="00D136BB">
        <w:rPr>
          <w:rFonts w:cs="Times New Roman"/>
          <w:szCs w:val="24"/>
        </w:rPr>
        <w:t xml:space="preserve"> </w:t>
      </w:r>
      <w:r w:rsidRPr="00AE1E0D">
        <w:rPr>
          <w:rFonts w:cs="Times New Roman"/>
          <w:szCs w:val="24"/>
        </w:rPr>
        <w:t>diagnósticos.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mayoría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instituciones</w:t>
      </w:r>
      <w:r w:rsidR="00D136BB">
        <w:rPr>
          <w:rFonts w:cs="Times New Roman"/>
          <w:szCs w:val="24"/>
        </w:rPr>
        <w:t xml:space="preserve"> </w:t>
      </w:r>
      <w:r w:rsidRPr="00AE1E0D">
        <w:rPr>
          <w:rFonts w:cs="Times New Roman"/>
          <w:szCs w:val="24"/>
        </w:rPr>
        <w:t>médicas</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registra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dosis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estudios</w:t>
      </w:r>
      <w:r w:rsidR="00D136BB">
        <w:rPr>
          <w:rFonts w:cs="Times New Roman"/>
          <w:szCs w:val="24"/>
        </w:rPr>
        <w:t xml:space="preserve"> </w:t>
      </w:r>
      <w:r w:rsidRPr="00AE1E0D">
        <w:rPr>
          <w:rFonts w:cs="Times New Roman"/>
          <w:szCs w:val="24"/>
        </w:rPr>
        <w:t>médicos.</w:t>
      </w:r>
    </w:p>
    <w:p w14:paraId="72B4C06F" w14:textId="0C2CA9DC" w:rsidR="005D0292" w:rsidRPr="00AE1E0D" w:rsidRDefault="005D0292" w:rsidP="005D0292">
      <w:pPr>
        <w:pStyle w:val="ListNumber"/>
        <w:rPr>
          <w:rFonts w:cs="Times New Roman"/>
          <w:szCs w:val="24"/>
        </w:rPr>
      </w:pPr>
      <w:r w:rsidRPr="00AE1E0D">
        <w:rPr>
          <w:rFonts w:cs="Times New Roman"/>
          <w:szCs w:val="24"/>
        </w:rPr>
        <w:t>Existe</w:t>
      </w:r>
      <w:r w:rsidR="00D136BB">
        <w:rPr>
          <w:rFonts w:cs="Times New Roman"/>
          <w:szCs w:val="24"/>
        </w:rPr>
        <w:t xml:space="preserve"> </w:t>
      </w:r>
      <w:r w:rsidRPr="00AE1E0D">
        <w:rPr>
          <w:rFonts w:cs="Times New Roman"/>
          <w:szCs w:val="24"/>
        </w:rPr>
        <w:t>insuficiente</w:t>
      </w:r>
      <w:r w:rsidR="00D136BB">
        <w:rPr>
          <w:rFonts w:cs="Times New Roman"/>
          <w:szCs w:val="24"/>
        </w:rPr>
        <w:t xml:space="preserve"> </w:t>
      </w:r>
      <w:r w:rsidRPr="00AE1E0D">
        <w:rPr>
          <w:rFonts w:cs="Times New Roman"/>
          <w:szCs w:val="24"/>
        </w:rPr>
        <w:t>capacitación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optimización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mayoría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prácticas,</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énfasis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nuevas</w:t>
      </w:r>
      <w:r w:rsidR="00D136BB">
        <w:rPr>
          <w:rFonts w:cs="Times New Roman"/>
          <w:szCs w:val="24"/>
        </w:rPr>
        <w:t xml:space="preserve"> </w:t>
      </w:r>
      <w:r w:rsidRPr="00AE1E0D">
        <w:rPr>
          <w:rFonts w:cs="Times New Roman"/>
          <w:szCs w:val="24"/>
        </w:rPr>
        <w:t>tecnologías</w:t>
      </w:r>
      <w:r w:rsidR="00D136BB">
        <w:rPr>
          <w:rFonts w:cs="Times New Roman"/>
          <w:szCs w:val="24"/>
        </w:rPr>
        <w:t xml:space="preserve"> </w:t>
      </w:r>
      <w:r w:rsidRPr="00AE1E0D">
        <w:rPr>
          <w:rFonts w:cs="Times New Roman"/>
          <w:szCs w:val="24"/>
        </w:rPr>
        <w:t>(técnicas</w:t>
      </w:r>
      <w:r w:rsidR="00D136BB">
        <w:rPr>
          <w:rFonts w:cs="Times New Roman"/>
          <w:szCs w:val="24"/>
        </w:rPr>
        <w:t xml:space="preserve"> </w:t>
      </w:r>
      <w:r w:rsidRPr="00AE1E0D">
        <w:rPr>
          <w:rFonts w:cs="Times New Roman"/>
          <w:szCs w:val="24"/>
        </w:rPr>
        <w:t>digitales,</w:t>
      </w:r>
      <w:r w:rsidR="00D136BB">
        <w:rPr>
          <w:rFonts w:cs="Times New Roman"/>
          <w:szCs w:val="24"/>
        </w:rPr>
        <w:t xml:space="preserve"> </w:t>
      </w:r>
      <w:r w:rsidRPr="00AE1E0D">
        <w:rPr>
          <w:rFonts w:cs="Times New Roman"/>
          <w:szCs w:val="24"/>
        </w:rPr>
        <w:t>tomosíntesis,</w:t>
      </w:r>
      <w:r w:rsidR="00D136BB">
        <w:rPr>
          <w:rFonts w:cs="Times New Roman"/>
          <w:szCs w:val="24"/>
        </w:rPr>
        <w:t xml:space="preserve"> </w:t>
      </w:r>
      <w:r w:rsidRPr="00AE1E0D">
        <w:rPr>
          <w:rFonts w:cs="Times New Roman"/>
          <w:szCs w:val="24"/>
        </w:rPr>
        <w:t>CBCT</w:t>
      </w:r>
      <w:r w:rsidR="00D136BB">
        <w:rPr>
          <w:rFonts w:cs="Times New Roman"/>
          <w:szCs w:val="24"/>
        </w:rPr>
        <w:t xml:space="preserve"> </w:t>
      </w:r>
      <w:r w:rsidRPr="00AE1E0D">
        <w:rPr>
          <w:rFonts w:cs="Times New Roman"/>
          <w:szCs w:val="24"/>
        </w:rPr>
        <w:t>odontológico,</w:t>
      </w:r>
      <w:r w:rsidR="00D136BB">
        <w:rPr>
          <w:rFonts w:cs="Times New Roman"/>
          <w:szCs w:val="24"/>
        </w:rPr>
        <w:t xml:space="preserve"> </w:t>
      </w:r>
      <w:r w:rsidRPr="00AE1E0D">
        <w:rPr>
          <w:rFonts w:cs="Times New Roman"/>
          <w:szCs w:val="24"/>
        </w:rPr>
        <w:t>tomografía</w:t>
      </w:r>
      <w:r w:rsidR="00D136BB">
        <w:rPr>
          <w:rFonts w:cs="Times New Roman"/>
          <w:szCs w:val="24"/>
        </w:rPr>
        <w:t xml:space="preserve"> </w:t>
      </w:r>
      <w:r w:rsidRPr="00AE1E0D">
        <w:rPr>
          <w:rFonts w:cs="Times New Roman"/>
          <w:szCs w:val="24"/>
        </w:rPr>
        <w:t>computada</w:t>
      </w:r>
      <w:r w:rsidR="00D136BB">
        <w:rPr>
          <w:rFonts w:cs="Times New Roman"/>
          <w:szCs w:val="24"/>
        </w:rPr>
        <w:t xml:space="preserve"> </w:t>
      </w:r>
      <w:r w:rsidRPr="00AE1E0D">
        <w:rPr>
          <w:rFonts w:cs="Times New Roman"/>
          <w:szCs w:val="24"/>
        </w:rPr>
        <w:t>multicortes,</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híbridos</w:t>
      </w:r>
      <w:r w:rsidR="00D136BB">
        <w:rPr>
          <w:rFonts w:cs="Times New Roman"/>
          <w:szCs w:val="24"/>
        </w:rPr>
        <w:t xml:space="preserve"> </w:t>
      </w:r>
      <w:r w:rsidRPr="00AE1E0D">
        <w:rPr>
          <w:rFonts w:cs="Times New Roman"/>
          <w:szCs w:val="24"/>
        </w:rPr>
        <w:t>SPECT/CT</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PET/CT).</w:t>
      </w:r>
    </w:p>
    <w:p w14:paraId="1B475245" w14:textId="07611838" w:rsidR="005D0292" w:rsidRPr="00AE1E0D" w:rsidRDefault="005D0292" w:rsidP="005D0292">
      <w:pPr>
        <w:pStyle w:val="ListNumber"/>
        <w:rPr>
          <w:rFonts w:cs="Times New Roman"/>
          <w:szCs w:val="24"/>
          <w:lang w:val="es-ES"/>
        </w:rPr>
      </w:pPr>
      <w:r w:rsidRPr="00AE1E0D">
        <w:rPr>
          <w:rFonts w:cs="Times New Roman"/>
          <w:szCs w:val="24"/>
        </w:rPr>
        <w:t>Hay,</w:t>
      </w:r>
      <w:r w:rsidR="00D136BB">
        <w:rPr>
          <w:rFonts w:cs="Times New Roman"/>
          <w:szCs w:val="24"/>
        </w:rPr>
        <w:t xml:space="preserve"> </w:t>
      </w:r>
      <w:r w:rsidRPr="00AE1E0D">
        <w:rPr>
          <w:rFonts w:cs="Times New Roman"/>
          <w:szCs w:val="24"/>
        </w:rPr>
        <w:t>asimismo,</w:t>
      </w:r>
      <w:r w:rsidR="00D136BB">
        <w:rPr>
          <w:rFonts w:cs="Times New Roman"/>
          <w:szCs w:val="24"/>
        </w:rPr>
        <w:t xml:space="preserve"> </w:t>
      </w:r>
      <w:r w:rsidRPr="00AE1E0D">
        <w:rPr>
          <w:rFonts w:cs="Times New Roman"/>
          <w:szCs w:val="24"/>
        </w:rPr>
        <w:t>insuficiente</w:t>
      </w:r>
      <w:r w:rsidR="00D136BB">
        <w:rPr>
          <w:rFonts w:cs="Times New Roman"/>
          <w:szCs w:val="24"/>
        </w:rPr>
        <w:t xml:space="preserve"> </w:t>
      </w:r>
      <w:r w:rsidRPr="00AE1E0D">
        <w:rPr>
          <w:rFonts w:cs="Times New Roman"/>
          <w:szCs w:val="24"/>
        </w:rPr>
        <w:t>capacitación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personal</w:t>
      </w:r>
      <w:r w:rsidR="00D136BB">
        <w:rPr>
          <w:rFonts w:cs="Times New Roman"/>
          <w:szCs w:val="24"/>
        </w:rPr>
        <w:t xml:space="preserve"> </w:t>
      </w:r>
      <w:r w:rsidRPr="00AE1E0D">
        <w:rPr>
          <w:rFonts w:cs="Times New Roman"/>
          <w:szCs w:val="24"/>
        </w:rPr>
        <w:t>médico</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paramédico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atención</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niños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embarazadas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especialidades</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mayor</w:t>
      </w:r>
      <w:r w:rsidR="00D136BB">
        <w:rPr>
          <w:rFonts w:cs="Times New Roman"/>
          <w:szCs w:val="24"/>
          <w:lang w:val="es-ES"/>
        </w:rPr>
        <w:t xml:space="preserve"> </w:t>
      </w:r>
      <w:r w:rsidRPr="00AE1E0D">
        <w:rPr>
          <w:rFonts w:cs="Times New Roman"/>
          <w:szCs w:val="24"/>
          <w:lang w:val="es-ES"/>
        </w:rPr>
        <w:t>riesgo</w:t>
      </w:r>
      <w:r w:rsidR="00D136BB">
        <w:rPr>
          <w:rFonts w:cs="Times New Roman"/>
          <w:szCs w:val="24"/>
          <w:lang w:val="es-ES"/>
        </w:rPr>
        <w:t xml:space="preserve"> </w:t>
      </w:r>
      <w:r w:rsidRPr="00AE1E0D">
        <w:rPr>
          <w:rFonts w:cs="Times New Roman"/>
          <w:szCs w:val="24"/>
          <w:lang w:val="es-ES"/>
        </w:rPr>
        <w:t>radiológico,</w:t>
      </w:r>
      <w:r w:rsidR="00D136BB">
        <w:rPr>
          <w:rFonts w:cs="Times New Roman"/>
          <w:szCs w:val="24"/>
          <w:lang w:val="es-ES"/>
        </w:rPr>
        <w:t xml:space="preserve"> </w:t>
      </w:r>
      <w:r w:rsidRPr="00AE1E0D">
        <w:rPr>
          <w:rFonts w:cs="Times New Roman"/>
          <w:szCs w:val="24"/>
          <w:lang w:val="es-ES"/>
        </w:rPr>
        <w:t>tales</w:t>
      </w:r>
      <w:r w:rsidR="00D136BB">
        <w:rPr>
          <w:rFonts w:cs="Times New Roman"/>
          <w:szCs w:val="24"/>
          <w:lang w:val="es-ES"/>
        </w:rPr>
        <w:t xml:space="preserve"> </w:t>
      </w:r>
      <w:r w:rsidRPr="00AE1E0D">
        <w:rPr>
          <w:rFonts w:cs="Times New Roman"/>
          <w:szCs w:val="24"/>
          <w:lang w:val="es-ES"/>
        </w:rPr>
        <w:t>como</w:t>
      </w:r>
      <w:r w:rsidR="00D136BB">
        <w:rPr>
          <w:rFonts w:cs="Times New Roman"/>
          <w:szCs w:val="24"/>
          <w:lang w:val="es-ES"/>
        </w:rPr>
        <w:t xml:space="preserve"> </w:t>
      </w:r>
      <w:r w:rsidRPr="00AE1E0D">
        <w:rPr>
          <w:rFonts w:cs="Times New Roman"/>
          <w:szCs w:val="24"/>
          <w:lang w:val="es-ES"/>
        </w:rPr>
        <w:t>radioterapia</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procedimientos</w:t>
      </w:r>
      <w:r w:rsidR="00D136BB">
        <w:rPr>
          <w:rFonts w:cs="Times New Roman"/>
          <w:szCs w:val="24"/>
          <w:lang w:val="es-ES"/>
        </w:rPr>
        <w:t xml:space="preserve"> </w:t>
      </w:r>
      <w:r w:rsidRPr="00AE1E0D">
        <w:rPr>
          <w:rFonts w:cs="Times New Roman"/>
          <w:szCs w:val="24"/>
          <w:lang w:val="es-ES"/>
        </w:rPr>
        <w:t>intervencionistas.</w:t>
      </w:r>
    </w:p>
    <w:p w14:paraId="1A2BE2EE" w14:textId="1E5A2614" w:rsidR="005D0292" w:rsidRPr="006454E8" w:rsidRDefault="001F7F3E" w:rsidP="001F7F3E">
      <w:pPr>
        <w:pStyle w:val="Heading3"/>
        <w:numPr>
          <w:ilvl w:val="0"/>
          <w:numId w:val="0"/>
        </w:numPr>
        <w:tabs>
          <w:tab w:val="clear" w:pos="851"/>
          <w:tab w:val="clear" w:pos="1134"/>
          <w:tab w:val="clear" w:pos="1429"/>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360" w:after="120"/>
        <w:rPr>
          <w:szCs w:val="24"/>
          <w:lang w:val="es-ES_tradnl"/>
        </w:rPr>
      </w:pPr>
      <w:r w:rsidRPr="006454E8">
        <w:rPr>
          <w:szCs w:val="24"/>
          <w:lang w:val="es-ES_tradnl"/>
        </w:rPr>
        <w:t>v)</w:t>
      </w:r>
      <w:r w:rsidR="00D136BB">
        <w:rPr>
          <w:szCs w:val="24"/>
          <w:lang w:val="es-ES_tradnl"/>
        </w:rPr>
        <w:t xml:space="preserve"> </w:t>
      </w:r>
      <w:r w:rsidR="005D0292" w:rsidRPr="006454E8">
        <w:rPr>
          <w:szCs w:val="24"/>
          <w:lang w:val="es-ES_tradnl"/>
        </w:rPr>
        <w:t>Protección</w:t>
      </w:r>
      <w:r w:rsidR="00D136BB">
        <w:rPr>
          <w:szCs w:val="24"/>
          <w:lang w:val="es-ES_tradnl"/>
        </w:rPr>
        <w:t xml:space="preserve"> </w:t>
      </w:r>
      <w:r w:rsidR="005D0292" w:rsidRPr="006454E8">
        <w:rPr>
          <w:szCs w:val="24"/>
          <w:lang w:val="es-ES_tradnl"/>
        </w:rPr>
        <w:t>radiológica</w:t>
      </w:r>
      <w:r w:rsidR="00D136BB">
        <w:rPr>
          <w:szCs w:val="24"/>
          <w:lang w:val="es-ES_tradnl"/>
        </w:rPr>
        <w:t xml:space="preserve"> </w:t>
      </w:r>
      <w:r w:rsidR="005D0292" w:rsidRPr="006454E8">
        <w:rPr>
          <w:szCs w:val="24"/>
          <w:lang w:val="es-ES_tradnl"/>
        </w:rPr>
        <w:t>del</w:t>
      </w:r>
      <w:r w:rsidR="00D136BB">
        <w:rPr>
          <w:szCs w:val="24"/>
          <w:lang w:val="es-ES_tradnl"/>
        </w:rPr>
        <w:t xml:space="preserve"> </w:t>
      </w:r>
      <w:r w:rsidR="005D0292" w:rsidRPr="006454E8">
        <w:rPr>
          <w:szCs w:val="24"/>
          <w:lang w:val="es-ES_tradnl"/>
        </w:rPr>
        <w:t>público,</w:t>
      </w:r>
      <w:r w:rsidR="00D136BB">
        <w:rPr>
          <w:szCs w:val="24"/>
          <w:lang w:val="es-ES_tradnl"/>
        </w:rPr>
        <w:t xml:space="preserve"> </w:t>
      </w:r>
      <w:r w:rsidR="005D0292" w:rsidRPr="006454E8">
        <w:rPr>
          <w:szCs w:val="24"/>
          <w:lang w:val="es-ES_tradnl"/>
        </w:rPr>
        <w:t>del</w:t>
      </w:r>
      <w:r w:rsidR="00D136BB">
        <w:rPr>
          <w:szCs w:val="24"/>
          <w:lang w:val="es-ES_tradnl"/>
        </w:rPr>
        <w:t xml:space="preserve"> </w:t>
      </w:r>
      <w:r w:rsidR="005D0292" w:rsidRPr="006454E8">
        <w:rPr>
          <w:szCs w:val="24"/>
          <w:lang w:val="es-ES_tradnl"/>
        </w:rPr>
        <w:t>ambiente</w:t>
      </w:r>
      <w:r w:rsidR="00D136BB">
        <w:rPr>
          <w:szCs w:val="24"/>
          <w:lang w:val="es-ES_tradnl"/>
        </w:rPr>
        <w:t xml:space="preserve"> </w:t>
      </w:r>
      <w:r w:rsidR="005D0292" w:rsidRPr="006454E8">
        <w:rPr>
          <w:szCs w:val="24"/>
          <w:lang w:val="es-ES_tradnl"/>
        </w:rPr>
        <w:t>y</w:t>
      </w:r>
      <w:r w:rsidR="00D136BB">
        <w:rPr>
          <w:szCs w:val="24"/>
          <w:lang w:val="es-ES_tradnl"/>
        </w:rPr>
        <w:t xml:space="preserve"> </w:t>
      </w:r>
      <w:r w:rsidR="005D0292" w:rsidRPr="006454E8">
        <w:rPr>
          <w:szCs w:val="24"/>
          <w:lang w:val="es-ES_tradnl"/>
        </w:rPr>
        <w:t>en</w:t>
      </w:r>
      <w:r w:rsidR="00D136BB">
        <w:rPr>
          <w:szCs w:val="24"/>
          <w:lang w:val="es-ES_tradnl"/>
        </w:rPr>
        <w:t xml:space="preserve"> </w:t>
      </w:r>
      <w:r w:rsidR="005D0292" w:rsidRPr="006454E8">
        <w:rPr>
          <w:szCs w:val="24"/>
          <w:lang w:val="es-ES_tradnl"/>
        </w:rPr>
        <w:t>la</w:t>
      </w:r>
      <w:r w:rsidR="00D136BB">
        <w:rPr>
          <w:szCs w:val="24"/>
          <w:lang w:val="es-ES_tradnl"/>
        </w:rPr>
        <w:t xml:space="preserve"> </w:t>
      </w:r>
      <w:r w:rsidR="005D0292" w:rsidRPr="006454E8">
        <w:rPr>
          <w:szCs w:val="24"/>
          <w:lang w:val="es-ES_tradnl"/>
        </w:rPr>
        <w:t>gestión</w:t>
      </w:r>
      <w:r w:rsidR="00D136BB">
        <w:rPr>
          <w:szCs w:val="24"/>
          <w:lang w:val="es-ES_tradnl"/>
        </w:rPr>
        <w:t xml:space="preserve"> </w:t>
      </w:r>
      <w:r w:rsidR="005D0292" w:rsidRPr="006454E8">
        <w:rPr>
          <w:szCs w:val="24"/>
          <w:lang w:val="es-ES_tradnl"/>
        </w:rPr>
        <w:t>de</w:t>
      </w:r>
      <w:r w:rsidR="00D136BB">
        <w:rPr>
          <w:szCs w:val="24"/>
          <w:lang w:val="es-ES_tradnl"/>
        </w:rPr>
        <w:t xml:space="preserve"> </w:t>
      </w:r>
      <w:r w:rsidR="005D0292" w:rsidRPr="006454E8">
        <w:rPr>
          <w:szCs w:val="24"/>
          <w:lang w:val="es-ES_tradnl"/>
        </w:rPr>
        <w:t>desechos</w:t>
      </w:r>
      <w:r w:rsidR="00D136BB">
        <w:rPr>
          <w:szCs w:val="24"/>
          <w:lang w:val="es-ES_tradnl"/>
        </w:rPr>
        <w:t xml:space="preserve"> </w:t>
      </w:r>
      <w:r w:rsidR="005D0292" w:rsidRPr="006454E8">
        <w:rPr>
          <w:szCs w:val="24"/>
          <w:lang w:val="es-ES_tradnl"/>
        </w:rPr>
        <w:t>radiactivos.</w:t>
      </w:r>
    </w:p>
    <w:p w14:paraId="20AD9157" w14:textId="52706DE1" w:rsidR="005D0292" w:rsidRPr="00AE1E0D" w:rsidRDefault="005D0292" w:rsidP="005D0292">
      <w:pPr>
        <w:pStyle w:val="ListNumber"/>
        <w:rPr>
          <w:rFonts w:cs="Times New Roman"/>
          <w:szCs w:val="24"/>
          <w:lang w:val="es-ES"/>
        </w:rPr>
      </w:pPr>
      <w:r w:rsidRPr="00AE1E0D">
        <w:rPr>
          <w:rFonts w:cs="Times New Roman"/>
          <w:szCs w:val="24"/>
          <w:lang w:val="es-ES"/>
        </w:rPr>
        <w:t>Aun</w:t>
      </w:r>
      <w:r w:rsidR="00D136BB">
        <w:rPr>
          <w:rFonts w:cs="Times New Roman"/>
          <w:szCs w:val="24"/>
          <w:lang w:val="es-ES"/>
        </w:rPr>
        <w:t xml:space="preserve"> </w:t>
      </w:r>
      <w:r w:rsidRPr="00AE1E0D">
        <w:rPr>
          <w:rFonts w:cs="Times New Roman"/>
          <w:szCs w:val="24"/>
          <w:lang w:val="es-ES"/>
        </w:rPr>
        <w:t>cuando</w:t>
      </w:r>
      <w:r w:rsidR="00D136BB">
        <w:rPr>
          <w:rFonts w:cs="Times New Roman"/>
          <w:szCs w:val="24"/>
          <w:lang w:val="es-ES"/>
        </w:rPr>
        <w:t xml:space="preserve"> </w:t>
      </w:r>
      <w:r w:rsidRPr="00AE1E0D">
        <w:rPr>
          <w:rFonts w:cs="Times New Roman"/>
          <w:szCs w:val="24"/>
          <w:lang w:val="es-ES"/>
        </w:rPr>
        <w:t>se</w:t>
      </w:r>
      <w:r w:rsidR="00D136BB">
        <w:rPr>
          <w:rFonts w:cs="Times New Roman"/>
          <w:szCs w:val="24"/>
          <w:lang w:val="es-ES"/>
        </w:rPr>
        <w:t xml:space="preserve"> </w:t>
      </w:r>
      <w:r w:rsidRPr="00AE1E0D">
        <w:rPr>
          <w:rFonts w:cs="Times New Roman"/>
          <w:szCs w:val="24"/>
          <w:lang w:val="es-ES"/>
        </w:rPr>
        <w:t>han</w:t>
      </w:r>
      <w:r w:rsidR="00D136BB">
        <w:rPr>
          <w:rFonts w:cs="Times New Roman"/>
          <w:szCs w:val="24"/>
          <w:lang w:val="es-ES"/>
        </w:rPr>
        <w:t xml:space="preserve"> </w:t>
      </w:r>
      <w:r w:rsidRPr="00AE1E0D">
        <w:rPr>
          <w:rFonts w:cs="Times New Roman"/>
          <w:szCs w:val="24"/>
          <w:lang w:val="es-ES"/>
        </w:rPr>
        <w:t>implementado</w:t>
      </w:r>
      <w:r w:rsidR="00D136BB">
        <w:rPr>
          <w:rFonts w:cs="Times New Roman"/>
          <w:szCs w:val="24"/>
          <w:lang w:val="es-ES"/>
        </w:rPr>
        <w:t xml:space="preserve"> </w:t>
      </w:r>
      <w:r w:rsidRPr="00AE1E0D">
        <w:rPr>
          <w:rFonts w:cs="Times New Roman"/>
          <w:szCs w:val="24"/>
          <w:lang w:val="es-ES"/>
        </w:rPr>
        <w:t>medidas</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aumentar</w:t>
      </w:r>
      <w:r w:rsidR="00D136BB">
        <w:rPr>
          <w:rFonts w:cs="Times New Roman"/>
          <w:szCs w:val="24"/>
          <w:lang w:val="es-ES"/>
        </w:rPr>
        <w:t xml:space="preserve"> </w:t>
      </w:r>
      <w:r w:rsidRPr="00AE1E0D">
        <w:rPr>
          <w:rFonts w:cs="Times New Roman"/>
          <w:szCs w:val="24"/>
        </w:rPr>
        <w:t>la</w:t>
      </w:r>
      <w:r w:rsidR="00D136BB">
        <w:rPr>
          <w:rFonts w:cs="Times New Roman"/>
          <w:szCs w:val="24"/>
        </w:rPr>
        <w:t xml:space="preserve"> </w:t>
      </w:r>
      <w:r w:rsidRPr="00AE1E0D">
        <w:rPr>
          <w:rFonts w:cs="Times New Roman"/>
          <w:szCs w:val="24"/>
        </w:rPr>
        <w:t>capacidad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detección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acciones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oportunas</w:t>
      </w:r>
      <w:r w:rsidRPr="00AE1E0D">
        <w:rPr>
          <w:rFonts w:cs="Times New Roman"/>
          <w:szCs w:val="24"/>
          <w:lang w:val="es-ES"/>
        </w:rPr>
        <w:t>,</w:t>
      </w:r>
      <w:r w:rsidR="00D136BB">
        <w:rPr>
          <w:rFonts w:cs="Times New Roman"/>
          <w:szCs w:val="24"/>
          <w:lang w:val="es-ES"/>
        </w:rPr>
        <w:t xml:space="preserve"> </w:t>
      </w:r>
      <w:r w:rsidRPr="00AE1E0D">
        <w:rPr>
          <w:rFonts w:cs="Times New Roman"/>
          <w:szCs w:val="24"/>
          <w:lang w:val="es-ES"/>
        </w:rPr>
        <w:t>continúa</w:t>
      </w:r>
      <w:r w:rsidR="00D136BB">
        <w:rPr>
          <w:rFonts w:cs="Times New Roman"/>
          <w:szCs w:val="24"/>
          <w:lang w:val="es-ES"/>
        </w:rPr>
        <w:t xml:space="preserve"> </w:t>
      </w:r>
      <w:r w:rsidRPr="00AE1E0D">
        <w:rPr>
          <w:rFonts w:cs="Times New Roman"/>
          <w:szCs w:val="24"/>
          <w:lang w:val="es-ES"/>
        </w:rPr>
        <w:t>observándose</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aparición</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fuentes</w:t>
      </w:r>
      <w:r w:rsidR="00D136BB">
        <w:rPr>
          <w:rFonts w:cs="Times New Roman"/>
          <w:szCs w:val="24"/>
          <w:lang w:val="es-ES"/>
        </w:rPr>
        <w:t xml:space="preserve"> </w:t>
      </w:r>
      <w:r w:rsidRPr="00AE1E0D">
        <w:rPr>
          <w:rFonts w:cs="Times New Roman"/>
          <w:szCs w:val="24"/>
          <w:lang w:val="es-ES"/>
        </w:rPr>
        <w:t>huérfanas</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materiales</w:t>
      </w:r>
      <w:r w:rsidR="00D136BB">
        <w:rPr>
          <w:rFonts w:cs="Times New Roman"/>
          <w:szCs w:val="24"/>
          <w:lang w:val="es-ES"/>
        </w:rPr>
        <w:t xml:space="preserve"> </w:t>
      </w:r>
      <w:r w:rsidRPr="00AE1E0D">
        <w:rPr>
          <w:rFonts w:cs="Times New Roman"/>
          <w:szCs w:val="24"/>
          <w:lang w:val="es-ES"/>
        </w:rPr>
        <w:t>a</w:t>
      </w:r>
      <w:r w:rsidR="00D136BB">
        <w:rPr>
          <w:rFonts w:cs="Times New Roman"/>
          <w:szCs w:val="24"/>
          <w:lang w:val="es-ES"/>
        </w:rPr>
        <w:t xml:space="preserve"> </w:t>
      </w:r>
      <w:r w:rsidRPr="00AE1E0D">
        <w:rPr>
          <w:rFonts w:cs="Times New Roman"/>
          <w:szCs w:val="24"/>
          <w:lang w:val="es-ES"/>
        </w:rPr>
        <w:t>ser</w:t>
      </w:r>
      <w:r w:rsidR="00D136BB">
        <w:rPr>
          <w:rFonts w:cs="Times New Roman"/>
          <w:szCs w:val="24"/>
          <w:lang w:val="es-ES"/>
        </w:rPr>
        <w:t xml:space="preserve"> </w:t>
      </w:r>
      <w:r w:rsidRPr="00AE1E0D">
        <w:rPr>
          <w:rFonts w:cs="Times New Roman"/>
          <w:szCs w:val="24"/>
          <w:lang w:val="es-ES"/>
        </w:rPr>
        <w:t>reciclados,</w:t>
      </w:r>
      <w:r w:rsidR="00D136BB">
        <w:rPr>
          <w:rFonts w:cs="Times New Roman"/>
          <w:szCs w:val="24"/>
          <w:lang w:val="es-ES"/>
        </w:rPr>
        <w:t xml:space="preserve"> </w:t>
      </w:r>
      <w:r w:rsidRPr="00AE1E0D">
        <w:rPr>
          <w:rFonts w:cs="Times New Roman"/>
          <w:szCs w:val="24"/>
          <w:lang w:val="es-ES"/>
        </w:rPr>
        <w:t>lo</w:t>
      </w:r>
      <w:r w:rsidR="00D136BB">
        <w:rPr>
          <w:rFonts w:cs="Times New Roman"/>
          <w:szCs w:val="24"/>
          <w:lang w:val="es-ES"/>
        </w:rPr>
        <w:t xml:space="preserve"> </w:t>
      </w:r>
      <w:r w:rsidRPr="00AE1E0D">
        <w:rPr>
          <w:rFonts w:cs="Times New Roman"/>
          <w:szCs w:val="24"/>
          <w:lang w:val="es-ES"/>
        </w:rPr>
        <w:t>que</w:t>
      </w:r>
      <w:r w:rsidR="00D136BB">
        <w:rPr>
          <w:rFonts w:cs="Times New Roman"/>
          <w:szCs w:val="24"/>
          <w:lang w:val="es-ES"/>
        </w:rPr>
        <w:t xml:space="preserve"> </w:t>
      </w:r>
      <w:r w:rsidRPr="00AE1E0D">
        <w:rPr>
          <w:rFonts w:cs="Times New Roman"/>
          <w:szCs w:val="24"/>
          <w:lang w:val="es-ES"/>
        </w:rPr>
        <w:t>puede</w:t>
      </w:r>
      <w:r w:rsidR="00D136BB">
        <w:rPr>
          <w:rFonts w:cs="Times New Roman"/>
          <w:szCs w:val="24"/>
          <w:lang w:val="es-ES"/>
        </w:rPr>
        <w:t xml:space="preserve"> </w:t>
      </w:r>
      <w:r w:rsidRPr="00AE1E0D">
        <w:rPr>
          <w:rFonts w:cs="Times New Roman"/>
          <w:szCs w:val="24"/>
          <w:lang w:val="es-ES"/>
        </w:rPr>
        <w:t>originar</w:t>
      </w:r>
      <w:r w:rsidR="00D136BB">
        <w:rPr>
          <w:rFonts w:cs="Times New Roman"/>
          <w:szCs w:val="24"/>
          <w:lang w:val="es-ES"/>
        </w:rPr>
        <w:t xml:space="preserve"> </w:t>
      </w:r>
      <w:r w:rsidRPr="00AE1E0D">
        <w:rPr>
          <w:rFonts w:cs="Times New Roman"/>
          <w:szCs w:val="24"/>
          <w:lang w:val="es-ES"/>
        </w:rPr>
        <w:t>situaciones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emergencia</w:t>
      </w:r>
      <w:r w:rsidR="00D136BB">
        <w:rPr>
          <w:rFonts w:cs="Times New Roman"/>
          <w:szCs w:val="24"/>
          <w:lang w:val="es-ES"/>
        </w:rPr>
        <w:t xml:space="preserve"> </w:t>
      </w:r>
      <w:r w:rsidRPr="00AE1E0D">
        <w:rPr>
          <w:rFonts w:cs="Times New Roman"/>
          <w:szCs w:val="24"/>
          <w:lang w:val="es-ES"/>
        </w:rPr>
        <w:t>radiológica.</w:t>
      </w:r>
    </w:p>
    <w:p w14:paraId="3DAD7805" w14:textId="70B55F5D" w:rsidR="005D0292" w:rsidRPr="00AE1E0D" w:rsidRDefault="005D0292" w:rsidP="005D0292">
      <w:pPr>
        <w:pStyle w:val="ListNumber"/>
        <w:rPr>
          <w:rFonts w:cs="Times New Roman"/>
          <w:szCs w:val="24"/>
          <w:lang w:val="es-ES"/>
        </w:rPr>
      </w:pP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mayoría</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los</w:t>
      </w:r>
      <w:r w:rsidR="00D136BB">
        <w:rPr>
          <w:rFonts w:cs="Times New Roman"/>
          <w:szCs w:val="24"/>
          <w:lang w:val="es-ES"/>
        </w:rPr>
        <w:t xml:space="preserve"> </w:t>
      </w:r>
      <w:r w:rsidRPr="00AE1E0D">
        <w:rPr>
          <w:rFonts w:cs="Times New Roman"/>
          <w:szCs w:val="24"/>
          <w:lang w:val="es-ES"/>
        </w:rPr>
        <w:t>países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región</w:t>
      </w:r>
      <w:r w:rsidR="00D136BB">
        <w:rPr>
          <w:rFonts w:cs="Times New Roman"/>
          <w:szCs w:val="24"/>
          <w:lang w:val="es-ES"/>
        </w:rPr>
        <w:t xml:space="preserve"> </w:t>
      </w:r>
      <w:r w:rsidRPr="00AE1E0D">
        <w:rPr>
          <w:rFonts w:cs="Times New Roman"/>
          <w:szCs w:val="24"/>
          <w:lang w:val="es-ES"/>
        </w:rPr>
        <w:t>participaron</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actividades</w:t>
      </w:r>
      <w:r w:rsidR="00D136BB">
        <w:rPr>
          <w:rFonts w:cs="Times New Roman"/>
          <w:szCs w:val="24"/>
          <w:lang w:val="es-ES"/>
        </w:rPr>
        <w:t xml:space="preserve"> </w:t>
      </w:r>
      <w:r w:rsidRPr="00AE1E0D">
        <w:rPr>
          <w:rFonts w:cs="Times New Roman"/>
          <w:szCs w:val="24"/>
          <w:lang w:val="es-ES"/>
        </w:rPr>
        <w:t>del</w:t>
      </w:r>
      <w:r w:rsidR="00D136BB">
        <w:rPr>
          <w:rFonts w:cs="Times New Roman"/>
          <w:szCs w:val="24"/>
          <w:lang w:val="es-ES"/>
        </w:rPr>
        <w:t xml:space="preserve"> </w:t>
      </w:r>
      <w:r w:rsidRPr="00AE1E0D">
        <w:rPr>
          <w:rFonts w:cs="Times New Roman"/>
          <w:szCs w:val="24"/>
          <w:lang w:val="es-ES"/>
        </w:rPr>
        <w:t>OIEA</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identificar</w:t>
      </w:r>
      <w:r w:rsidR="00D136BB">
        <w:rPr>
          <w:rFonts w:cs="Times New Roman"/>
          <w:szCs w:val="24"/>
          <w:lang w:val="es-ES"/>
        </w:rPr>
        <w:t xml:space="preserve"> </w:t>
      </w:r>
      <w:r w:rsidRPr="00AE1E0D">
        <w:rPr>
          <w:rFonts w:cs="Times New Roman"/>
          <w:szCs w:val="24"/>
          <w:lang w:val="es-ES"/>
        </w:rPr>
        <w:t>las</w:t>
      </w:r>
      <w:r w:rsidR="00D136BB">
        <w:rPr>
          <w:rFonts w:cs="Times New Roman"/>
          <w:szCs w:val="24"/>
          <w:lang w:val="es-ES"/>
        </w:rPr>
        <w:t xml:space="preserve"> </w:t>
      </w:r>
      <w:r w:rsidRPr="00AE1E0D">
        <w:rPr>
          <w:rFonts w:cs="Times New Roman"/>
          <w:szCs w:val="24"/>
          <w:lang w:val="es-ES"/>
        </w:rPr>
        <w:t>situaciones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exposición</w:t>
      </w:r>
      <w:r w:rsidR="00D136BB">
        <w:rPr>
          <w:rFonts w:cs="Times New Roman"/>
          <w:szCs w:val="24"/>
          <w:lang w:val="es-ES"/>
        </w:rPr>
        <w:t xml:space="preserve"> </w:t>
      </w:r>
      <w:r w:rsidRPr="00AE1E0D">
        <w:rPr>
          <w:rFonts w:cs="Times New Roman"/>
          <w:szCs w:val="24"/>
          <w:lang w:val="es-ES"/>
        </w:rPr>
        <w:t>existentes</w:t>
      </w:r>
      <w:r w:rsidR="00D136BB">
        <w:rPr>
          <w:rFonts w:cs="Times New Roman"/>
          <w:szCs w:val="24"/>
          <w:lang w:val="es-ES"/>
        </w:rPr>
        <w:t xml:space="preserve"> </w:t>
      </w:r>
      <w:r w:rsidRPr="00AE1E0D">
        <w:rPr>
          <w:rFonts w:cs="Times New Roman"/>
          <w:szCs w:val="24"/>
          <w:lang w:val="es-ES"/>
        </w:rPr>
        <w:t>asociadas</w:t>
      </w:r>
      <w:r w:rsidR="00D136BB">
        <w:rPr>
          <w:rFonts w:cs="Times New Roman"/>
          <w:szCs w:val="24"/>
          <w:lang w:val="es-ES"/>
        </w:rPr>
        <w:t xml:space="preserve"> </w:t>
      </w:r>
      <w:r w:rsidRPr="00AE1E0D">
        <w:rPr>
          <w:rFonts w:cs="Times New Roman"/>
          <w:szCs w:val="24"/>
          <w:lang w:val="es-ES"/>
        </w:rPr>
        <w:t>a</w:t>
      </w:r>
      <w:r w:rsidR="00D136BB">
        <w:rPr>
          <w:rFonts w:cs="Times New Roman"/>
          <w:szCs w:val="24"/>
          <w:lang w:val="es-ES"/>
        </w:rPr>
        <w:t xml:space="preserve"> </w:t>
      </w:r>
      <w:r w:rsidRPr="00AE1E0D">
        <w:rPr>
          <w:rFonts w:cs="Times New Roman"/>
          <w:szCs w:val="24"/>
          <w:lang w:val="es-ES"/>
        </w:rPr>
        <w:t>las</w:t>
      </w:r>
      <w:r w:rsidR="00D136BB">
        <w:rPr>
          <w:rFonts w:cs="Times New Roman"/>
          <w:szCs w:val="24"/>
          <w:lang w:val="es-ES"/>
        </w:rPr>
        <w:t xml:space="preserve"> </w:t>
      </w:r>
      <w:r w:rsidRPr="00AE1E0D">
        <w:rPr>
          <w:rFonts w:cs="Times New Roman"/>
          <w:szCs w:val="24"/>
          <w:lang w:val="es-ES"/>
        </w:rPr>
        <w:t>industrias</w:t>
      </w:r>
      <w:r w:rsidR="00D136BB">
        <w:rPr>
          <w:rFonts w:cs="Times New Roman"/>
          <w:szCs w:val="24"/>
          <w:lang w:val="es-ES"/>
        </w:rPr>
        <w:t xml:space="preserve"> </w:t>
      </w:r>
      <w:r w:rsidRPr="00AE1E0D">
        <w:rPr>
          <w:rFonts w:cs="Times New Roman"/>
          <w:szCs w:val="24"/>
          <w:lang w:val="es-ES"/>
        </w:rPr>
        <w:t>que</w:t>
      </w:r>
      <w:r w:rsidR="00D136BB">
        <w:rPr>
          <w:rFonts w:cs="Times New Roman"/>
          <w:szCs w:val="24"/>
          <w:lang w:val="es-ES"/>
        </w:rPr>
        <w:t xml:space="preserve"> </w:t>
      </w:r>
      <w:r w:rsidRPr="00AE1E0D">
        <w:rPr>
          <w:rFonts w:cs="Times New Roman"/>
          <w:szCs w:val="24"/>
          <w:lang w:val="es-ES"/>
        </w:rPr>
        <w:t>involucran</w:t>
      </w:r>
      <w:r w:rsidR="00D136BB">
        <w:rPr>
          <w:rFonts w:cs="Times New Roman"/>
          <w:szCs w:val="24"/>
          <w:lang w:val="es-ES"/>
        </w:rPr>
        <w:t xml:space="preserve"> </w:t>
      </w:r>
      <w:r w:rsidRPr="00AE1E0D">
        <w:rPr>
          <w:rFonts w:cs="Times New Roman"/>
          <w:szCs w:val="24"/>
          <w:lang w:val="es-ES"/>
        </w:rPr>
        <w:t>materiales</w:t>
      </w:r>
      <w:r w:rsidR="00D136BB">
        <w:rPr>
          <w:rFonts w:cs="Times New Roman"/>
          <w:szCs w:val="24"/>
          <w:lang w:val="es-ES"/>
        </w:rPr>
        <w:t xml:space="preserve"> </w:t>
      </w:r>
      <w:r w:rsidRPr="00AE1E0D">
        <w:rPr>
          <w:rFonts w:cs="Times New Roman"/>
          <w:szCs w:val="24"/>
          <w:lang w:val="es-ES"/>
        </w:rPr>
        <w:t>NORM</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evaluación</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su</w:t>
      </w:r>
      <w:r w:rsidR="00D136BB">
        <w:rPr>
          <w:rFonts w:cs="Times New Roman"/>
          <w:szCs w:val="24"/>
          <w:lang w:val="es-ES"/>
        </w:rPr>
        <w:t xml:space="preserve"> </w:t>
      </w:r>
      <w:r w:rsidRPr="00AE1E0D">
        <w:rPr>
          <w:rFonts w:cs="Times New Roman"/>
          <w:szCs w:val="24"/>
          <w:lang w:val="es-ES"/>
        </w:rPr>
        <w:t>impacto</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el</w:t>
      </w:r>
      <w:r w:rsidR="00D136BB">
        <w:rPr>
          <w:rFonts w:cs="Times New Roman"/>
          <w:szCs w:val="24"/>
          <w:lang w:val="es-ES"/>
        </w:rPr>
        <w:t xml:space="preserve"> </w:t>
      </w:r>
      <w:r w:rsidRPr="00AE1E0D">
        <w:rPr>
          <w:rFonts w:cs="Times New Roman"/>
          <w:szCs w:val="24"/>
          <w:lang w:val="es-ES"/>
        </w:rPr>
        <w:t>público</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el</w:t>
      </w:r>
      <w:r w:rsidR="00D136BB">
        <w:rPr>
          <w:rFonts w:cs="Times New Roman"/>
          <w:szCs w:val="24"/>
          <w:lang w:val="es-ES"/>
        </w:rPr>
        <w:t xml:space="preserve"> </w:t>
      </w:r>
      <w:r w:rsidRPr="00AE1E0D">
        <w:rPr>
          <w:rFonts w:cs="Times New Roman"/>
          <w:szCs w:val="24"/>
          <w:lang w:val="es-ES"/>
        </w:rPr>
        <w:t>ambiente.</w:t>
      </w:r>
      <w:r w:rsidR="00D136BB">
        <w:rPr>
          <w:rFonts w:cs="Times New Roman"/>
          <w:szCs w:val="24"/>
          <w:lang w:val="es-ES"/>
        </w:rPr>
        <w:t xml:space="preserve"> </w:t>
      </w:r>
      <w:r w:rsidRPr="00AE1E0D">
        <w:rPr>
          <w:rFonts w:cs="Times New Roman"/>
          <w:szCs w:val="24"/>
          <w:lang w:val="es-ES"/>
        </w:rPr>
        <w:t>Salvo</w:t>
      </w:r>
      <w:r w:rsidR="00D136BB">
        <w:rPr>
          <w:rFonts w:cs="Times New Roman"/>
          <w:szCs w:val="24"/>
          <w:lang w:val="es-ES"/>
        </w:rPr>
        <w:t xml:space="preserve"> </w:t>
      </w:r>
      <w:r w:rsidRPr="00AE1E0D">
        <w:rPr>
          <w:rFonts w:cs="Times New Roman"/>
          <w:szCs w:val="24"/>
          <w:lang w:val="es-ES"/>
        </w:rPr>
        <w:t>excepciones,</w:t>
      </w:r>
      <w:r w:rsidR="00D136BB">
        <w:rPr>
          <w:rFonts w:cs="Times New Roman"/>
          <w:szCs w:val="24"/>
          <w:lang w:val="es-ES"/>
        </w:rPr>
        <w:t xml:space="preserve"> </w:t>
      </w:r>
      <w:r w:rsidRPr="00AE1E0D">
        <w:rPr>
          <w:rFonts w:cs="Times New Roman"/>
          <w:szCs w:val="24"/>
          <w:lang w:val="es-ES"/>
        </w:rPr>
        <w:t>no</w:t>
      </w:r>
      <w:r w:rsidR="00D136BB">
        <w:rPr>
          <w:rFonts w:cs="Times New Roman"/>
          <w:szCs w:val="24"/>
          <w:lang w:val="es-ES"/>
        </w:rPr>
        <w:t xml:space="preserve"> </w:t>
      </w:r>
      <w:r w:rsidRPr="00AE1E0D">
        <w:rPr>
          <w:rFonts w:cs="Times New Roman"/>
          <w:szCs w:val="24"/>
          <w:lang w:val="es-ES"/>
        </w:rPr>
        <w:t>se</w:t>
      </w:r>
      <w:r w:rsidR="00D136BB">
        <w:rPr>
          <w:rFonts w:cs="Times New Roman"/>
          <w:szCs w:val="24"/>
          <w:lang w:val="es-ES"/>
        </w:rPr>
        <w:t xml:space="preserve"> </w:t>
      </w:r>
      <w:r w:rsidRPr="00AE1E0D">
        <w:rPr>
          <w:rFonts w:cs="Times New Roman"/>
          <w:szCs w:val="24"/>
          <w:lang w:val="es-ES"/>
        </w:rPr>
        <w:t>ha</w:t>
      </w:r>
      <w:r w:rsidR="00D136BB">
        <w:rPr>
          <w:rFonts w:cs="Times New Roman"/>
          <w:szCs w:val="24"/>
          <w:lang w:val="es-ES"/>
        </w:rPr>
        <w:t xml:space="preserve"> </w:t>
      </w:r>
      <w:r w:rsidRPr="00AE1E0D">
        <w:rPr>
          <w:rFonts w:cs="Times New Roman"/>
          <w:szCs w:val="24"/>
          <w:lang w:val="es-ES"/>
        </w:rPr>
        <w:t>desarrollado</w:t>
      </w:r>
      <w:r w:rsidR="00D136BB">
        <w:rPr>
          <w:rFonts w:cs="Times New Roman"/>
          <w:szCs w:val="24"/>
          <w:lang w:val="es-ES"/>
        </w:rPr>
        <w:t xml:space="preserve"> </w:t>
      </w:r>
      <w:r w:rsidRPr="00AE1E0D">
        <w:rPr>
          <w:rFonts w:cs="Times New Roman"/>
          <w:szCs w:val="24"/>
          <w:lang w:val="es-ES"/>
        </w:rPr>
        <w:t>un</w:t>
      </w:r>
      <w:r w:rsidR="00D136BB">
        <w:rPr>
          <w:rFonts w:cs="Times New Roman"/>
          <w:szCs w:val="24"/>
          <w:lang w:val="es-ES"/>
        </w:rPr>
        <w:t xml:space="preserve"> </w:t>
      </w:r>
      <w:r w:rsidRPr="00AE1E0D">
        <w:rPr>
          <w:rFonts w:cs="Times New Roman"/>
          <w:szCs w:val="24"/>
          <w:lang w:val="es-ES"/>
        </w:rPr>
        <w:t>marco</w:t>
      </w:r>
      <w:r w:rsidR="00D136BB">
        <w:rPr>
          <w:rFonts w:cs="Times New Roman"/>
          <w:szCs w:val="24"/>
          <w:lang w:val="es-ES"/>
        </w:rPr>
        <w:t xml:space="preserve"> </w:t>
      </w:r>
      <w:r w:rsidRPr="00AE1E0D">
        <w:rPr>
          <w:rFonts w:cs="Times New Roman"/>
          <w:szCs w:val="24"/>
          <w:lang w:val="es-ES"/>
        </w:rPr>
        <w:t>regulador</w:t>
      </w:r>
      <w:r w:rsidR="00D136BB">
        <w:rPr>
          <w:rFonts w:cs="Times New Roman"/>
          <w:szCs w:val="24"/>
          <w:lang w:val="es-ES"/>
        </w:rPr>
        <w:t xml:space="preserve"> </w:t>
      </w:r>
      <w:r w:rsidRPr="00AE1E0D">
        <w:rPr>
          <w:rFonts w:cs="Times New Roman"/>
          <w:szCs w:val="24"/>
          <w:lang w:val="es-ES"/>
        </w:rPr>
        <w:t>efectivo</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NORM.</w:t>
      </w:r>
    </w:p>
    <w:p w14:paraId="42E2213F" w14:textId="126D6326" w:rsidR="005D0292" w:rsidRPr="00AE1E0D" w:rsidRDefault="005D0292" w:rsidP="005D0292">
      <w:pPr>
        <w:pStyle w:val="ListNumber"/>
        <w:rPr>
          <w:rFonts w:cs="Times New Roman"/>
          <w:szCs w:val="24"/>
          <w:lang w:val="es-ES"/>
        </w:rPr>
      </w:pP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mayoría</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los</w:t>
      </w:r>
      <w:r w:rsidR="00D136BB">
        <w:rPr>
          <w:rFonts w:cs="Times New Roman"/>
          <w:szCs w:val="24"/>
          <w:lang w:val="es-ES"/>
        </w:rPr>
        <w:t xml:space="preserve"> </w:t>
      </w:r>
      <w:r w:rsidRPr="00AE1E0D">
        <w:rPr>
          <w:rFonts w:cs="Times New Roman"/>
          <w:szCs w:val="24"/>
          <w:lang w:val="es-ES"/>
        </w:rPr>
        <w:t>países</w:t>
      </w:r>
      <w:r w:rsidR="00D136BB">
        <w:rPr>
          <w:rFonts w:cs="Times New Roman"/>
          <w:szCs w:val="24"/>
          <w:lang w:val="es-ES"/>
        </w:rPr>
        <w:t xml:space="preserve"> </w:t>
      </w:r>
      <w:r w:rsidRPr="00AE1E0D">
        <w:rPr>
          <w:rFonts w:cs="Times New Roman"/>
          <w:szCs w:val="24"/>
          <w:lang w:val="es-ES"/>
        </w:rPr>
        <w:t>no</w:t>
      </w:r>
      <w:r w:rsidR="00D136BB">
        <w:rPr>
          <w:rFonts w:cs="Times New Roman"/>
          <w:szCs w:val="24"/>
          <w:lang w:val="es-ES"/>
        </w:rPr>
        <w:t xml:space="preserve"> </w:t>
      </w:r>
      <w:r w:rsidRPr="00AE1E0D">
        <w:rPr>
          <w:rFonts w:cs="Times New Roman"/>
          <w:szCs w:val="24"/>
          <w:lang w:val="es-ES"/>
        </w:rPr>
        <w:t>han</w:t>
      </w:r>
      <w:r w:rsidR="00D136BB">
        <w:rPr>
          <w:rFonts w:cs="Times New Roman"/>
          <w:szCs w:val="24"/>
          <w:lang w:val="es-ES"/>
        </w:rPr>
        <w:t xml:space="preserve"> </w:t>
      </w:r>
      <w:r w:rsidRPr="00AE1E0D">
        <w:rPr>
          <w:rFonts w:cs="Times New Roman"/>
          <w:szCs w:val="24"/>
          <w:lang w:val="es-ES"/>
        </w:rPr>
        <w:t>formalizado</w:t>
      </w:r>
      <w:r w:rsidR="00D136BB">
        <w:rPr>
          <w:rFonts w:cs="Times New Roman"/>
          <w:szCs w:val="24"/>
          <w:lang w:val="es-ES"/>
        </w:rPr>
        <w:t xml:space="preserve"> </w:t>
      </w:r>
      <w:r w:rsidRPr="00AE1E0D">
        <w:rPr>
          <w:rFonts w:cs="Times New Roman"/>
          <w:szCs w:val="24"/>
          <w:lang w:val="es-ES"/>
        </w:rPr>
        <w:t>las</w:t>
      </w:r>
      <w:r w:rsidR="00D136BB">
        <w:rPr>
          <w:rFonts w:cs="Times New Roman"/>
          <w:szCs w:val="24"/>
          <w:lang w:val="es-ES"/>
        </w:rPr>
        <w:t xml:space="preserve"> </w:t>
      </w:r>
      <w:r w:rsidRPr="00AE1E0D">
        <w:rPr>
          <w:rFonts w:cs="Times New Roman"/>
          <w:szCs w:val="24"/>
          <w:lang w:val="es-ES"/>
        </w:rPr>
        <w:t>políticas</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estrategias</w:t>
      </w:r>
      <w:r w:rsidR="00D136BB">
        <w:rPr>
          <w:rFonts w:cs="Times New Roman"/>
          <w:szCs w:val="24"/>
          <w:lang w:val="es-ES"/>
        </w:rPr>
        <w:t xml:space="preserve"> </w:t>
      </w:r>
      <w:r w:rsidRPr="00AE1E0D">
        <w:rPr>
          <w:rFonts w:cs="Times New Roman"/>
          <w:szCs w:val="24"/>
          <w:lang w:val="es-ES"/>
        </w:rPr>
        <w:t>nacionales</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gestión</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los</w:t>
      </w:r>
      <w:r w:rsidR="00D136BB">
        <w:rPr>
          <w:rFonts w:cs="Times New Roman"/>
          <w:szCs w:val="24"/>
          <w:lang w:val="es-ES"/>
        </w:rPr>
        <w:t xml:space="preserve"> </w:t>
      </w:r>
      <w:r w:rsidRPr="00AE1E0D">
        <w:rPr>
          <w:rFonts w:cs="Times New Roman"/>
          <w:szCs w:val="24"/>
          <w:lang w:val="es-ES"/>
        </w:rPr>
        <w:t>desechos</w:t>
      </w:r>
      <w:r w:rsidR="00D136BB">
        <w:rPr>
          <w:rFonts w:cs="Times New Roman"/>
          <w:szCs w:val="24"/>
          <w:lang w:val="es-ES"/>
        </w:rPr>
        <w:t xml:space="preserve"> </w:t>
      </w:r>
      <w:r w:rsidRPr="00AE1E0D">
        <w:rPr>
          <w:rFonts w:cs="Times New Roman"/>
          <w:szCs w:val="24"/>
          <w:lang w:val="es-ES"/>
        </w:rPr>
        <w:t>radiactivos.</w:t>
      </w:r>
    </w:p>
    <w:p w14:paraId="78224806" w14:textId="56899862" w:rsidR="005D0292" w:rsidRPr="00AE1E0D" w:rsidRDefault="005D0292" w:rsidP="005D0292">
      <w:pPr>
        <w:pStyle w:val="ListNumber"/>
        <w:rPr>
          <w:rFonts w:cs="Times New Roman"/>
          <w:szCs w:val="24"/>
          <w:lang w:val="es-ES"/>
        </w:rPr>
      </w:pP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mayoría</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los</w:t>
      </w:r>
      <w:r w:rsidR="00D136BB">
        <w:rPr>
          <w:rFonts w:cs="Times New Roman"/>
          <w:szCs w:val="24"/>
          <w:lang w:val="es-ES"/>
        </w:rPr>
        <w:t xml:space="preserve"> </w:t>
      </w:r>
      <w:r w:rsidRPr="00AE1E0D">
        <w:rPr>
          <w:rFonts w:cs="Times New Roman"/>
          <w:szCs w:val="24"/>
          <w:lang w:val="es-ES"/>
        </w:rPr>
        <w:t>países</w:t>
      </w:r>
      <w:r w:rsidR="00D136BB">
        <w:rPr>
          <w:rFonts w:cs="Times New Roman"/>
          <w:szCs w:val="24"/>
          <w:lang w:val="es-ES"/>
        </w:rPr>
        <w:t xml:space="preserve"> </w:t>
      </w:r>
      <w:r w:rsidRPr="00AE1E0D">
        <w:rPr>
          <w:rFonts w:cs="Times New Roman"/>
          <w:szCs w:val="24"/>
          <w:lang w:val="es-ES"/>
        </w:rPr>
        <w:t>participó</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actividades</w:t>
      </w:r>
      <w:r w:rsidR="00D136BB">
        <w:rPr>
          <w:rFonts w:cs="Times New Roman"/>
          <w:szCs w:val="24"/>
          <w:lang w:val="es-ES"/>
        </w:rPr>
        <w:t xml:space="preserve"> </w:t>
      </w:r>
      <w:r w:rsidRPr="00AE1E0D">
        <w:rPr>
          <w:rFonts w:cs="Times New Roman"/>
          <w:szCs w:val="24"/>
          <w:lang w:val="es-ES"/>
        </w:rPr>
        <w:t>del</w:t>
      </w:r>
      <w:r w:rsidR="00D136BB">
        <w:rPr>
          <w:rFonts w:cs="Times New Roman"/>
          <w:szCs w:val="24"/>
          <w:lang w:val="es-ES"/>
        </w:rPr>
        <w:t xml:space="preserve"> </w:t>
      </w:r>
      <w:r w:rsidRPr="00AE1E0D">
        <w:rPr>
          <w:rFonts w:cs="Times New Roman"/>
          <w:szCs w:val="24"/>
          <w:lang w:val="es-ES"/>
        </w:rPr>
        <w:t>OIEA</w:t>
      </w:r>
      <w:r w:rsidR="00D136BB">
        <w:rPr>
          <w:rFonts w:cs="Times New Roman"/>
          <w:szCs w:val="24"/>
          <w:lang w:val="es-ES"/>
        </w:rPr>
        <w:t xml:space="preserve"> </w:t>
      </w:r>
      <w:r w:rsidRPr="00AE1E0D">
        <w:rPr>
          <w:rFonts w:cs="Times New Roman"/>
          <w:szCs w:val="24"/>
          <w:lang w:val="es-ES"/>
        </w:rPr>
        <w:t>sobre</w:t>
      </w:r>
      <w:r w:rsidR="00D136BB">
        <w:rPr>
          <w:rFonts w:cs="Times New Roman"/>
          <w:szCs w:val="24"/>
          <w:lang w:val="es-ES"/>
        </w:rPr>
        <w:t xml:space="preserve"> </w:t>
      </w:r>
      <w:r w:rsidRPr="00AE1E0D">
        <w:rPr>
          <w:rFonts w:cs="Times New Roman"/>
          <w:szCs w:val="24"/>
          <w:lang w:val="es-ES"/>
        </w:rPr>
        <w:t>exención,</w:t>
      </w:r>
      <w:r w:rsidR="00D136BB">
        <w:rPr>
          <w:rFonts w:cs="Times New Roman"/>
          <w:szCs w:val="24"/>
          <w:lang w:val="es-ES"/>
        </w:rPr>
        <w:t xml:space="preserve"> </w:t>
      </w:r>
      <w:r w:rsidRPr="00AE1E0D">
        <w:rPr>
          <w:rFonts w:cs="Times New Roman"/>
          <w:szCs w:val="24"/>
          <w:lang w:val="es-ES"/>
        </w:rPr>
        <w:t>desclasificación</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dispensa,</w:t>
      </w:r>
      <w:r w:rsidR="00D136BB">
        <w:rPr>
          <w:rFonts w:cs="Times New Roman"/>
          <w:szCs w:val="24"/>
          <w:lang w:val="es-ES"/>
        </w:rPr>
        <w:t xml:space="preserve"> </w:t>
      </w:r>
      <w:r w:rsidRPr="00AE1E0D">
        <w:rPr>
          <w:rFonts w:cs="Times New Roman"/>
          <w:szCs w:val="24"/>
          <w:lang w:val="es-ES"/>
        </w:rPr>
        <w:t>pero</w:t>
      </w:r>
      <w:r w:rsidR="00D136BB">
        <w:rPr>
          <w:rFonts w:cs="Times New Roman"/>
          <w:szCs w:val="24"/>
          <w:lang w:val="es-ES"/>
        </w:rPr>
        <w:t xml:space="preserve"> </w:t>
      </w:r>
      <w:r w:rsidRPr="00AE1E0D">
        <w:rPr>
          <w:rFonts w:cs="Times New Roman"/>
          <w:szCs w:val="24"/>
          <w:lang w:val="es-ES"/>
        </w:rPr>
        <w:t>falta</w:t>
      </w:r>
      <w:r w:rsidR="00D136BB">
        <w:rPr>
          <w:rFonts w:cs="Times New Roman"/>
          <w:szCs w:val="24"/>
          <w:lang w:val="es-ES"/>
        </w:rPr>
        <w:t xml:space="preserve"> </w:t>
      </w:r>
      <w:r w:rsidRPr="00AE1E0D">
        <w:rPr>
          <w:rFonts w:cs="Times New Roman"/>
          <w:szCs w:val="24"/>
          <w:lang w:val="es-ES"/>
        </w:rPr>
        <w:t>incorporar</w:t>
      </w:r>
      <w:r w:rsidR="00D136BB">
        <w:rPr>
          <w:rFonts w:cs="Times New Roman"/>
          <w:szCs w:val="24"/>
          <w:lang w:val="es-ES"/>
        </w:rPr>
        <w:t xml:space="preserve"> </w:t>
      </w:r>
      <w:r w:rsidRPr="00AE1E0D">
        <w:rPr>
          <w:rFonts w:cs="Times New Roman"/>
          <w:szCs w:val="24"/>
          <w:lang w:val="es-ES"/>
        </w:rPr>
        <w:t>esta</w:t>
      </w:r>
      <w:r w:rsidR="00D136BB">
        <w:rPr>
          <w:rFonts w:cs="Times New Roman"/>
          <w:szCs w:val="24"/>
          <w:lang w:val="es-ES"/>
        </w:rPr>
        <w:t xml:space="preserve"> </w:t>
      </w:r>
      <w:r w:rsidRPr="00AE1E0D">
        <w:rPr>
          <w:rFonts w:cs="Times New Roman"/>
          <w:szCs w:val="24"/>
          <w:lang w:val="es-ES"/>
        </w:rPr>
        <w:t>temática</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las</w:t>
      </w:r>
      <w:r w:rsidR="00D136BB">
        <w:rPr>
          <w:rFonts w:cs="Times New Roman"/>
          <w:szCs w:val="24"/>
          <w:lang w:val="es-ES"/>
        </w:rPr>
        <w:t xml:space="preserve"> </w:t>
      </w:r>
      <w:r w:rsidRPr="00AE1E0D">
        <w:rPr>
          <w:rFonts w:cs="Times New Roman"/>
          <w:szCs w:val="24"/>
          <w:lang w:val="es-ES"/>
        </w:rPr>
        <w:t>regulaciones.</w:t>
      </w:r>
    </w:p>
    <w:p w14:paraId="5631FBB9" w14:textId="5B8F19C5" w:rsidR="005D0292" w:rsidRPr="00AE1E0D" w:rsidRDefault="005D0292" w:rsidP="005D0292">
      <w:pPr>
        <w:pStyle w:val="ListNumber"/>
        <w:rPr>
          <w:rFonts w:cs="Times New Roman"/>
          <w:szCs w:val="24"/>
          <w:lang w:val="es-ES"/>
        </w:rPr>
      </w:pPr>
      <w:r w:rsidRPr="00AE1E0D">
        <w:rPr>
          <w:rFonts w:cs="Times New Roman"/>
          <w:szCs w:val="24"/>
          <w:lang w:val="es-ES"/>
        </w:rPr>
        <w:t>Carencia,</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algunos</w:t>
      </w:r>
      <w:r w:rsidR="00D136BB">
        <w:rPr>
          <w:rFonts w:cs="Times New Roman"/>
          <w:szCs w:val="24"/>
          <w:lang w:val="es-ES"/>
        </w:rPr>
        <w:t xml:space="preserve"> </w:t>
      </w:r>
      <w:r w:rsidRPr="00AE1E0D">
        <w:rPr>
          <w:rFonts w:cs="Times New Roman"/>
          <w:szCs w:val="24"/>
          <w:lang w:val="es-ES"/>
        </w:rPr>
        <w:t>casos,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sistemas</w:t>
      </w:r>
      <w:r w:rsidR="00D136BB">
        <w:rPr>
          <w:rFonts w:cs="Times New Roman"/>
          <w:szCs w:val="24"/>
          <w:lang w:val="es-ES"/>
        </w:rPr>
        <w:t xml:space="preserve"> </w:t>
      </w:r>
      <w:r w:rsidRPr="00AE1E0D">
        <w:rPr>
          <w:rFonts w:cs="Times New Roman"/>
          <w:szCs w:val="24"/>
          <w:lang w:val="es-ES"/>
        </w:rPr>
        <w:t>adecuados</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monitorización</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descargas</w:t>
      </w:r>
      <w:r w:rsidR="00D136BB">
        <w:rPr>
          <w:rFonts w:cs="Times New Roman"/>
          <w:szCs w:val="24"/>
          <w:lang w:val="es-ES"/>
        </w:rPr>
        <w:t xml:space="preserve"> </w:t>
      </w:r>
      <w:r w:rsidRPr="00AE1E0D">
        <w:rPr>
          <w:rFonts w:cs="Times New Roman"/>
          <w:szCs w:val="24"/>
          <w:lang w:val="es-ES"/>
        </w:rPr>
        <w:t>al</w:t>
      </w:r>
      <w:r w:rsidR="00D136BB">
        <w:rPr>
          <w:rFonts w:cs="Times New Roman"/>
          <w:szCs w:val="24"/>
          <w:lang w:val="es-ES"/>
        </w:rPr>
        <w:t xml:space="preserve"> </w:t>
      </w:r>
      <w:r w:rsidRPr="00AE1E0D">
        <w:rPr>
          <w:rFonts w:cs="Times New Roman"/>
          <w:szCs w:val="24"/>
          <w:lang w:val="es-ES"/>
        </w:rPr>
        <w:t>medioambiente</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programas</w:t>
      </w:r>
      <w:r w:rsidR="00D136BB">
        <w:rPr>
          <w:rFonts w:cs="Times New Roman"/>
          <w:szCs w:val="24"/>
          <w:lang w:val="es-ES"/>
        </w:rPr>
        <w:t xml:space="preserve"> </w:t>
      </w:r>
      <w:r w:rsidRPr="00AE1E0D">
        <w:rPr>
          <w:rFonts w:cs="Times New Roman"/>
          <w:szCs w:val="24"/>
          <w:lang w:val="es-ES"/>
        </w:rPr>
        <w:t>adecuados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monitorización</w:t>
      </w:r>
      <w:r w:rsidR="00D136BB">
        <w:rPr>
          <w:rFonts w:cs="Times New Roman"/>
          <w:szCs w:val="24"/>
          <w:lang w:val="es-ES"/>
        </w:rPr>
        <w:t xml:space="preserve"> </w:t>
      </w:r>
      <w:r w:rsidRPr="00AE1E0D">
        <w:rPr>
          <w:rFonts w:cs="Times New Roman"/>
          <w:szCs w:val="24"/>
          <w:lang w:val="es-ES"/>
        </w:rPr>
        <w:t>ambiental.</w:t>
      </w:r>
    </w:p>
    <w:p w14:paraId="5692D7A0" w14:textId="33FF9A73" w:rsidR="005D0292" w:rsidRPr="006454E8" w:rsidRDefault="001F7F3E" w:rsidP="001F7F3E">
      <w:pPr>
        <w:pStyle w:val="Heading3"/>
        <w:numPr>
          <w:ilvl w:val="0"/>
          <w:numId w:val="0"/>
        </w:numPr>
        <w:tabs>
          <w:tab w:val="clear" w:pos="851"/>
          <w:tab w:val="clear" w:pos="1134"/>
          <w:tab w:val="clear" w:pos="1429"/>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360" w:after="120"/>
        <w:rPr>
          <w:szCs w:val="24"/>
          <w:lang w:val="es-ES_tradnl"/>
        </w:rPr>
      </w:pPr>
      <w:r w:rsidRPr="006454E8">
        <w:rPr>
          <w:szCs w:val="24"/>
          <w:lang w:val="es-ES_tradnl"/>
        </w:rPr>
        <w:t>vi)</w:t>
      </w:r>
      <w:r w:rsidR="00D136BB">
        <w:rPr>
          <w:szCs w:val="24"/>
          <w:lang w:val="es-ES_tradnl"/>
        </w:rPr>
        <w:t xml:space="preserve"> </w:t>
      </w:r>
      <w:r w:rsidR="005D0292" w:rsidRPr="006454E8">
        <w:rPr>
          <w:szCs w:val="24"/>
          <w:lang w:val="es-ES_tradnl"/>
        </w:rPr>
        <w:t>Preparación</w:t>
      </w:r>
      <w:r w:rsidR="00D136BB">
        <w:rPr>
          <w:szCs w:val="24"/>
          <w:lang w:val="es-ES_tradnl"/>
        </w:rPr>
        <w:t xml:space="preserve"> </w:t>
      </w:r>
      <w:r w:rsidR="005D0292" w:rsidRPr="006454E8">
        <w:rPr>
          <w:szCs w:val="24"/>
          <w:lang w:val="es-ES_tradnl"/>
        </w:rPr>
        <w:t>y</w:t>
      </w:r>
      <w:r w:rsidR="00D136BB">
        <w:rPr>
          <w:szCs w:val="24"/>
          <w:lang w:val="es-ES_tradnl"/>
        </w:rPr>
        <w:t xml:space="preserve"> </w:t>
      </w:r>
      <w:r w:rsidR="005D0292" w:rsidRPr="006454E8">
        <w:rPr>
          <w:szCs w:val="24"/>
          <w:lang w:val="es-ES_tradnl"/>
        </w:rPr>
        <w:t>respuesta</w:t>
      </w:r>
      <w:r w:rsidR="00D136BB">
        <w:rPr>
          <w:szCs w:val="24"/>
          <w:lang w:val="es-ES_tradnl"/>
        </w:rPr>
        <w:t xml:space="preserve"> </w:t>
      </w:r>
      <w:r w:rsidR="005D0292" w:rsidRPr="006454E8">
        <w:rPr>
          <w:szCs w:val="24"/>
          <w:lang w:val="es-ES_tradnl"/>
        </w:rPr>
        <w:t>a</w:t>
      </w:r>
      <w:r w:rsidR="00D136BB">
        <w:rPr>
          <w:szCs w:val="24"/>
          <w:lang w:val="es-ES_tradnl"/>
        </w:rPr>
        <w:t xml:space="preserve"> </w:t>
      </w:r>
      <w:r w:rsidR="005D0292" w:rsidRPr="006454E8">
        <w:rPr>
          <w:szCs w:val="24"/>
          <w:lang w:val="es-ES_tradnl"/>
        </w:rPr>
        <w:t>emergencias</w:t>
      </w:r>
    </w:p>
    <w:p w14:paraId="5A66F2C9" w14:textId="70C7D828" w:rsidR="005D0292" w:rsidRPr="00AE1E0D" w:rsidRDefault="005D0292" w:rsidP="005D0292">
      <w:pPr>
        <w:pStyle w:val="ListNumber"/>
        <w:rPr>
          <w:rFonts w:cs="Times New Roman"/>
          <w:szCs w:val="24"/>
          <w:lang w:val="es-ES" w:eastAsia="es-CL"/>
        </w:rPr>
      </w:pPr>
      <w:r w:rsidRPr="00AE1E0D">
        <w:rPr>
          <w:rFonts w:cs="Times New Roman"/>
          <w:szCs w:val="24"/>
          <w:lang w:val="es-ES" w:eastAsia="es-CL"/>
        </w:rPr>
        <w:t>Se</w:t>
      </w:r>
      <w:r w:rsidR="00D136BB">
        <w:rPr>
          <w:rFonts w:cs="Times New Roman"/>
          <w:szCs w:val="24"/>
          <w:lang w:val="es-ES" w:eastAsia="es-CL"/>
        </w:rPr>
        <w:t xml:space="preserve"> </w:t>
      </w:r>
      <w:r w:rsidRPr="00AE1E0D">
        <w:rPr>
          <w:rFonts w:cs="Times New Roman"/>
          <w:szCs w:val="24"/>
          <w:lang w:val="es-ES" w:eastAsia="es-CL"/>
        </w:rPr>
        <w:t>han</w:t>
      </w:r>
      <w:r w:rsidR="00D136BB">
        <w:rPr>
          <w:rFonts w:cs="Times New Roman"/>
          <w:szCs w:val="24"/>
          <w:lang w:val="es-ES" w:eastAsia="es-CL"/>
        </w:rPr>
        <w:t xml:space="preserve"> </w:t>
      </w:r>
      <w:r w:rsidRPr="00AE1E0D">
        <w:rPr>
          <w:rFonts w:cs="Times New Roman"/>
          <w:szCs w:val="24"/>
          <w:lang w:val="es-ES" w:eastAsia="es-CL"/>
        </w:rPr>
        <w:t>identificado</w:t>
      </w:r>
      <w:r w:rsidR="00D136BB">
        <w:rPr>
          <w:rFonts w:cs="Times New Roman"/>
          <w:szCs w:val="24"/>
          <w:lang w:val="es-ES" w:eastAsia="es-CL"/>
        </w:rPr>
        <w:t xml:space="preserve"> </w:t>
      </w:r>
      <w:r w:rsidRPr="00AE1E0D">
        <w:rPr>
          <w:rFonts w:cs="Times New Roman"/>
          <w:szCs w:val="24"/>
          <w:lang w:val="es-ES" w:eastAsia="es-CL"/>
        </w:rPr>
        <w:t>como</w:t>
      </w:r>
      <w:r w:rsidR="00D136BB">
        <w:rPr>
          <w:rFonts w:cs="Times New Roman"/>
          <w:szCs w:val="24"/>
          <w:lang w:val="es-ES" w:eastAsia="es-CL"/>
        </w:rPr>
        <w:t xml:space="preserve"> </w:t>
      </w:r>
      <w:r w:rsidRPr="00AE1E0D">
        <w:rPr>
          <w:rFonts w:cs="Times New Roman"/>
          <w:szCs w:val="24"/>
          <w:lang w:val="es-ES" w:eastAsia="es-CL"/>
        </w:rPr>
        <w:t>áreas</w:t>
      </w:r>
      <w:r w:rsidR="00D136BB">
        <w:rPr>
          <w:rFonts w:cs="Times New Roman"/>
          <w:szCs w:val="24"/>
          <w:lang w:val="es-ES" w:eastAsia="es-CL"/>
        </w:rPr>
        <w:t xml:space="preserve"> </w:t>
      </w:r>
      <w:r w:rsidRPr="00AE1E0D">
        <w:rPr>
          <w:rFonts w:cs="Times New Roman"/>
          <w:szCs w:val="24"/>
          <w:lang w:val="es-ES" w:eastAsia="es-CL"/>
        </w:rPr>
        <w:t>principales</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mejora</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estrategia</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protección,</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mitigación</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consecuencias</w:t>
      </w:r>
      <w:r w:rsidR="00D136BB">
        <w:rPr>
          <w:rFonts w:cs="Times New Roman"/>
          <w:szCs w:val="24"/>
          <w:lang w:val="es-ES" w:eastAsia="es-CL"/>
        </w:rPr>
        <w:t xml:space="preserve"> </w:t>
      </w:r>
      <w:r w:rsidRPr="00AE1E0D">
        <w:rPr>
          <w:rFonts w:cs="Times New Roman"/>
          <w:szCs w:val="24"/>
          <w:lang w:val="es-ES" w:eastAsia="es-CL"/>
        </w:rPr>
        <w:t>no</w:t>
      </w:r>
      <w:r w:rsidR="00D136BB">
        <w:rPr>
          <w:rFonts w:cs="Times New Roman"/>
          <w:szCs w:val="24"/>
          <w:lang w:val="es-ES" w:eastAsia="es-CL"/>
        </w:rPr>
        <w:t xml:space="preserve"> </w:t>
      </w:r>
      <w:r w:rsidRPr="00AE1E0D">
        <w:rPr>
          <w:rFonts w:cs="Times New Roman"/>
          <w:szCs w:val="24"/>
          <w:lang w:val="es-ES" w:eastAsia="es-CL"/>
        </w:rPr>
        <w:t>radiológicas</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el</w:t>
      </w:r>
      <w:r w:rsidR="00D136BB">
        <w:rPr>
          <w:rFonts w:cs="Times New Roman"/>
          <w:szCs w:val="24"/>
          <w:lang w:val="es-ES" w:eastAsia="es-CL"/>
        </w:rPr>
        <w:t xml:space="preserve"> </w:t>
      </w:r>
      <w:r w:rsidRPr="00AE1E0D">
        <w:rPr>
          <w:rFonts w:cs="Times New Roman"/>
          <w:szCs w:val="24"/>
          <w:lang w:val="es-ES" w:eastAsia="es-CL"/>
        </w:rPr>
        <w:t>sistema</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gestión.</w:t>
      </w:r>
      <w:r w:rsidR="00D136BB">
        <w:rPr>
          <w:rFonts w:cs="Times New Roman"/>
          <w:szCs w:val="24"/>
          <w:lang w:val="es-ES" w:eastAsia="es-CL"/>
        </w:rPr>
        <w:t xml:space="preserve"> </w:t>
      </w:r>
      <w:r w:rsidRPr="00AE1E0D">
        <w:rPr>
          <w:rFonts w:cs="Times New Roman"/>
          <w:szCs w:val="24"/>
          <w:lang w:val="es-ES" w:eastAsia="es-CL"/>
        </w:rPr>
        <w:t>Asimismo,</w:t>
      </w:r>
      <w:r w:rsidR="00D136BB">
        <w:rPr>
          <w:rFonts w:cs="Times New Roman"/>
          <w:szCs w:val="24"/>
          <w:lang w:val="es-ES" w:eastAsia="es-CL"/>
        </w:rPr>
        <w:t xml:space="preserve"> </w:t>
      </w:r>
      <w:r w:rsidRPr="00AE1E0D">
        <w:rPr>
          <w:rFonts w:cs="Times New Roman"/>
          <w:szCs w:val="24"/>
          <w:lang w:val="es-ES" w:eastAsia="es-CL"/>
        </w:rPr>
        <w:t>algunos</w:t>
      </w:r>
      <w:r w:rsidR="00D136BB">
        <w:rPr>
          <w:rFonts w:cs="Times New Roman"/>
          <w:szCs w:val="24"/>
          <w:lang w:val="es-ES" w:eastAsia="es-CL"/>
        </w:rPr>
        <w:t xml:space="preserve"> </w:t>
      </w:r>
      <w:r w:rsidRPr="00AE1E0D">
        <w:rPr>
          <w:rFonts w:cs="Times New Roman"/>
          <w:szCs w:val="24"/>
          <w:lang w:val="es-ES" w:eastAsia="es-CL"/>
        </w:rPr>
        <w:t>países</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región</w:t>
      </w:r>
      <w:r w:rsidR="00D136BB">
        <w:rPr>
          <w:rFonts w:cs="Times New Roman"/>
          <w:szCs w:val="24"/>
          <w:lang w:val="es-ES" w:eastAsia="es-CL"/>
        </w:rPr>
        <w:t xml:space="preserve"> </w:t>
      </w:r>
      <w:r w:rsidRPr="00AE1E0D">
        <w:rPr>
          <w:rFonts w:cs="Times New Roman"/>
          <w:szCs w:val="24"/>
          <w:lang w:val="es-ES" w:eastAsia="es-CL"/>
        </w:rPr>
        <w:t>no</w:t>
      </w:r>
      <w:r w:rsidR="00D136BB">
        <w:rPr>
          <w:rFonts w:cs="Times New Roman"/>
          <w:szCs w:val="24"/>
          <w:lang w:val="es-ES" w:eastAsia="es-CL"/>
        </w:rPr>
        <w:t xml:space="preserve"> </w:t>
      </w:r>
      <w:r w:rsidRPr="00AE1E0D">
        <w:rPr>
          <w:rFonts w:cs="Times New Roman"/>
          <w:szCs w:val="24"/>
          <w:lang w:val="es-ES" w:eastAsia="es-CL"/>
        </w:rPr>
        <w:t>han</w:t>
      </w:r>
      <w:r w:rsidR="00D136BB">
        <w:rPr>
          <w:rFonts w:cs="Times New Roman"/>
          <w:szCs w:val="24"/>
          <w:lang w:val="es-ES" w:eastAsia="es-CL"/>
        </w:rPr>
        <w:t xml:space="preserve"> </w:t>
      </w:r>
      <w:r w:rsidRPr="00AE1E0D">
        <w:rPr>
          <w:rFonts w:cs="Times New Roman"/>
          <w:szCs w:val="24"/>
          <w:lang w:val="es-ES" w:eastAsia="es-CL"/>
        </w:rPr>
        <w:t>informado</w:t>
      </w:r>
      <w:r w:rsidR="00D136BB">
        <w:rPr>
          <w:rFonts w:cs="Times New Roman"/>
          <w:szCs w:val="24"/>
          <w:lang w:val="es-ES" w:eastAsia="es-CL"/>
        </w:rPr>
        <w:t xml:space="preserve"> </w:t>
      </w:r>
      <w:r w:rsidRPr="00AE1E0D">
        <w:rPr>
          <w:rFonts w:cs="Times New Roman"/>
          <w:szCs w:val="24"/>
          <w:lang w:val="es-ES" w:eastAsia="es-CL"/>
        </w:rPr>
        <w:t>formalmente</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situación</w:t>
      </w:r>
      <w:r w:rsidR="00D136BB">
        <w:rPr>
          <w:rFonts w:cs="Times New Roman"/>
          <w:szCs w:val="24"/>
          <w:lang w:val="es-ES" w:eastAsia="es-CL"/>
        </w:rPr>
        <w:t xml:space="preserve"> </w:t>
      </w:r>
      <w:r w:rsidRPr="00AE1E0D">
        <w:rPr>
          <w:rFonts w:cs="Times New Roman"/>
          <w:szCs w:val="24"/>
          <w:lang w:val="es-ES" w:eastAsia="es-CL"/>
        </w:rPr>
        <w:t>real</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preparación</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respuesta</w:t>
      </w:r>
      <w:r w:rsidR="00D136BB">
        <w:rPr>
          <w:rFonts w:cs="Times New Roman"/>
          <w:szCs w:val="24"/>
          <w:lang w:val="es-ES" w:eastAsia="es-CL"/>
        </w:rPr>
        <w:t xml:space="preserve"> </w:t>
      </w:r>
      <w:r w:rsidRPr="00AE1E0D">
        <w:rPr>
          <w:rFonts w:cs="Times New Roman"/>
          <w:szCs w:val="24"/>
          <w:lang w:val="es-ES" w:eastAsia="es-CL"/>
        </w:rPr>
        <w:t>a</w:t>
      </w:r>
      <w:r w:rsidR="00D136BB">
        <w:rPr>
          <w:rFonts w:cs="Times New Roman"/>
          <w:szCs w:val="24"/>
          <w:lang w:val="es-ES" w:eastAsia="es-CL"/>
        </w:rPr>
        <w:t xml:space="preserve"> </w:t>
      </w:r>
      <w:r w:rsidRPr="00AE1E0D">
        <w:rPr>
          <w:rFonts w:cs="Times New Roman"/>
          <w:szCs w:val="24"/>
          <w:lang w:val="es-ES" w:eastAsia="es-CL"/>
        </w:rPr>
        <w:t>emergencias</w:t>
      </w:r>
      <w:r w:rsidR="00D136BB">
        <w:rPr>
          <w:rFonts w:cs="Times New Roman"/>
          <w:szCs w:val="24"/>
          <w:lang w:val="es-ES" w:eastAsia="es-CL"/>
        </w:rPr>
        <w:t xml:space="preserve"> </w:t>
      </w:r>
      <w:r w:rsidRPr="00AE1E0D">
        <w:rPr>
          <w:rFonts w:cs="Times New Roman"/>
          <w:szCs w:val="24"/>
          <w:lang w:val="es-ES" w:eastAsia="es-CL"/>
        </w:rPr>
        <w:t>nucleares</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radiológicas.</w:t>
      </w:r>
    </w:p>
    <w:p w14:paraId="3A7CE4CF" w14:textId="098D9A99" w:rsidR="005D0292" w:rsidRPr="00AE1E0D" w:rsidRDefault="005D0292" w:rsidP="005D0292">
      <w:pPr>
        <w:pStyle w:val="ListNumber"/>
        <w:rPr>
          <w:rFonts w:cs="Times New Roman"/>
          <w:szCs w:val="24"/>
          <w:lang w:val="es-ES" w:eastAsia="es-CL"/>
        </w:rPr>
      </w:pPr>
      <w:r w:rsidRPr="00AE1E0D">
        <w:rPr>
          <w:rFonts w:cs="Times New Roman"/>
          <w:szCs w:val="24"/>
          <w:lang w:val="es-ES" w:eastAsia="es-CL"/>
        </w:rPr>
        <w:t>Adicionalmente,</w:t>
      </w:r>
      <w:r w:rsidR="00D136BB">
        <w:rPr>
          <w:rFonts w:cs="Times New Roman"/>
          <w:szCs w:val="24"/>
          <w:lang w:val="es-ES" w:eastAsia="es-CL"/>
        </w:rPr>
        <w:t xml:space="preserve"> </w:t>
      </w:r>
      <w:r w:rsidRPr="00AE1E0D">
        <w:rPr>
          <w:rFonts w:cs="Times New Roman"/>
          <w:szCs w:val="24"/>
          <w:lang w:val="es-ES" w:eastAsia="es-CL"/>
        </w:rPr>
        <w:t>hay</w:t>
      </w:r>
      <w:r w:rsidR="00D136BB">
        <w:rPr>
          <w:rFonts w:cs="Times New Roman"/>
          <w:szCs w:val="24"/>
          <w:lang w:val="es-ES" w:eastAsia="es-CL"/>
        </w:rPr>
        <w:t xml:space="preserve"> </w:t>
      </w:r>
      <w:r w:rsidRPr="00AE1E0D">
        <w:rPr>
          <w:rFonts w:cs="Times New Roman"/>
          <w:szCs w:val="24"/>
          <w:lang w:val="es-ES" w:eastAsia="es-CL"/>
        </w:rPr>
        <w:t>otras</w:t>
      </w:r>
      <w:r w:rsidR="00D136BB">
        <w:rPr>
          <w:rFonts w:cs="Times New Roman"/>
          <w:szCs w:val="24"/>
          <w:lang w:val="es-ES" w:eastAsia="es-CL"/>
        </w:rPr>
        <w:t xml:space="preserve"> </w:t>
      </w:r>
      <w:r w:rsidRPr="00AE1E0D">
        <w:rPr>
          <w:rFonts w:cs="Times New Roman"/>
          <w:szCs w:val="24"/>
          <w:lang w:val="es-ES" w:eastAsia="es-CL"/>
        </w:rPr>
        <w:t>áreas</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mejora</w:t>
      </w:r>
      <w:r w:rsidR="00D136BB">
        <w:rPr>
          <w:rFonts w:cs="Times New Roman"/>
          <w:szCs w:val="24"/>
          <w:lang w:val="es-ES" w:eastAsia="es-CL"/>
        </w:rPr>
        <w:t xml:space="preserve"> </w:t>
      </w:r>
      <w:r w:rsidRPr="00AE1E0D">
        <w:rPr>
          <w:rFonts w:cs="Times New Roman"/>
          <w:szCs w:val="24"/>
          <w:lang w:val="es-ES" w:eastAsia="es-CL"/>
        </w:rPr>
        <w:t>como</w:t>
      </w:r>
      <w:r w:rsidR="00D136BB">
        <w:rPr>
          <w:rFonts w:cs="Times New Roman"/>
          <w:szCs w:val="24"/>
          <w:lang w:val="es-ES" w:eastAsia="es-CL"/>
        </w:rPr>
        <w:t xml:space="preserve"> </w:t>
      </w:r>
      <w:r w:rsidRPr="00AE1E0D">
        <w:rPr>
          <w:rFonts w:cs="Times New Roman"/>
          <w:szCs w:val="24"/>
          <w:lang w:val="es-ES" w:eastAsia="es-CL"/>
        </w:rPr>
        <w:t>por</w:t>
      </w:r>
      <w:r w:rsidR="00D136BB">
        <w:rPr>
          <w:rFonts w:cs="Times New Roman"/>
          <w:szCs w:val="24"/>
          <w:lang w:val="es-ES" w:eastAsia="es-CL"/>
        </w:rPr>
        <w:t xml:space="preserve"> </w:t>
      </w:r>
      <w:r w:rsidRPr="00AE1E0D">
        <w:rPr>
          <w:rFonts w:cs="Times New Roman"/>
          <w:szCs w:val="24"/>
          <w:lang w:val="es-ES" w:eastAsia="es-CL"/>
        </w:rPr>
        <w:t>ejemplo</w:t>
      </w:r>
      <w:r w:rsidR="00D136BB">
        <w:rPr>
          <w:rFonts w:cs="Times New Roman"/>
          <w:szCs w:val="24"/>
          <w:lang w:val="es-ES" w:eastAsia="es-CL"/>
        </w:rPr>
        <w:t xml:space="preserve"> </w:t>
      </w:r>
      <w:r w:rsidRPr="00AE1E0D">
        <w:rPr>
          <w:rFonts w:cs="Times New Roman"/>
          <w:szCs w:val="24"/>
          <w:lang w:val="es-ES" w:eastAsia="es-CL"/>
        </w:rPr>
        <w:t>el</w:t>
      </w:r>
      <w:r w:rsidR="00D136BB">
        <w:rPr>
          <w:rFonts w:cs="Times New Roman"/>
          <w:szCs w:val="24"/>
          <w:lang w:val="es-ES" w:eastAsia="es-CL"/>
        </w:rPr>
        <w:t xml:space="preserve"> </w:t>
      </w:r>
      <w:r w:rsidRPr="00AE1E0D">
        <w:rPr>
          <w:rFonts w:cs="Times New Roman"/>
          <w:szCs w:val="24"/>
          <w:lang w:val="es-ES" w:eastAsia="es-CL"/>
        </w:rPr>
        <w:t>análisis</w:t>
      </w:r>
      <w:r w:rsidR="00D136BB">
        <w:rPr>
          <w:rFonts w:cs="Times New Roman"/>
          <w:szCs w:val="24"/>
          <w:lang w:val="es-ES" w:eastAsia="es-CL"/>
        </w:rPr>
        <w:t xml:space="preserve"> </w:t>
      </w:r>
      <w:r w:rsidRPr="00AE1E0D">
        <w:rPr>
          <w:rFonts w:cs="Times New Roman"/>
          <w:szCs w:val="24"/>
          <w:lang w:val="es-ES" w:eastAsia="es-CL"/>
        </w:rPr>
        <w:t>sistemático</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los</w:t>
      </w:r>
      <w:r w:rsidR="00D136BB">
        <w:rPr>
          <w:rFonts w:cs="Times New Roman"/>
          <w:szCs w:val="24"/>
          <w:lang w:val="es-ES" w:eastAsia="es-CL"/>
        </w:rPr>
        <w:t xml:space="preserve"> </w:t>
      </w:r>
      <w:r w:rsidRPr="00AE1E0D">
        <w:rPr>
          <w:rFonts w:cs="Times New Roman"/>
          <w:szCs w:val="24"/>
          <w:lang w:val="es-ES" w:eastAsia="es-CL"/>
        </w:rPr>
        <w:t>accidentes,</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diseminación</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información,</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respuesta</w:t>
      </w:r>
      <w:r w:rsidR="00D136BB">
        <w:rPr>
          <w:rFonts w:cs="Times New Roman"/>
          <w:szCs w:val="24"/>
          <w:lang w:val="es-ES" w:eastAsia="es-CL"/>
        </w:rPr>
        <w:t xml:space="preserve"> </w:t>
      </w:r>
      <w:r w:rsidRPr="00AE1E0D">
        <w:rPr>
          <w:rFonts w:cs="Times New Roman"/>
          <w:szCs w:val="24"/>
          <w:lang w:val="es-ES" w:eastAsia="es-CL"/>
        </w:rPr>
        <w:t>médica,</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dosimetría</w:t>
      </w:r>
      <w:r w:rsidR="00D136BB">
        <w:rPr>
          <w:rFonts w:cs="Times New Roman"/>
          <w:szCs w:val="24"/>
          <w:lang w:val="es-ES" w:eastAsia="es-CL"/>
        </w:rPr>
        <w:t xml:space="preserve"> </w:t>
      </w:r>
      <w:r w:rsidRPr="00AE1E0D">
        <w:rPr>
          <w:rFonts w:cs="Times New Roman"/>
          <w:szCs w:val="24"/>
          <w:lang w:val="es-ES" w:eastAsia="es-CL"/>
        </w:rPr>
        <w:t>retrospectiva</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capacidad</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los</w:t>
      </w:r>
      <w:r w:rsidR="00D136BB">
        <w:rPr>
          <w:rFonts w:cs="Times New Roman"/>
          <w:szCs w:val="24"/>
          <w:lang w:val="es-ES" w:eastAsia="es-CL"/>
        </w:rPr>
        <w:t xml:space="preserve"> </w:t>
      </w:r>
      <w:r w:rsidRPr="00AE1E0D">
        <w:rPr>
          <w:rFonts w:cs="Times New Roman"/>
          <w:szCs w:val="24"/>
          <w:lang w:val="es-ES" w:eastAsia="es-CL"/>
        </w:rPr>
        <w:t>primeros</w:t>
      </w:r>
      <w:r w:rsidR="00D136BB">
        <w:rPr>
          <w:rFonts w:cs="Times New Roman"/>
          <w:szCs w:val="24"/>
          <w:lang w:val="es-ES" w:eastAsia="es-CL"/>
        </w:rPr>
        <w:t xml:space="preserve"> </w:t>
      </w:r>
      <w:r w:rsidRPr="00AE1E0D">
        <w:rPr>
          <w:rFonts w:cs="Times New Roman"/>
          <w:szCs w:val="24"/>
          <w:lang w:val="es-ES" w:eastAsia="es-CL"/>
        </w:rPr>
        <w:t>respondedores.</w:t>
      </w:r>
    </w:p>
    <w:p w14:paraId="6462A03B" w14:textId="5E27110B" w:rsidR="005D0292" w:rsidRPr="00AE1E0D" w:rsidRDefault="001F7F3E" w:rsidP="001F7F3E">
      <w:pPr>
        <w:pStyle w:val="ListNumber"/>
        <w:numPr>
          <w:ilvl w:val="0"/>
          <w:numId w:val="0"/>
        </w:numPr>
        <w:spacing w:before="360"/>
        <w:rPr>
          <w:rFonts w:cs="Times New Roman"/>
          <w:b/>
          <w:bCs/>
          <w:szCs w:val="24"/>
          <w:lang w:eastAsia="es-CL"/>
        </w:rPr>
      </w:pPr>
      <w:r w:rsidRPr="00AE1E0D">
        <w:rPr>
          <w:rFonts w:cs="Times New Roman"/>
          <w:b/>
          <w:bCs/>
          <w:szCs w:val="24"/>
          <w:lang w:eastAsia="es-CL"/>
        </w:rPr>
        <w:lastRenderedPageBreak/>
        <w:t>vii)</w:t>
      </w:r>
      <w:r w:rsidR="00D136BB">
        <w:rPr>
          <w:rFonts w:cs="Times New Roman"/>
          <w:b/>
          <w:bCs/>
          <w:szCs w:val="24"/>
          <w:lang w:eastAsia="es-CL"/>
        </w:rPr>
        <w:t xml:space="preserve"> </w:t>
      </w:r>
      <w:r w:rsidR="005D0292" w:rsidRPr="00AE1E0D">
        <w:rPr>
          <w:rFonts w:cs="Times New Roman"/>
          <w:b/>
          <w:bCs/>
          <w:szCs w:val="24"/>
          <w:lang w:eastAsia="es-CL"/>
        </w:rPr>
        <w:t>Educación</w:t>
      </w:r>
      <w:r w:rsidR="00D136BB">
        <w:rPr>
          <w:rFonts w:cs="Times New Roman"/>
          <w:b/>
          <w:bCs/>
          <w:szCs w:val="24"/>
          <w:lang w:eastAsia="es-CL"/>
        </w:rPr>
        <w:t xml:space="preserve"> </w:t>
      </w:r>
      <w:r w:rsidR="005D0292" w:rsidRPr="00AE1E0D">
        <w:rPr>
          <w:rFonts w:cs="Times New Roman"/>
          <w:b/>
          <w:bCs/>
          <w:szCs w:val="24"/>
          <w:lang w:eastAsia="es-CL"/>
        </w:rPr>
        <w:t>y</w:t>
      </w:r>
      <w:r w:rsidR="00D136BB">
        <w:rPr>
          <w:rFonts w:cs="Times New Roman"/>
          <w:b/>
          <w:bCs/>
          <w:szCs w:val="24"/>
          <w:lang w:eastAsia="es-CL"/>
        </w:rPr>
        <w:t xml:space="preserve"> </w:t>
      </w:r>
      <w:r w:rsidR="005D0292" w:rsidRPr="00AE1E0D">
        <w:rPr>
          <w:rFonts w:cs="Times New Roman"/>
          <w:b/>
          <w:bCs/>
          <w:szCs w:val="24"/>
          <w:lang w:eastAsia="es-CL"/>
        </w:rPr>
        <w:t>capacitación</w:t>
      </w:r>
      <w:r w:rsidR="00D136BB">
        <w:rPr>
          <w:rFonts w:cs="Times New Roman"/>
          <w:b/>
          <w:bCs/>
          <w:szCs w:val="24"/>
          <w:lang w:eastAsia="es-CL"/>
        </w:rPr>
        <w:t xml:space="preserve"> </w:t>
      </w:r>
      <w:r w:rsidR="005D0292" w:rsidRPr="00AE1E0D">
        <w:rPr>
          <w:rFonts w:cs="Times New Roman"/>
          <w:b/>
          <w:bCs/>
          <w:szCs w:val="24"/>
          <w:lang w:eastAsia="es-CL"/>
        </w:rPr>
        <w:t>en</w:t>
      </w:r>
      <w:r w:rsidR="00D136BB">
        <w:rPr>
          <w:rFonts w:cs="Times New Roman"/>
          <w:b/>
          <w:bCs/>
          <w:szCs w:val="24"/>
          <w:lang w:eastAsia="es-CL"/>
        </w:rPr>
        <w:t xml:space="preserve"> </w:t>
      </w:r>
      <w:r w:rsidR="005D0292" w:rsidRPr="00AE1E0D">
        <w:rPr>
          <w:rFonts w:cs="Times New Roman"/>
          <w:b/>
          <w:bCs/>
          <w:szCs w:val="24"/>
        </w:rPr>
        <w:t>seguridad</w:t>
      </w:r>
      <w:r w:rsidR="00D136BB">
        <w:rPr>
          <w:rFonts w:cs="Times New Roman"/>
          <w:b/>
          <w:bCs/>
          <w:szCs w:val="24"/>
          <w:lang w:eastAsia="es-CL"/>
        </w:rPr>
        <w:t xml:space="preserve"> </w:t>
      </w:r>
      <w:r w:rsidR="005D0292" w:rsidRPr="00AE1E0D">
        <w:rPr>
          <w:rFonts w:cs="Times New Roman"/>
          <w:b/>
          <w:bCs/>
          <w:szCs w:val="24"/>
          <w:lang w:eastAsia="es-CL"/>
        </w:rPr>
        <w:t>radiológica.</w:t>
      </w:r>
    </w:p>
    <w:p w14:paraId="36A9D8C4" w14:textId="6216881E" w:rsidR="005D0292" w:rsidRPr="00AE1E0D" w:rsidRDefault="005D0292" w:rsidP="005D0292">
      <w:pPr>
        <w:pStyle w:val="ListNumber"/>
        <w:rPr>
          <w:rFonts w:cs="Times New Roman"/>
          <w:szCs w:val="24"/>
          <w:lang w:eastAsia="es-CL"/>
        </w:rPr>
      </w:pPr>
      <w:r w:rsidRPr="00AE1E0D">
        <w:rPr>
          <w:rFonts w:cs="Times New Roman"/>
          <w:szCs w:val="24"/>
          <w:lang w:val="es-ES" w:eastAsia="es-CL"/>
        </w:rPr>
        <w:t>Faltan</w:t>
      </w:r>
      <w:r w:rsidR="00D136BB">
        <w:rPr>
          <w:rFonts w:cs="Times New Roman"/>
          <w:szCs w:val="24"/>
          <w:lang w:val="es-ES" w:eastAsia="es-CL"/>
        </w:rPr>
        <w:t xml:space="preserve"> </w:t>
      </w:r>
      <w:r w:rsidRPr="00AE1E0D">
        <w:rPr>
          <w:rFonts w:cs="Times New Roman"/>
          <w:szCs w:val="24"/>
          <w:lang w:val="es-ES" w:eastAsia="es-CL"/>
        </w:rPr>
        <w:t>estrategias</w:t>
      </w:r>
      <w:r w:rsidR="00D136BB">
        <w:rPr>
          <w:rFonts w:cs="Times New Roman"/>
          <w:szCs w:val="24"/>
          <w:lang w:val="es-ES" w:eastAsia="es-CL"/>
        </w:rPr>
        <w:t xml:space="preserve"> </w:t>
      </w:r>
      <w:r w:rsidRPr="00AE1E0D">
        <w:rPr>
          <w:rFonts w:cs="Times New Roman"/>
          <w:szCs w:val="24"/>
          <w:lang w:val="es-ES" w:eastAsia="es-CL"/>
        </w:rPr>
        <w:t>nacionales</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educación</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capacitación</w:t>
      </w:r>
      <w:r w:rsidR="00D136BB">
        <w:rPr>
          <w:rFonts w:cs="Times New Roman"/>
          <w:szCs w:val="24"/>
          <w:lang w:val="es-ES" w:eastAsia="es-CL"/>
        </w:rPr>
        <w:t xml:space="preserve"> </w:t>
      </w:r>
      <w:r w:rsidRPr="00AE1E0D">
        <w:rPr>
          <w:rFonts w:cs="Times New Roman"/>
          <w:szCs w:val="24"/>
          <w:lang w:val="es-ES" w:eastAsia="es-CL"/>
        </w:rPr>
        <w:t>en</w:t>
      </w:r>
      <w:r w:rsidR="00D136BB">
        <w:rPr>
          <w:rFonts w:cs="Times New Roman"/>
          <w:szCs w:val="24"/>
          <w:lang w:val="es-ES" w:eastAsia="es-CL"/>
        </w:rPr>
        <w:t xml:space="preserve"> </w:t>
      </w:r>
      <w:r w:rsidRPr="00AE1E0D">
        <w:rPr>
          <w:rFonts w:cs="Times New Roman"/>
          <w:szCs w:val="24"/>
          <w:lang w:val="es-ES" w:eastAsia="es-CL"/>
        </w:rPr>
        <w:t>seguridad</w:t>
      </w:r>
      <w:r w:rsidR="00D136BB">
        <w:rPr>
          <w:rFonts w:cs="Times New Roman"/>
          <w:szCs w:val="24"/>
          <w:lang w:val="es-ES" w:eastAsia="es-CL"/>
        </w:rPr>
        <w:t xml:space="preserve"> </w:t>
      </w:r>
      <w:r w:rsidRPr="00AE1E0D">
        <w:rPr>
          <w:rFonts w:cs="Times New Roman"/>
          <w:szCs w:val="24"/>
          <w:lang w:val="es-ES" w:eastAsia="es-CL"/>
        </w:rPr>
        <w:t>radiológica,</w:t>
      </w:r>
      <w:r w:rsidR="00D136BB">
        <w:rPr>
          <w:rFonts w:cs="Times New Roman"/>
          <w:szCs w:val="24"/>
          <w:lang w:val="es-ES" w:eastAsia="es-CL"/>
        </w:rPr>
        <w:t xml:space="preserve"> </w:t>
      </w:r>
      <w:r w:rsidRPr="00AE1E0D">
        <w:rPr>
          <w:rFonts w:cs="Times New Roman"/>
          <w:szCs w:val="24"/>
          <w:lang w:val="es-ES" w:eastAsia="es-CL"/>
        </w:rPr>
        <w:t>del</w:t>
      </w:r>
      <w:r w:rsidR="00D136BB">
        <w:rPr>
          <w:rFonts w:cs="Times New Roman"/>
          <w:szCs w:val="24"/>
          <w:lang w:val="es-ES" w:eastAsia="es-CL"/>
        </w:rPr>
        <w:t xml:space="preserve"> </w:t>
      </w:r>
      <w:r w:rsidRPr="00AE1E0D">
        <w:rPr>
          <w:rFonts w:cs="Times New Roman"/>
          <w:szCs w:val="24"/>
          <w:lang w:val="es-ES" w:eastAsia="es-CL"/>
        </w:rPr>
        <w:t>transporte</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los</w:t>
      </w:r>
      <w:r w:rsidR="00D136BB">
        <w:rPr>
          <w:rFonts w:cs="Times New Roman"/>
          <w:szCs w:val="24"/>
          <w:lang w:val="es-ES" w:eastAsia="es-CL"/>
        </w:rPr>
        <w:t xml:space="preserve"> </w:t>
      </w:r>
      <w:r w:rsidRPr="00AE1E0D">
        <w:rPr>
          <w:rFonts w:cs="Times New Roman"/>
          <w:szCs w:val="24"/>
          <w:lang w:val="es-ES" w:eastAsia="es-CL"/>
        </w:rPr>
        <w:t>desechos</w:t>
      </w:r>
      <w:r w:rsidR="00D136BB">
        <w:rPr>
          <w:rFonts w:cs="Times New Roman"/>
          <w:szCs w:val="24"/>
          <w:lang w:val="es-ES" w:eastAsia="es-CL"/>
        </w:rPr>
        <w:t xml:space="preserve"> </w:t>
      </w:r>
      <w:r w:rsidRPr="00AE1E0D">
        <w:rPr>
          <w:rFonts w:cs="Times New Roman"/>
          <w:szCs w:val="24"/>
          <w:lang w:val="es-ES" w:eastAsia="es-CL"/>
        </w:rPr>
        <w:t>en</w:t>
      </w:r>
      <w:r w:rsidR="00D136BB">
        <w:rPr>
          <w:rFonts w:cs="Times New Roman"/>
          <w:szCs w:val="24"/>
          <w:lang w:val="es-ES" w:eastAsia="es-CL"/>
        </w:rPr>
        <w:t xml:space="preserve"> </w:t>
      </w: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mayoría</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los</w:t>
      </w:r>
      <w:r w:rsidR="00D136BB">
        <w:rPr>
          <w:rFonts w:cs="Times New Roman"/>
          <w:szCs w:val="24"/>
          <w:lang w:val="es-ES" w:eastAsia="es-CL"/>
        </w:rPr>
        <w:t xml:space="preserve"> </w:t>
      </w:r>
      <w:r w:rsidRPr="00AE1E0D">
        <w:rPr>
          <w:rFonts w:cs="Times New Roman"/>
          <w:szCs w:val="24"/>
          <w:lang w:val="es-ES" w:eastAsia="es-CL"/>
        </w:rPr>
        <w:t>países.</w:t>
      </w:r>
    </w:p>
    <w:p w14:paraId="2CEDAF2C" w14:textId="27159B7D" w:rsidR="005D0292" w:rsidRPr="00AE1E0D" w:rsidRDefault="005D0292" w:rsidP="005D0292">
      <w:pPr>
        <w:pStyle w:val="ListNumber"/>
        <w:rPr>
          <w:rFonts w:cs="Times New Roman"/>
          <w:szCs w:val="24"/>
          <w:lang w:eastAsia="es-CL"/>
        </w:rPr>
      </w:pP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mayoría</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los</w:t>
      </w:r>
      <w:r w:rsidR="00D136BB">
        <w:rPr>
          <w:rFonts w:cs="Times New Roman"/>
          <w:szCs w:val="24"/>
          <w:lang w:val="es-ES" w:eastAsia="es-CL"/>
        </w:rPr>
        <w:t xml:space="preserve"> </w:t>
      </w:r>
      <w:r w:rsidRPr="00AE1E0D">
        <w:rPr>
          <w:rFonts w:cs="Times New Roman"/>
          <w:szCs w:val="24"/>
          <w:lang w:val="es-ES" w:eastAsia="es-CL"/>
        </w:rPr>
        <w:t>países</w:t>
      </w:r>
      <w:r w:rsidR="00D136BB">
        <w:rPr>
          <w:rFonts w:cs="Times New Roman"/>
          <w:szCs w:val="24"/>
          <w:lang w:val="es-ES" w:eastAsia="es-CL"/>
        </w:rPr>
        <w:t xml:space="preserve"> </w:t>
      </w:r>
      <w:r w:rsidRPr="00AE1E0D">
        <w:rPr>
          <w:rFonts w:cs="Times New Roman"/>
          <w:szCs w:val="24"/>
          <w:lang w:val="es-ES" w:eastAsia="es-CL"/>
        </w:rPr>
        <w:t>dispone</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algunos</w:t>
      </w:r>
      <w:r w:rsidR="00D136BB">
        <w:rPr>
          <w:rFonts w:cs="Times New Roman"/>
          <w:szCs w:val="24"/>
          <w:lang w:val="es-ES" w:eastAsia="es-CL"/>
        </w:rPr>
        <w:t xml:space="preserve"> </w:t>
      </w:r>
      <w:r w:rsidRPr="00AE1E0D">
        <w:rPr>
          <w:rFonts w:cs="Times New Roman"/>
          <w:szCs w:val="24"/>
          <w:lang w:val="es-ES" w:eastAsia="es-CL"/>
        </w:rPr>
        <w:t>requisitos</w:t>
      </w:r>
      <w:r w:rsidR="00D136BB">
        <w:rPr>
          <w:rFonts w:cs="Times New Roman"/>
          <w:szCs w:val="24"/>
          <w:lang w:val="es-ES" w:eastAsia="es-CL"/>
        </w:rPr>
        <w:t xml:space="preserve"> </w:t>
      </w:r>
      <w:r w:rsidRPr="00AE1E0D">
        <w:rPr>
          <w:rFonts w:cs="Times New Roman"/>
          <w:szCs w:val="24"/>
          <w:lang w:val="es-ES" w:eastAsia="es-CL"/>
        </w:rPr>
        <w:t>reguladores</w:t>
      </w:r>
      <w:r w:rsidR="00D136BB">
        <w:rPr>
          <w:rFonts w:cs="Times New Roman"/>
          <w:szCs w:val="24"/>
          <w:lang w:val="es-ES" w:eastAsia="es-CL"/>
        </w:rPr>
        <w:t xml:space="preserve"> </w:t>
      </w:r>
      <w:r w:rsidRPr="00AE1E0D">
        <w:rPr>
          <w:rFonts w:cs="Times New Roman"/>
          <w:szCs w:val="24"/>
          <w:lang w:val="es-ES" w:eastAsia="es-CL"/>
        </w:rPr>
        <w:t>sobre</w:t>
      </w:r>
      <w:r w:rsidR="00D136BB">
        <w:rPr>
          <w:rFonts w:cs="Times New Roman"/>
          <w:szCs w:val="24"/>
          <w:lang w:val="es-ES" w:eastAsia="es-CL"/>
        </w:rPr>
        <w:t xml:space="preserve"> </w:t>
      </w:r>
      <w:r w:rsidRPr="00AE1E0D">
        <w:rPr>
          <w:rFonts w:cs="Times New Roman"/>
          <w:szCs w:val="24"/>
          <w:lang w:val="es-ES" w:eastAsia="es-CL"/>
        </w:rPr>
        <w:t>educación</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capacitación</w:t>
      </w:r>
      <w:r w:rsidR="00D136BB">
        <w:rPr>
          <w:rFonts w:cs="Times New Roman"/>
          <w:szCs w:val="24"/>
          <w:lang w:val="es-ES" w:eastAsia="es-CL"/>
        </w:rPr>
        <w:t xml:space="preserve"> </w:t>
      </w:r>
      <w:r w:rsidRPr="00AE1E0D">
        <w:rPr>
          <w:rFonts w:cs="Times New Roman"/>
          <w:szCs w:val="24"/>
          <w:lang w:val="es-ES" w:eastAsia="es-CL"/>
        </w:rPr>
        <w:t>en</w:t>
      </w:r>
      <w:r w:rsidR="00D136BB">
        <w:rPr>
          <w:rFonts w:cs="Times New Roman"/>
          <w:szCs w:val="24"/>
          <w:lang w:val="es-ES" w:eastAsia="es-CL"/>
        </w:rPr>
        <w:t xml:space="preserve"> </w:t>
      </w:r>
      <w:r w:rsidRPr="00AE1E0D">
        <w:rPr>
          <w:rFonts w:cs="Times New Roman"/>
          <w:szCs w:val="24"/>
          <w:lang w:val="es-ES" w:eastAsia="es-CL"/>
        </w:rPr>
        <w:t>seguridad</w:t>
      </w:r>
      <w:r w:rsidR="00D136BB">
        <w:rPr>
          <w:rFonts w:cs="Times New Roman"/>
          <w:szCs w:val="24"/>
          <w:lang w:val="es-ES" w:eastAsia="es-CL"/>
        </w:rPr>
        <w:t xml:space="preserve"> </w:t>
      </w:r>
      <w:r w:rsidRPr="00AE1E0D">
        <w:rPr>
          <w:rFonts w:cs="Times New Roman"/>
          <w:szCs w:val="24"/>
          <w:lang w:val="es-ES" w:eastAsia="es-CL"/>
        </w:rPr>
        <w:t>radiológica.</w:t>
      </w:r>
      <w:r w:rsidR="00D136BB">
        <w:rPr>
          <w:rFonts w:cs="Times New Roman"/>
          <w:szCs w:val="24"/>
          <w:lang w:val="es-ES" w:eastAsia="es-CL"/>
        </w:rPr>
        <w:t xml:space="preserve"> </w:t>
      </w:r>
      <w:r w:rsidRPr="00AE1E0D">
        <w:rPr>
          <w:rFonts w:cs="Times New Roman"/>
          <w:szCs w:val="24"/>
          <w:lang w:val="es-ES" w:eastAsia="es-CL"/>
        </w:rPr>
        <w:t>Sin</w:t>
      </w:r>
      <w:r w:rsidR="00D136BB">
        <w:rPr>
          <w:rFonts w:cs="Times New Roman"/>
          <w:szCs w:val="24"/>
          <w:lang w:val="es-ES" w:eastAsia="es-CL"/>
        </w:rPr>
        <w:t xml:space="preserve"> </w:t>
      </w:r>
      <w:r w:rsidRPr="00AE1E0D">
        <w:rPr>
          <w:rFonts w:cs="Times New Roman"/>
          <w:szCs w:val="24"/>
          <w:lang w:val="es-ES" w:eastAsia="es-CL"/>
        </w:rPr>
        <w:t>embargo,</w:t>
      </w:r>
      <w:r w:rsidR="00D136BB">
        <w:rPr>
          <w:rFonts w:cs="Times New Roman"/>
          <w:szCs w:val="24"/>
          <w:lang w:val="es-ES" w:eastAsia="es-CL"/>
        </w:rPr>
        <w:t xml:space="preserve"> </w:t>
      </w:r>
      <w:r w:rsidRPr="00AE1E0D">
        <w:rPr>
          <w:rFonts w:cs="Times New Roman"/>
          <w:szCs w:val="24"/>
          <w:lang w:val="es-ES" w:eastAsia="es-CL"/>
        </w:rPr>
        <w:t>no</w:t>
      </w:r>
      <w:r w:rsidR="00D136BB">
        <w:rPr>
          <w:rFonts w:cs="Times New Roman"/>
          <w:szCs w:val="24"/>
          <w:lang w:val="es-ES" w:eastAsia="es-CL"/>
        </w:rPr>
        <w:t xml:space="preserve"> </w:t>
      </w:r>
      <w:r w:rsidRPr="00AE1E0D">
        <w:rPr>
          <w:rFonts w:cs="Times New Roman"/>
          <w:szCs w:val="24"/>
          <w:lang w:val="es-ES" w:eastAsia="es-CL"/>
        </w:rPr>
        <w:t>cubren</w:t>
      </w:r>
      <w:r w:rsidR="00D136BB">
        <w:rPr>
          <w:rFonts w:cs="Times New Roman"/>
          <w:szCs w:val="24"/>
          <w:lang w:val="es-ES" w:eastAsia="es-CL"/>
        </w:rPr>
        <w:t xml:space="preserve"> </w:t>
      </w:r>
      <w:r w:rsidRPr="00AE1E0D">
        <w:rPr>
          <w:rFonts w:cs="Times New Roman"/>
          <w:szCs w:val="24"/>
          <w:lang w:val="es-ES" w:eastAsia="es-CL"/>
        </w:rPr>
        <w:t>todas</w:t>
      </w:r>
      <w:r w:rsidR="00D136BB">
        <w:rPr>
          <w:rFonts w:cs="Times New Roman"/>
          <w:szCs w:val="24"/>
          <w:lang w:val="es-ES" w:eastAsia="es-CL"/>
        </w:rPr>
        <w:t xml:space="preserve"> </w:t>
      </w:r>
      <w:r w:rsidRPr="00AE1E0D">
        <w:rPr>
          <w:rFonts w:cs="Times New Roman"/>
          <w:szCs w:val="24"/>
          <w:lang w:val="es-ES" w:eastAsia="es-CL"/>
        </w:rPr>
        <w:t>las</w:t>
      </w:r>
      <w:r w:rsidR="00D136BB">
        <w:rPr>
          <w:rFonts w:cs="Times New Roman"/>
          <w:szCs w:val="24"/>
          <w:lang w:val="es-ES" w:eastAsia="es-CL"/>
        </w:rPr>
        <w:t xml:space="preserve"> </w:t>
      </w:r>
      <w:r w:rsidRPr="00AE1E0D">
        <w:rPr>
          <w:rFonts w:cs="Times New Roman"/>
          <w:szCs w:val="24"/>
          <w:lang w:val="es-ES" w:eastAsia="es-CL"/>
        </w:rPr>
        <w:t>categorías</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personal</w:t>
      </w:r>
      <w:r w:rsidR="00D136BB">
        <w:rPr>
          <w:rFonts w:cs="Times New Roman"/>
          <w:szCs w:val="24"/>
          <w:lang w:val="es-ES" w:eastAsia="es-CL"/>
        </w:rPr>
        <w:t xml:space="preserve"> </w:t>
      </w:r>
      <w:r w:rsidRPr="00AE1E0D">
        <w:rPr>
          <w:rFonts w:cs="Times New Roman"/>
          <w:szCs w:val="24"/>
          <w:lang w:val="es-ES" w:eastAsia="es-CL"/>
        </w:rPr>
        <w:t>que</w:t>
      </w:r>
      <w:r w:rsidR="00D136BB">
        <w:rPr>
          <w:rFonts w:cs="Times New Roman"/>
          <w:szCs w:val="24"/>
          <w:lang w:val="es-ES" w:eastAsia="es-CL"/>
        </w:rPr>
        <w:t xml:space="preserve"> </w:t>
      </w:r>
      <w:r w:rsidRPr="00AE1E0D">
        <w:rPr>
          <w:rFonts w:cs="Times New Roman"/>
          <w:szCs w:val="24"/>
          <w:lang w:val="es-ES" w:eastAsia="es-CL"/>
        </w:rPr>
        <w:t>requiere</w:t>
      </w:r>
      <w:r w:rsidR="00D136BB">
        <w:rPr>
          <w:rFonts w:cs="Times New Roman"/>
          <w:szCs w:val="24"/>
          <w:lang w:val="es-ES" w:eastAsia="es-CL"/>
        </w:rPr>
        <w:t xml:space="preserve"> </w:t>
      </w:r>
      <w:r w:rsidRPr="00AE1E0D">
        <w:rPr>
          <w:rFonts w:cs="Times New Roman"/>
          <w:szCs w:val="24"/>
          <w:lang w:val="es-ES" w:eastAsia="es-CL"/>
        </w:rPr>
        <w:t>educación</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capacitación</w:t>
      </w:r>
      <w:r w:rsidR="00D136BB">
        <w:rPr>
          <w:rFonts w:cs="Times New Roman"/>
          <w:szCs w:val="24"/>
          <w:lang w:val="es-ES" w:eastAsia="es-CL"/>
        </w:rPr>
        <w:t xml:space="preserve"> </w:t>
      </w:r>
      <w:r w:rsidRPr="00AE1E0D">
        <w:rPr>
          <w:rFonts w:cs="Times New Roman"/>
          <w:szCs w:val="24"/>
          <w:lang w:val="es-ES" w:eastAsia="es-CL"/>
        </w:rPr>
        <w:t>en</w:t>
      </w:r>
      <w:r w:rsidR="00D136BB">
        <w:rPr>
          <w:rFonts w:cs="Times New Roman"/>
          <w:szCs w:val="24"/>
          <w:lang w:val="es-ES" w:eastAsia="es-CL"/>
        </w:rPr>
        <w:t xml:space="preserve"> </w:t>
      </w:r>
      <w:r w:rsidRPr="00AE1E0D">
        <w:rPr>
          <w:rFonts w:cs="Times New Roman"/>
          <w:szCs w:val="24"/>
          <w:lang w:val="es-ES" w:eastAsia="es-CL"/>
        </w:rPr>
        <w:t>esta</w:t>
      </w:r>
      <w:r w:rsidR="00D136BB">
        <w:rPr>
          <w:rFonts w:cs="Times New Roman"/>
          <w:szCs w:val="24"/>
          <w:lang w:val="es-ES" w:eastAsia="es-CL"/>
        </w:rPr>
        <w:t xml:space="preserve"> </w:t>
      </w:r>
      <w:r w:rsidRPr="00AE1E0D">
        <w:rPr>
          <w:rFonts w:cs="Times New Roman"/>
          <w:szCs w:val="24"/>
          <w:lang w:val="es-ES" w:eastAsia="es-CL"/>
        </w:rPr>
        <w:t>área.</w:t>
      </w:r>
    </w:p>
    <w:p w14:paraId="3565E7E7" w14:textId="4FE5093D" w:rsidR="005D0292" w:rsidRPr="00AE1E0D" w:rsidRDefault="005D0292" w:rsidP="005D0292">
      <w:pPr>
        <w:pStyle w:val="ListNumber"/>
        <w:rPr>
          <w:rFonts w:cs="Times New Roman"/>
          <w:szCs w:val="24"/>
          <w:lang w:eastAsia="es-CL"/>
        </w:rPr>
      </w:pPr>
      <w:r w:rsidRPr="00AE1E0D">
        <w:rPr>
          <w:rFonts w:cs="Times New Roman"/>
          <w:szCs w:val="24"/>
          <w:lang w:val="es-ES" w:eastAsia="es-CL"/>
        </w:rPr>
        <w:t>No</w:t>
      </w:r>
      <w:r w:rsidR="00D136BB">
        <w:rPr>
          <w:rFonts w:cs="Times New Roman"/>
          <w:szCs w:val="24"/>
          <w:lang w:val="es-ES" w:eastAsia="es-CL"/>
        </w:rPr>
        <w:t xml:space="preserve"> </w:t>
      </w:r>
      <w:r w:rsidRPr="00AE1E0D">
        <w:rPr>
          <w:rFonts w:cs="Times New Roman"/>
          <w:szCs w:val="24"/>
          <w:lang w:val="es-ES" w:eastAsia="es-CL"/>
        </w:rPr>
        <w:t>se</w:t>
      </w:r>
      <w:r w:rsidR="00D136BB">
        <w:rPr>
          <w:rFonts w:cs="Times New Roman"/>
          <w:szCs w:val="24"/>
          <w:lang w:val="es-ES" w:eastAsia="es-CL"/>
        </w:rPr>
        <w:t xml:space="preserve"> </w:t>
      </w:r>
      <w:r w:rsidRPr="00AE1E0D">
        <w:rPr>
          <w:rFonts w:cs="Times New Roman"/>
          <w:szCs w:val="24"/>
          <w:lang w:val="es-ES" w:eastAsia="es-CL"/>
        </w:rPr>
        <w:t>dispone</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oficiales</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protección</w:t>
      </w:r>
      <w:r w:rsidR="00D136BB">
        <w:rPr>
          <w:rFonts w:cs="Times New Roman"/>
          <w:szCs w:val="24"/>
          <w:lang w:val="es-ES" w:eastAsia="es-CL"/>
        </w:rPr>
        <w:t xml:space="preserve"> </w:t>
      </w:r>
      <w:r w:rsidRPr="00AE1E0D">
        <w:rPr>
          <w:rFonts w:cs="Times New Roman"/>
          <w:szCs w:val="24"/>
          <w:lang w:val="es-ES" w:eastAsia="es-CL"/>
        </w:rPr>
        <w:t>radiológica</w:t>
      </w:r>
      <w:r w:rsidR="00D136BB">
        <w:rPr>
          <w:rFonts w:cs="Times New Roman"/>
          <w:szCs w:val="24"/>
          <w:lang w:val="es-ES" w:eastAsia="es-CL"/>
        </w:rPr>
        <w:t xml:space="preserve"> </w:t>
      </w:r>
      <w:r w:rsidRPr="00AE1E0D">
        <w:rPr>
          <w:rFonts w:cs="Times New Roman"/>
          <w:szCs w:val="24"/>
          <w:lang w:val="es-ES" w:eastAsia="es-CL"/>
        </w:rPr>
        <w:t>ni</w:t>
      </w:r>
      <w:r w:rsidR="00D136BB">
        <w:rPr>
          <w:rFonts w:cs="Times New Roman"/>
          <w:szCs w:val="24"/>
          <w:lang w:val="es-ES" w:eastAsia="es-CL"/>
        </w:rPr>
        <w:t xml:space="preserve"> </w:t>
      </w:r>
      <w:r w:rsidRPr="00AE1E0D">
        <w:rPr>
          <w:rFonts w:cs="Times New Roman"/>
          <w:szCs w:val="24"/>
          <w:lang w:val="es-ES" w:eastAsia="es-CL"/>
        </w:rPr>
        <w:t>expertos</w:t>
      </w:r>
      <w:r w:rsidR="00D136BB">
        <w:rPr>
          <w:rFonts w:cs="Times New Roman"/>
          <w:szCs w:val="24"/>
          <w:lang w:val="es-ES" w:eastAsia="es-CL"/>
        </w:rPr>
        <w:t xml:space="preserve"> </w:t>
      </w:r>
      <w:r w:rsidRPr="00AE1E0D">
        <w:rPr>
          <w:rFonts w:cs="Times New Roman"/>
          <w:szCs w:val="24"/>
          <w:lang w:val="es-ES" w:eastAsia="es-CL"/>
        </w:rPr>
        <w:t>calificados</w:t>
      </w:r>
      <w:r w:rsidR="00D136BB">
        <w:rPr>
          <w:rFonts w:cs="Times New Roman"/>
          <w:szCs w:val="24"/>
          <w:lang w:val="es-ES" w:eastAsia="es-CL"/>
        </w:rPr>
        <w:t xml:space="preserve"> </w:t>
      </w:r>
      <w:r w:rsidRPr="00AE1E0D">
        <w:rPr>
          <w:rFonts w:cs="Times New Roman"/>
          <w:szCs w:val="24"/>
          <w:lang w:val="es-ES" w:eastAsia="es-CL"/>
        </w:rPr>
        <w:t>en</w:t>
      </w:r>
      <w:r w:rsidR="00D136BB">
        <w:rPr>
          <w:rFonts w:cs="Times New Roman"/>
          <w:szCs w:val="24"/>
          <w:lang w:val="es-ES" w:eastAsia="es-CL"/>
        </w:rPr>
        <w:t xml:space="preserve"> </w:t>
      </w:r>
      <w:r w:rsidRPr="00AE1E0D">
        <w:rPr>
          <w:rFonts w:cs="Times New Roman"/>
          <w:szCs w:val="24"/>
          <w:lang w:val="es-ES" w:eastAsia="es-CL"/>
        </w:rPr>
        <w:t>todas</w:t>
      </w:r>
      <w:r w:rsidR="00D136BB">
        <w:rPr>
          <w:rFonts w:cs="Times New Roman"/>
          <w:szCs w:val="24"/>
          <w:lang w:val="es-ES" w:eastAsia="es-CL"/>
        </w:rPr>
        <w:t xml:space="preserve"> </w:t>
      </w:r>
      <w:r w:rsidRPr="00AE1E0D">
        <w:rPr>
          <w:rFonts w:cs="Times New Roman"/>
          <w:szCs w:val="24"/>
          <w:lang w:val="es-ES" w:eastAsia="es-CL"/>
        </w:rPr>
        <w:t>las</w:t>
      </w:r>
      <w:r w:rsidR="00D136BB">
        <w:rPr>
          <w:rFonts w:cs="Times New Roman"/>
          <w:szCs w:val="24"/>
          <w:lang w:val="es-ES" w:eastAsia="es-CL"/>
        </w:rPr>
        <w:t xml:space="preserve"> </w:t>
      </w:r>
      <w:r w:rsidRPr="00AE1E0D">
        <w:rPr>
          <w:rFonts w:cs="Times New Roman"/>
          <w:szCs w:val="24"/>
          <w:lang w:val="es-ES" w:eastAsia="es-CL"/>
        </w:rPr>
        <w:t>instalaciones</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actividades.</w:t>
      </w:r>
    </w:p>
    <w:p w14:paraId="217E563F" w14:textId="6219A8C7" w:rsidR="005D0292" w:rsidRPr="00AE1E0D" w:rsidRDefault="005D0292" w:rsidP="005D0292">
      <w:pPr>
        <w:pStyle w:val="ListNumber"/>
        <w:rPr>
          <w:rFonts w:cs="Times New Roman"/>
          <w:szCs w:val="24"/>
          <w:lang w:eastAsia="es-CL"/>
        </w:rPr>
      </w:pPr>
      <w:r w:rsidRPr="00AE1E0D">
        <w:rPr>
          <w:rFonts w:cs="Times New Roman"/>
          <w:szCs w:val="24"/>
          <w:lang w:val="es-ES" w:eastAsia="es-CL"/>
        </w:rPr>
        <w:t>La</w:t>
      </w:r>
      <w:r w:rsidR="00D136BB">
        <w:rPr>
          <w:rFonts w:cs="Times New Roman"/>
          <w:szCs w:val="24"/>
          <w:lang w:val="es-ES" w:eastAsia="es-CL"/>
        </w:rPr>
        <w:t xml:space="preserve"> </w:t>
      </w:r>
      <w:r w:rsidRPr="00AE1E0D">
        <w:rPr>
          <w:rFonts w:cs="Times New Roman"/>
          <w:szCs w:val="24"/>
          <w:lang w:val="es-ES" w:eastAsia="es-CL"/>
        </w:rPr>
        <w:t>mayoría</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los</w:t>
      </w:r>
      <w:r w:rsidR="00D136BB">
        <w:rPr>
          <w:rFonts w:cs="Times New Roman"/>
          <w:szCs w:val="24"/>
          <w:lang w:val="es-ES" w:eastAsia="es-CL"/>
        </w:rPr>
        <w:t xml:space="preserve"> </w:t>
      </w:r>
      <w:r w:rsidRPr="00AE1E0D">
        <w:rPr>
          <w:rFonts w:cs="Times New Roman"/>
          <w:szCs w:val="24"/>
          <w:lang w:val="es-ES" w:eastAsia="es-CL"/>
        </w:rPr>
        <w:t>países</w:t>
      </w:r>
      <w:r w:rsidR="00D136BB">
        <w:rPr>
          <w:rFonts w:cs="Times New Roman"/>
          <w:szCs w:val="24"/>
          <w:lang w:val="es-ES" w:eastAsia="es-CL"/>
        </w:rPr>
        <w:t xml:space="preserve"> </w:t>
      </w:r>
      <w:r w:rsidRPr="00AE1E0D">
        <w:rPr>
          <w:rFonts w:cs="Times New Roman"/>
          <w:szCs w:val="24"/>
          <w:lang w:val="es-ES" w:eastAsia="es-CL"/>
        </w:rPr>
        <w:t>tiene</w:t>
      </w:r>
      <w:r w:rsidR="00D136BB">
        <w:rPr>
          <w:rFonts w:cs="Times New Roman"/>
          <w:szCs w:val="24"/>
          <w:lang w:val="es-ES" w:eastAsia="es-CL"/>
        </w:rPr>
        <w:t xml:space="preserve"> </w:t>
      </w:r>
      <w:r w:rsidRPr="00AE1E0D">
        <w:rPr>
          <w:rFonts w:cs="Times New Roman"/>
          <w:szCs w:val="24"/>
          <w:lang w:val="es-ES" w:eastAsia="es-CL"/>
        </w:rPr>
        <w:t>dificultades</w:t>
      </w:r>
      <w:r w:rsidR="00D136BB">
        <w:rPr>
          <w:rFonts w:cs="Times New Roman"/>
          <w:szCs w:val="24"/>
          <w:lang w:val="es-ES" w:eastAsia="es-CL"/>
        </w:rPr>
        <w:t xml:space="preserve"> </w:t>
      </w:r>
      <w:r w:rsidRPr="00AE1E0D">
        <w:rPr>
          <w:rFonts w:cs="Times New Roman"/>
          <w:szCs w:val="24"/>
          <w:lang w:val="es-ES" w:eastAsia="es-CL"/>
        </w:rPr>
        <w:t>para</w:t>
      </w:r>
      <w:r w:rsidR="00D136BB">
        <w:rPr>
          <w:rFonts w:cs="Times New Roman"/>
          <w:szCs w:val="24"/>
          <w:lang w:val="es-ES" w:eastAsia="es-CL"/>
        </w:rPr>
        <w:t xml:space="preserve"> </w:t>
      </w:r>
      <w:r w:rsidRPr="00AE1E0D">
        <w:rPr>
          <w:rFonts w:cs="Times New Roman"/>
          <w:szCs w:val="24"/>
          <w:lang w:val="es-ES" w:eastAsia="es-CL"/>
        </w:rPr>
        <w:t>capacitar</w:t>
      </w:r>
      <w:r w:rsidR="00D136BB">
        <w:rPr>
          <w:rFonts w:cs="Times New Roman"/>
          <w:szCs w:val="24"/>
          <w:lang w:val="es-ES" w:eastAsia="es-CL"/>
        </w:rPr>
        <w:t xml:space="preserve"> </w:t>
      </w:r>
      <w:r w:rsidRPr="00AE1E0D">
        <w:rPr>
          <w:rFonts w:cs="Times New Roman"/>
          <w:szCs w:val="24"/>
          <w:lang w:val="es-ES" w:eastAsia="es-CL"/>
        </w:rPr>
        <w:t>a</w:t>
      </w:r>
      <w:r w:rsidR="00D136BB">
        <w:rPr>
          <w:rFonts w:cs="Times New Roman"/>
          <w:szCs w:val="24"/>
          <w:lang w:val="es-ES" w:eastAsia="es-CL"/>
        </w:rPr>
        <w:t xml:space="preserve"> </w:t>
      </w:r>
      <w:r w:rsidRPr="00AE1E0D">
        <w:rPr>
          <w:rFonts w:cs="Times New Roman"/>
          <w:szCs w:val="24"/>
          <w:lang w:val="es-ES" w:eastAsia="es-CL"/>
        </w:rPr>
        <w:t>los</w:t>
      </w:r>
      <w:r w:rsidR="00D136BB">
        <w:rPr>
          <w:rFonts w:cs="Times New Roman"/>
          <w:szCs w:val="24"/>
          <w:lang w:val="es-ES" w:eastAsia="es-CL"/>
        </w:rPr>
        <w:t xml:space="preserve"> </w:t>
      </w:r>
      <w:r w:rsidRPr="00AE1E0D">
        <w:rPr>
          <w:rFonts w:cs="Times New Roman"/>
          <w:szCs w:val="24"/>
          <w:lang w:val="es-ES" w:eastAsia="es-CL"/>
        </w:rPr>
        <w:t>oficiales</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protección</w:t>
      </w:r>
      <w:r w:rsidR="00D136BB">
        <w:rPr>
          <w:rFonts w:cs="Times New Roman"/>
          <w:szCs w:val="24"/>
          <w:lang w:val="es-ES" w:eastAsia="es-CL"/>
        </w:rPr>
        <w:t xml:space="preserve"> </w:t>
      </w:r>
      <w:r w:rsidRPr="00AE1E0D">
        <w:rPr>
          <w:rFonts w:cs="Times New Roman"/>
          <w:szCs w:val="24"/>
          <w:lang w:val="es-ES" w:eastAsia="es-CL"/>
        </w:rPr>
        <w:t>radiológica</w:t>
      </w:r>
      <w:r w:rsidR="00D136BB">
        <w:rPr>
          <w:rFonts w:cs="Times New Roman"/>
          <w:szCs w:val="24"/>
          <w:lang w:val="es-ES" w:eastAsia="es-CL"/>
        </w:rPr>
        <w:t xml:space="preserve"> </w:t>
      </w:r>
      <w:r w:rsidRPr="00AE1E0D">
        <w:rPr>
          <w:rFonts w:cs="Times New Roman"/>
          <w:szCs w:val="24"/>
          <w:lang w:val="es-ES" w:eastAsia="es-CL"/>
        </w:rPr>
        <w:t>de</w:t>
      </w:r>
      <w:r w:rsidR="00D136BB">
        <w:rPr>
          <w:rFonts w:cs="Times New Roman"/>
          <w:szCs w:val="24"/>
          <w:lang w:val="es-ES" w:eastAsia="es-CL"/>
        </w:rPr>
        <w:t xml:space="preserve"> </w:t>
      </w:r>
      <w:r w:rsidRPr="00AE1E0D">
        <w:rPr>
          <w:rFonts w:cs="Times New Roman"/>
          <w:szCs w:val="24"/>
          <w:lang w:val="es-ES" w:eastAsia="es-CL"/>
        </w:rPr>
        <w:t>instalaciones</w:t>
      </w:r>
      <w:r w:rsidR="00D136BB">
        <w:rPr>
          <w:rFonts w:cs="Times New Roman"/>
          <w:szCs w:val="24"/>
          <w:lang w:val="es-ES" w:eastAsia="es-CL"/>
        </w:rPr>
        <w:t xml:space="preserve"> </w:t>
      </w:r>
      <w:r w:rsidRPr="00AE1E0D">
        <w:rPr>
          <w:rFonts w:cs="Times New Roman"/>
          <w:szCs w:val="24"/>
          <w:lang w:val="es-ES" w:eastAsia="es-CL"/>
        </w:rPr>
        <w:t>médicas</w:t>
      </w:r>
      <w:r w:rsidR="00D136BB">
        <w:rPr>
          <w:rFonts w:cs="Times New Roman"/>
          <w:szCs w:val="24"/>
          <w:lang w:val="es-ES" w:eastAsia="es-CL"/>
        </w:rPr>
        <w:t xml:space="preserve"> </w:t>
      </w:r>
      <w:r w:rsidRPr="00AE1E0D">
        <w:rPr>
          <w:rFonts w:cs="Times New Roman"/>
          <w:szCs w:val="24"/>
          <w:lang w:val="es-ES" w:eastAsia="es-CL"/>
        </w:rPr>
        <w:t>e</w:t>
      </w:r>
      <w:r w:rsidR="00D136BB">
        <w:rPr>
          <w:rFonts w:cs="Times New Roman"/>
          <w:szCs w:val="24"/>
          <w:lang w:val="es-ES" w:eastAsia="es-CL"/>
        </w:rPr>
        <w:t xml:space="preserve"> </w:t>
      </w:r>
      <w:r w:rsidRPr="00AE1E0D">
        <w:rPr>
          <w:rFonts w:cs="Times New Roman"/>
          <w:szCs w:val="24"/>
          <w:lang w:val="es-ES" w:eastAsia="es-CL"/>
        </w:rPr>
        <w:t>industriales</w:t>
      </w:r>
      <w:r w:rsidR="00D136BB">
        <w:rPr>
          <w:rFonts w:cs="Times New Roman"/>
          <w:szCs w:val="24"/>
          <w:lang w:val="es-ES" w:eastAsia="es-CL"/>
        </w:rPr>
        <w:t xml:space="preserve"> </w:t>
      </w:r>
      <w:r w:rsidRPr="00AE1E0D">
        <w:rPr>
          <w:rFonts w:cs="Times New Roman"/>
          <w:szCs w:val="24"/>
          <w:lang w:val="es-ES" w:eastAsia="es-CL"/>
        </w:rPr>
        <w:t>y</w:t>
      </w:r>
      <w:r w:rsidR="00D136BB">
        <w:rPr>
          <w:rFonts w:cs="Times New Roman"/>
          <w:szCs w:val="24"/>
          <w:lang w:val="es-ES" w:eastAsia="es-CL"/>
        </w:rPr>
        <w:t xml:space="preserve"> </w:t>
      </w:r>
      <w:r w:rsidRPr="00AE1E0D">
        <w:rPr>
          <w:rFonts w:cs="Times New Roman"/>
          <w:szCs w:val="24"/>
          <w:lang w:val="es-ES" w:eastAsia="es-CL"/>
        </w:rPr>
        <w:t>a</w:t>
      </w:r>
      <w:r w:rsidR="00D136BB">
        <w:rPr>
          <w:rFonts w:cs="Times New Roman"/>
          <w:szCs w:val="24"/>
          <w:lang w:val="es-ES" w:eastAsia="es-CL"/>
        </w:rPr>
        <w:t xml:space="preserve"> </w:t>
      </w:r>
      <w:r w:rsidRPr="00AE1E0D">
        <w:rPr>
          <w:rFonts w:cs="Times New Roman"/>
          <w:szCs w:val="24"/>
          <w:lang w:val="es-ES" w:eastAsia="es-CL"/>
        </w:rPr>
        <w:t>los</w:t>
      </w:r>
      <w:r w:rsidR="00D136BB">
        <w:rPr>
          <w:rFonts w:cs="Times New Roman"/>
          <w:szCs w:val="24"/>
          <w:lang w:val="es-ES" w:eastAsia="es-CL"/>
        </w:rPr>
        <w:t xml:space="preserve"> </w:t>
      </w:r>
      <w:r w:rsidRPr="00AE1E0D">
        <w:rPr>
          <w:rFonts w:cs="Times New Roman"/>
          <w:szCs w:val="24"/>
          <w:lang w:val="es-ES" w:eastAsia="es-CL"/>
        </w:rPr>
        <w:t>expertos</w:t>
      </w:r>
      <w:r w:rsidR="00D136BB">
        <w:rPr>
          <w:rFonts w:cs="Times New Roman"/>
          <w:szCs w:val="24"/>
          <w:lang w:val="es-ES" w:eastAsia="es-CL"/>
        </w:rPr>
        <w:t xml:space="preserve"> </w:t>
      </w:r>
      <w:r w:rsidRPr="00AE1E0D">
        <w:rPr>
          <w:rFonts w:cs="Times New Roman"/>
          <w:szCs w:val="24"/>
          <w:lang w:val="es-ES" w:eastAsia="es-CL"/>
        </w:rPr>
        <w:t>calificados</w:t>
      </w:r>
      <w:r w:rsidR="00D136BB">
        <w:rPr>
          <w:rFonts w:cs="Times New Roman"/>
          <w:szCs w:val="24"/>
          <w:lang w:val="es-ES" w:eastAsia="es-CL"/>
        </w:rPr>
        <w:t xml:space="preserve"> </w:t>
      </w:r>
      <w:r w:rsidRPr="00AE1E0D">
        <w:rPr>
          <w:rFonts w:cs="Times New Roman"/>
          <w:szCs w:val="24"/>
          <w:lang w:val="es-ES" w:eastAsia="es-CL"/>
        </w:rPr>
        <w:t>en</w:t>
      </w:r>
      <w:r w:rsidR="00D136BB">
        <w:rPr>
          <w:rFonts w:cs="Times New Roman"/>
          <w:szCs w:val="24"/>
          <w:lang w:val="es-ES" w:eastAsia="es-CL"/>
        </w:rPr>
        <w:t xml:space="preserve"> </w:t>
      </w:r>
      <w:r w:rsidRPr="00AE1E0D">
        <w:rPr>
          <w:rFonts w:cs="Times New Roman"/>
          <w:szCs w:val="24"/>
          <w:lang w:val="es-ES" w:eastAsia="es-CL"/>
        </w:rPr>
        <w:t>protección</w:t>
      </w:r>
      <w:r w:rsidR="00D136BB">
        <w:rPr>
          <w:rFonts w:cs="Times New Roman"/>
          <w:szCs w:val="24"/>
          <w:lang w:val="es-ES" w:eastAsia="es-CL"/>
        </w:rPr>
        <w:t xml:space="preserve"> </w:t>
      </w:r>
      <w:r w:rsidRPr="00AE1E0D">
        <w:rPr>
          <w:rFonts w:cs="Times New Roman"/>
          <w:szCs w:val="24"/>
          <w:lang w:val="es-ES" w:eastAsia="es-CL"/>
        </w:rPr>
        <w:t>radiológica.</w:t>
      </w:r>
    </w:p>
    <w:p w14:paraId="06BF73C0" w14:textId="30B9CE6B" w:rsidR="005D0292" w:rsidRPr="006454E8" w:rsidRDefault="001F7F3E" w:rsidP="001F7F3E">
      <w:pPr>
        <w:pStyle w:val="Heading3"/>
        <w:numPr>
          <w:ilvl w:val="0"/>
          <w:numId w:val="0"/>
        </w:numPr>
        <w:tabs>
          <w:tab w:val="clear" w:pos="851"/>
          <w:tab w:val="clear" w:pos="1134"/>
          <w:tab w:val="clear" w:pos="1429"/>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360" w:after="120"/>
        <w:rPr>
          <w:szCs w:val="24"/>
          <w:lang w:val="es-ES_tradnl" w:eastAsia="es-CL"/>
        </w:rPr>
      </w:pPr>
      <w:r w:rsidRPr="006454E8">
        <w:rPr>
          <w:szCs w:val="24"/>
          <w:lang w:val="es-ES_tradnl" w:eastAsia="es-CL"/>
        </w:rPr>
        <w:t>viii)</w:t>
      </w:r>
      <w:r w:rsidR="00D136BB">
        <w:rPr>
          <w:szCs w:val="24"/>
          <w:lang w:val="es-ES_tradnl" w:eastAsia="es-CL"/>
        </w:rPr>
        <w:t xml:space="preserve"> </w:t>
      </w:r>
      <w:r w:rsidR="005D0292" w:rsidRPr="006454E8">
        <w:rPr>
          <w:szCs w:val="24"/>
          <w:lang w:val="es-ES_tradnl" w:eastAsia="es-CL"/>
        </w:rPr>
        <w:t>Seguridad</w:t>
      </w:r>
      <w:r w:rsidR="00D136BB">
        <w:rPr>
          <w:szCs w:val="24"/>
          <w:lang w:val="es-ES_tradnl" w:eastAsia="es-CL"/>
        </w:rPr>
        <w:t xml:space="preserve"> </w:t>
      </w:r>
      <w:r w:rsidR="005D0292" w:rsidRPr="006454E8">
        <w:rPr>
          <w:szCs w:val="24"/>
          <w:lang w:val="es-ES_tradnl" w:eastAsia="es-CL"/>
        </w:rPr>
        <w:t>en</w:t>
      </w:r>
      <w:r w:rsidR="00D136BB">
        <w:rPr>
          <w:szCs w:val="24"/>
          <w:lang w:val="es-ES_tradnl" w:eastAsia="es-CL"/>
        </w:rPr>
        <w:t xml:space="preserve"> </w:t>
      </w:r>
      <w:r w:rsidR="005D0292" w:rsidRPr="006454E8">
        <w:rPr>
          <w:szCs w:val="24"/>
          <w:lang w:val="es-ES_tradnl" w:eastAsia="es-CL"/>
        </w:rPr>
        <w:t>el</w:t>
      </w:r>
      <w:r w:rsidR="00D136BB">
        <w:rPr>
          <w:szCs w:val="24"/>
          <w:lang w:val="es-ES_tradnl" w:eastAsia="es-CL"/>
        </w:rPr>
        <w:t xml:space="preserve"> </w:t>
      </w:r>
      <w:r w:rsidR="005D0292" w:rsidRPr="006454E8">
        <w:rPr>
          <w:szCs w:val="24"/>
          <w:lang w:val="es-ES_tradnl" w:eastAsia="es-CL"/>
        </w:rPr>
        <w:t>t</w:t>
      </w:r>
      <w:r w:rsidR="005D0292" w:rsidRPr="006454E8">
        <w:rPr>
          <w:szCs w:val="24"/>
          <w:lang w:val="es-ES_tradnl"/>
        </w:rPr>
        <w:t>ransporte</w:t>
      </w:r>
      <w:r w:rsidR="00D136BB">
        <w:rPr>
          <w:szCs w:val="24"/>
          <w:lang w:val="es-ES_tradnl" w:eastAsia="es-CL"/>
        </w:rPr>
        <w:t xml:space="preserve"> </w:t>
      </w:r>
      <w:r w:rsidR="005D0292" w:rsidRPr="006454E8">
        <w:rPr>
          <w:szCs w:val="24"/>
          <w:lang w:val="es-ES_tradnl" w:eastAsia="es-CL"/>
        </w:rPr>
        <w:t>de</w:t>
      </w:r>
      <w:r w:rsidR="00D136BB">
        <w:rPr>
          <w:szCs w:val="24"/>
          <w:lang w:val="es-ES_tradnl" w:eastAsia="es-CL"/>
        </w:rPr>
        <w:t xml:space="preserve"> </w:t>
      </w:r>
      <w:r w:rsidR="005D0292" w:rsidRPr="006454E8">
        <w:rPr>
          <w:szCs w:val="24"/>
          <w:lang w:val="es-ES_tradnl" w:eastAsia="es-CL"/>
        </w:rPr>
        <w:t>material</w:t>
      </w:r>
      <w:r w:rsidR="00D136BB">
        <w:rPr>
          <w:szCs w:val="24"/>
          <w:lang w:val="es-ES_tradnl" w:eastAsia="es-CL"/>
        </w:rPr>
        <w:t xml:space="preserve"> </w:t>
      </w:r>
      <w:r w:rsidR="005D0292" w:rsidRPr="006454E8">
        <w:rPr>
          <w:szCs w:val="24"/>
          <w:lang w:val="es-ES_tradnl" w:eastAsia="es-CL"/>
        </w:rPr>
        <w:t>radiactivo</w:t>
      </w:r>
    </w:p>
    <w:p w14:paraId="79C83D73" w14:textId="3DE9348E" w:rsidR="005D0292" w:rsidRPr="00AE1E0D" w:rsidRDefault="005D0292" w:rsidP="005D0292">
      <w:pPr>
        <w:pStyle w:val="ListNumber"/>
        <w:rPr>
          <w:rFonts w:cs="Times New Roman"/>
          <w:szCs w:val="24"/>
        </w:rPr>
      </w:pPr>
      <w:r w:rsidRPr="00AE1E0D">
        <w:rPr>
          <w:rFonts w:cs="Times New Roman"/>
          <w:szCs w:val="24"/>
        </w:rPr>
        <w:t>La</w:t>
      </w:r>
      <w:r w:rsidR="00D136BB">
        <w:rPr>
          <w:rFonts w:cs="Times New Roman"/>
          <w:szCs w:val="24"/>
        </w:rPr>
        <w:t xml:space="preserve"> </w:t>
      </w:r>
      <w:r w:rsidRPr="00AE1E0D">
        <w:rPr>
          <w:rFonts w:cs="Times New Roman"/>
          <w:szCs w:val="24"/>
        </w:rPr>
        <w:t>normativa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transporte,</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mayoría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casos,</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está</w:t>
      </w:r>
      <w:r w:rsidR="00D136BB">
        <w:rPr>
          <w:rFonts w:cs="Times New Roman"/>
          <w:szCs w:val="24"/>
        </w:rPr>
        <w:t xml:space="preserve"> </w:t>
      </w:r>
      <w:r w:rsidRPr="00AE1E0D">
        <w:rPr>
          <w:rFonts w:cs="Times New Roman"/>
          <w:szCs w:val="24"/>
        </w:rPr>
        <w:t>actualizada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últimas</w:t>
      </w:r>
      <w:r w:rsidR="00D136BB">
        <w:rPr>
          <w:rFonts w:cs="Times New Roman"/>
          <w:szCs w:val="24"/>
        </w:rPr>
        <w:t xml:space="preserve"> </w:t>
      </w:r>
      <w:r w:rsidRPr="00AE1E0D">
        <w:rPr>
          <w:rFonts w:cs="Times New Roman"/>
          <w:szCs w:val="24"/>
        </w:rPr>
        <w:t>recomendaciones</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OIEA.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algunos</w:t>
      </w:r>
      <w:r w:rsidR="00D136BB">
        <w:rPr>
          <w:rFonts w:cs="Times New Roman"/>
          <w:szCs w:val="24"/>
        </w:rPr>
        <w:t xml:space="preserve"> </w:t>
      </w:r>
      <w:r w:rsidRPr="00AE1E0D">
        <w:rPr>
          <w:rFonts w:cs="Times New Roman"/>
          <w:szCs w:val="24"/>
        </w:rPr>
        <w:t>casos,</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existe</w:t>
      </w:r>
      <w:r w:rsidR="00D136BB">
        <w:rPr>
          <w:rFonts w:cs="Times New Roman"/>
          <w:szCs w:val="24"/>
        </w:rPr>
        <w:t xml:space="preserve"> </w:t>
      </w:r>
      <w:r w:rsidRPr="00AE1E0D">
        <w:rPr>
          <w:rFonts w:cs="Times New Roman"/>
          <w:szCs w:val="24"/>
        </w:rPr>
        <w:t>normativa</w:t>
      </w:r>
      <w:r w:rsidR="00D136BB">
        <w:rPr>
          <w:rFonts w:cs="Times New Roman"/>
          <w:szCs w:val="24"/>
        </w:rPr>
        <w:t xml:space="preserve"> </w:t>
      </w:r>
      <w:r w:rsidRPr="00AE1E0D">
        <w:rPr>
          <w:rFonts w:cs="Times New Roman"/>
          <w:szCs w:val="24"/>
        </w:rPr>
        <w:t>específica</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transporte</w:t>
      </w:r>
      <w:r w:rsidR="00D136BB">
        <w:rPr>
          <w:rFonts w:cs="Times New Roman"/>
          <w:szCs w:val="24"/>
        </w:rPr>
        <w:t xml:space="preserve"> </w:t>
      </w:r>
      <w:r w:rsidRPr="00AE1E0D">
        <w:rPr>
          <w:rFonts w:cs="Times New Roman"/>
          <w:szCs w:val="24"/>
        </w:rPr>
        <w:t>seguro</w:t>
      </w:r>
      <w:r w:rsidR="00D136BB">
        <w:rPr>
          <w:rFonts w:cs="Times New Roman"/>
          <w:szCs w:val="24"/>
        </w:rPr>
        <w:t xml:space="preserve"> </w:t>
      </w:r>
      <w:r w:rsidR="00985D3E">
        <w:rPr>
          <w:rFonts w:cs="Times New Roman"/>
          <w:szCs w:val="24"/>
        </w:rPr>
        <w:t>de</w:t>
      </w:r>
      <w:r w:rsidR="00D136BB">
        <w:rPr>
          <w:rFonts w:cs="Times New Roman"/>
          <w:szCs w:val="24"/>
        </w:rPr>
        <w:t xml:space="preserve"> </w:t>
      </w:r>
      <w:r w:rsidR="00985D3E">
        <w:rPr>
          <w:rFonts w:cs="Times New Roman"/>
          <w:szCs w:val="24"/>
        </w:rPr>
        <w:t>material</w:t>
      </w:r>
      <w:r w:rsidR="00D136BB">
        <w:rPr>
          <w:rFonts w:cs="Times New Roman"/>
          <w:szCs w:val="24"/>
        </w:rPr>
        <w:t xml:space="preserve"> </w:t>
      </w:r>
      <w:r w:rsidR="00985D3E">
        <w:rPr>
          <w:rFonts w:cs="Times New Roman"/>
          <w:szCs w:val="24"/>
        </w:rPr>
        <w:t>radioactivo</w:t>
      </w:r>
      <w:r w:rsidRPr="00AE1E0D">
        <w:rPr>
          <w:rFonts w:cs="Times New Roman"/>
          <w:szCs w:val="24"/>
        </w:rPr>
        <w:t>.</w:t>
      </w:r>
      <w:r w:rsidR="00D136BB">
        <w:rPr>
          <w:rFonts w:cs="Times New Roman"/>
          <w:szCs w:val="24"/>
        </w:rPr>
        <w:t xml:space="preserve"> </w:t>
      </w:r>
    </w:p>
    <w:p w14:paraId="11EA6788" w14:textId="40C240C8" w:rsidR="005D0292" w:rsidRPr="00AE1E0D" w:rsidRDefault="005D0292" w:rsidP="005D0292">
      <w:pPr>
        <w:pStyle w:val="ListNumber"/>
        <w:rPr>
          <w:rFonts w:cs="Times New Roman"/>
          <w:szCs w:val="24"/>
        </w:rPr>
      </w:pPr>
      <w:r w:rsidRPr="00AE1E0D">
        <w:rPr>
          <w:rFonts w:cs="Times New Roman"/>
          <w:szCs w:val="24"/>
        </w:rPr>
        <w:t>En</w:t>
      </w:r>
      <w:r w:rsidR="00D136BB">
        <w:rPr>
          <w:rFonts w:cs="Times New Roman"/>
          <w:szCs w:val="24"/>
        </w:rPr>
        <w:t xml:space="preserve"> </w:t>
      </w:r>
      <w:r w:rsidRPr="00AE1E0D">
        <w:rPr>
          <w:rFonts w:cs="Times New Roman"/>
          <w:szCs w:val="24"/>
        </w:rPr>
        <w:t>general,</w:t>
      </w:r>
      <w:r w:rsidR="00D136BB">
        <w:rPr>
          <w:rFonts w:cs="Times New Roman"/>
          <w:szCs w:val="24"/>
        </w:rPr>
        <w:t xml:space="preserve"> </w:t>
      </w:r>
      <w:r w:rsidRPr="00AE1E0D">
        <w:rPr>
          <w:rFonts w:cs="Times New Roman"/>
          <w:szCs w:val="24"/>
        </w:rPr>
        <w:t>falta</w:t>
      </w:r>
      <w:r w:rsidR="00D136BB">
        <w:rPr>
          <w:rFonts w:cs="Times New Roman"/>
          <w:szCs w:val="24"/>
        </w:rPr>
        <w:t xml:space="preserve"> </w:t>
      </w:r>
      <w:r w:rsidRPr="00AE1E0D">
        <w:rPr>
          <w:rFonts w:cs="Times New Roman"/>
          <w:szCs w:val="24"/>
        </w:rPr>
        <w:t>evidencia</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cumplimiento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normativa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transporte.</w:t>
      </w:r>
      <w:r w:rsidR="00D136BB">
        <w:rPr>
          <w:rFonts w:cs="Times New Roman"/>
          <w:szCs w:val="24"/>
        </w:rPr>
        <w:t xml:space="preserve"> </w:t>
      </w:r>
    </w:p>
    <w:p w14:paraId="68927E88" w14:textId="40D772D2" w:rsidR="005D0292" w:rsidRPr="00AE1E0D" w:rsidRDefault="005D0292" w:rsidP="005D0292">
      <w:pPr>
        <w:pStyle w:val="ListNumber"/>
        <w:rPr>
          <w:rFonts w:cs="Times New Roman"/>
          <w:szCs w:val="24"/>
        </w:rPr>
      </w:pPr>
      <w:r w:rsidRPr="00AE1E0D">
        <w:rPr>
          <w:rFonts w:cs="Times New Roman"/>
          <w:szCs w:val="24"/>
        </w:rPr>
        <w:t>El</w:t>
      </w:r>
      <w:r w:rsidR="00D136BB">
        <w:rPr>
          <w:rFonts w:cs="Times New Roman"/>
          <w:szCs w:val="24"/>
        </w:rPr>
        <w:t xml:space="preserve"> </w:t>
      </w:r>
      <w:r w:rsidRPr="00AE1E0D">
        <w:rPr>
          <w:rFonts w:cs="Times New Roman"/>
          <w:szCs w:val="24"/>
        </w:rPr>
        <w:t>control</w:t>
      </w:r>
      <w:r w:rsidR="00D136BB">
        <w:rPr>
          <w:rFonts w:cs="Times New Roman"/>
          <w:szCs w:val="24"/>
        </w:rPr>
        <w:t xml:space="preserve"> </w:t>
      </w:r>
      <w:r w:rsidRPr="00AE1E0D">
        <w:rPr>
          <w:rFonts w:cs="Times New Roman"/>
          <w:szCs w:val="24"/>
        </w:rPr>
        <w:t>regulador</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fuentes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envíos</w:t>
      </w:r>
      <w:r w:rsidR="00D136BB">
        <w:rPr>
          <w:rFonts w:cs="Times New Roman"/>
          <w:szCs w:val="24"/>
        </w:rPr>
        <w:t xml:space="preserve"> </w:t>
      </w:r>
      <w:r w:rsidRPr="00AE1E0D">
        <w:rPr>
          <w:rFonts w:cs="Times New Roman"/>
          <w:szCs w:val="24"/>
        </w:rPr>
        <w:t>efectuados</w:t>
      </w:r>
      <w:r w:rsidR="00D136BB">
        <w:rPr>
          <w:rFonts w:cs="Times New Roman"/>
          <w:szCs w:val="24"/>
        </w:rPr>
        <w:t xml:space="preserve"> </w:t>
      </w:r>
      <w:r w:rsidRPr="00AE1E0D">
        <w:rPr>
          <w:rFonts w:cs="Times New Roman"/>
          <w:szCs w:val="24"/>
        </w:rPr>
        <w:t>entre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distintos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es</w:t>
      </w:r>
      <w:r w:rsidR="00D136BB">
        <w:rPr>
          <w:rFonts w:cs="Times New Roman"/>
          <w:szCs w:val="24"/>
        </w:rPr>
        <w:t xml:space="preserve"> </w:t>
      </w:r>
      <w:r w:rsidRPr="00AE1E0D">
        <w:rPr>
          <w:rFonts w:cs="Times New Roman"/>
          <w:szCs w:val="24"/>
        </w:rPr>
        <w:t>deficiente.</w:t>
      </w:r>
    </w:p>
    <w:p w14:paraId="570D151A" w14:textId="17443F8C" w:rsidR="005D0292" w:rsidRDefault="005D0292" w:rsidP="005D0292">
      <w:pPr>
        <w:pStyle w:val="ListNumber"/>
        <w:rPr>
          <w:rFonts w:cs="Times New Roman"/>
          <w:szCs w:val="24"/>
        </w:rPr>
      </w:pPr>
      <w:r w:rsidRPr="00AE1E0D">
        <w:rPr>
          <w:rFonts w:cs="Times New Roman"/>
          <w:szCs w:val="24"/>
        </w:rPr>
        <w:t>En</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hay</w:t>
      </w:r>
      <w:r w:rsidR="00D136BB">
        <w:rPr>
          <w:rFonts w:cs="Times New Roman"/>
          <w:szCs w:val="24"/>
        </w:rPr>
        <w:t xml:space="preserve"> </w:t>
      </w:r>
      <w:r w:rsidRPr="00AE1E0D">
        <w:rPr>
          <w:rFonts w:cs="Times New Roman"/>
          <w:szCs w:val="24"/>
        </w:rPr>
        <w:t>varias</w:t>
      </w:r>
      <w:r w:rsidR="00D136BB">
        <w:rPr>
          <w:rFonts w:cs="Times New Roman"/>
          <w:szCs w:val="24"/>
        </w:rPr>
        <w:t xml:space="preserve"> </w:t>
      </w:r>
      <w:r w:rsidRPr="00AE1E0D">
        <w:rPr>
          <w:rFonts w:cs="Times New Roman"/>
          <w:szCs w:val="24"/>
        </w:rPr>
        <w:t>autoridades</w:t>
      </w:r>
      <w:r w:rsidR="00D136BB">
        <w:rPr>
          <w:rFonts w:cs="Times New Roman"/>
          <w:szCs w:val="24"/>
        </w:rPr>
        <w:t xml:space="preserve"> </w:t>
      </w:r>
      <w:r w:rsidRPr="00AE1E0D">
        <w:rPr>
          <w:rFonts w:cs="Times New Roman"/>
          <w:szCs w:val="24"/>
        </w:rPr>
        <w:t>involucradas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control</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transporte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material</w:t>
      </w:r>
      <w:r w:rsidR="00D136BB">
        <w:rPr>
          <w:rFonts w:cs="Times New Roman"/>
          <w:szCs w:val="24"/>
        </w:rPr>
        <w:t xml:space="preserve"> </w:t>
      </w:r>
      <w:r w:rsidRPr="00AE1E0D">
        <w:rPr>
          <w:rFonts w:cs="Times New Roman"/>
          <w:szCs w:val="24"/>
        </w:rPr>
        <w:t>radiactivo</w:t>
      </w:r>
      <w:r w:rsidR="00D136BB">
        <w:rPr>
          <w:rFonts w:cs="Times New Roman"/>
          <w:szCs w:val="24"/>
        </w:rPr>
        <w:t xml:space="preserve"> </w:t>
      </w:r>
      <w:r w:rsidRPr="00AE1E0D">
        <w:rPr>
          <w:rFonts w:cs="Times New Roman"/>
          <w:szCs w:val="24"/>
        </w:rPr>
        <w:t>además</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regulador</w:t>
      </w:r>
      <w:r w:rsidR="00D136BB">
        <w:rPr>
          <w:rFonts w:cs="Times New Roman"/>
          <w:szCs w:val="24"/>
        </w:rPr>
        <w:t xml:space="preserve"> </w:t>
      </w:r>
      <w:r w:rsidRPr="00AE1E0D">
        <w:rPr>
          <w:rFonts w:cs="Times New Roman"/>
          <w:szCs w:val="24"/>
        </w:rPr>
        <w:t>nuclear,</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mayoría</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observa</w:t>
      </w:r>
      <w:r w:rsidR="00D136BB">
        <w:rPr>
          <w:rFonts w:cs="Times New Roman"/>
          <w:szCs w:val="24"/>
        </w:rPr>
        <w:t xml:space="preserve"> </w:t>
      </w: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capacitación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personal</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otras</w:t>
      </w:r>
      <w:r w:rsidR="00D136BB">
        <w:rPr>
          <w:rFonts w:cs="Times New Roman"/>
          <w:szCs w:val="24"/>
        </w:rPr>
        <w:t xml:space="preserve"> </w:t>
      </w:r>
      <w:r w:rsidRPr="00AE1E0D">
        <w:rPr>
          <w:rFonts w:cs="Times New Roman"/>
          <w:szCs w:val="24"/>
        </w:rPr>
        <w:t>autoridades</w:t>
      </w:r>
      <w:r w:rsidR="00D136BB">
        <w:rPr>
          <w:rFonts w:cs="Times New Roman"/>
          <w:szCs w:val="24"/>
        </w:rPr>
        <w:t xml:space="preserve"> </w:t>
      </w:r>
      <w:r w:rsidRPr="00AE1E0D">
        <w:rPr>
          <w:rFonts w:cs="Times New Roman"/>
          <w:szCs w:val="24"/>
        </w:rPr>
        <w:t>(ministerio/secretaria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transporte,</w:t>
      </w:r>
      <w:r w:rsidR="00D136BB">
        <w:rPr>
          <w:rFonts w:cs="Times New Roman"/>
          <w:szCs w:val="24"/>
        </w:rPr>
        <w:t xml:space="preserve"> </w:t>
      </w:r>
      <w:r w:rsidRPr="00AE1E0D">
        <w:rPr>
          <w:rFonts w:cs="Times New Roman"/>
          <w:szCs w:val="24"/>
        </w:rPr>
        <w:t>aduanas,</w:t>
      </w:r>
      <w:r w:rsidR="00D136BB">
        <w:rPr>
          <w:rFonts w:cs="Times New Roman"/>
          <w:szCs w:val="24"/>
        </w:rPr>
        <w:t xml:space="preserve"> </w:t>
      </w:r>
      <w:r w:rsidRPr="00AE1E0D">
        <w:rPr>
          <w:rFonts w:cs="Times New Roman"/>
          <w:szCs w:val="24"/>
        </w:rPr>
        <w:t>policía,</w:t>
      </w:r>
      <w:r w:rsidR="00D136BB">
        <w:rPr>
          <w:rFonts w:cs="Times New Roman"/>
          <w:szCs w:val="24"/>
        </w:rPr>
        <w:t xml:space="preserve"> </w:t>
      </w:r>
      <w:r w:rsidRPr="00AE1E0D">
        <w:rPr>
          <w:rFonts w:cs="Times New Roman"/>
          <w:szCs w:val="24"/>
        </w:rPr>
        <w:t>etc.)</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determinación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responsabilidades</w:t>
      </w:r>
      <w:r w:rsidR="00D136BB">
        <w:rPr>
          <w:rFonts w:cs="Times New Roman"/>
          <w:szCs w:val="24"/>
        </w:rPr>
        <w:t xml:space="preserve"> </w:t>
      </w:r>
      <w:r w:rsidRPr="00AE1E0D">
        <w:rPr>
          <w:rFonts w:cs="Times New Roman"/>
          <w:szCs w:val="24"/>
        </w:rPr>
        <w:t>especificas</w:t>
      </w:r>
      <w:r w:rsidR="00D136BB">
        <w:rPr>
          <w:rFonts w:cs="Times New Roman"/>
          <w:szCs w:val="24"/>
        </w:rPr>
        <w:t xml:space="preserve"> </w:t>
      </w:r>
      <w:r w:rsidRPr="00AE1E0D">
        <w:rPr>
          <w:rFonts w:cs="Times New Roman"/>
          <w:szCs w:val="24"/>
        </w:rPr>
        <w:t>muchas</w:t>
      </w:r>
      <w:r w:rsidR="00D136BB">
        <w:rPr>
          <w:rFonts w:cs="Times New Roman"/>
          <w:szCs w:val="24"/>
        </w:rPr>
        <w:t xml:space="preserve"> </w:t>
      </w:r>
      <w:r w:rsidRPr="00AE1E0D">
        <w:rPr>
          <w:rFonts w:cs="Times New Roman"/>
          <w:szCs w:val="24"/>
        </w:rPr>
        <w:t>veces</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es</w:t>
      </w:r>
      <w:r w:rsidR="00D136BB">
        <w:rPr>
          <w:rFonts w:cs="Times New Roman"/>
          <w:szCs w:val="24"/>
        </w:rPr>
        <w:t xml:space="preserve"> </w:t>
      </w:r>
      <w:r w:rsidRPr="00AE1E0D">
        <w:rPr>
          <w:rFonts w:cs="Times New Roman"/>
          <w:szCs w:val="24"/>
        </w:rPr>
        <w:t>clara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presenta</w:t>
      </w:r>
      <w:r w:rsidR="00D136BB">
        <w:rPr>
          <w:rFonts w:cs="Times New Roman"/>
          <w:szCs w:val="24"/>
        </w:rPr>
        <w:t xml:space="preserve"> </w:t>
      </w:r>
      <w:r w:rsidRPr="00AE1E0D">
        <w:rPr>
          <w:rFonts w:cs="Times New Roman"/>
          <w:szCs w:val="24"/>
        </w:rPr>
        <w:t>vacíos</w:t>
      </w:r>
      <w:r w:rsidR="00D136BB">
        <w:rPr>
          <w:rFonts w:cs="Times New Roman"/>
          <w:szCs w:val="24"/>
        </w:rPr>
        <w:t xml:space="preserve"> </w:t>
      </w:r>
      <w:r w:rsidRPr="00AE1E0D">
        <w:rPr>
          <w:rFonts w:cs="Times New Roman"/>
          <w:szCs w:val="24"/>
        </w:rPr>
        <w:t>o</w:t>
      </w:r>
      <w:r w:rsidR="00D136BB">
        <w:rPr>
          <w:rFonts w:cs="Times New Roman"/>
          <w:szCs w:val="24"/>
        </w:rPr>
        <w:t xml:space="preserve"> </w:t>
      </w:r>
      <w:r w:rsidRPr="00AE1E0D">
        <w:rPr>
          <w:rFonts w:cs="Times New Roman"/>
          <w:szCs w:val="24"/>
        </w:rPr>
        <w:t>superposiciones.</w:t>
      </w:r>
      <w:r w:rsidR="00D136BB">
        <w:rPr>
          <w:rFonts w:cs="Times New Roman"/>
          <w:szCs w:val="24"/>
        </w:rPr>
        <w:t xml:space="preserve"> </w:t>
      </w:r>
    </w:p>
    <w:p w14:paraId="7E758304" w14:textId="2C1E1762" w:rsidR="00985D3E" w:rsidRPr="00985D3E" w:rsidRDefault="00985D3E" w:rsidP="00985D3E">
      <w:pPr>
        <w:pStyle w:val="ListNumber"/>
        <w:rPr>
          <w:rFonts w:cs="Times New Roman"/>
          <w:szCs w:val="24"/>
        </w:rPr>
      </w:pPr>
      <w:r w:rsidRPr="00985D3E">
        <w:rPr>
          <w:rFonts w:cs="Times New Roman"/>
          <w:szCs w:val="24"/>
        </w:rPr>
        <w:t>La</w:t>
      </w:r>
      <w:r w:rsidR="00D136BB">
        <w:rPr>
          <w:rFonts w:cs="Times New Roman"/>
          <w:szCs w:val="24"/>
        </w:rPr>
        <w:t xml:space="preserve"> </w:t>
      </w:r>
      <w:r w:rsidRPr="00985D3E">
        <w:rPr>
          <w:rFonts w:cs="Times New Roman"/>
          <w:szCs w:val="24"/>
        </w:rPr>
        <w:t>determinación</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responsabilidades</w:t>
      </w:r>
      <w:r w:rsidR="00D136BB">
        <w:rPr>
          <w:rFonts w:cs="Times New Roman"/>
          <w:szCs w:val="24"/>
        </w:rPr>
        <w:t xml:space="preserve"> </w:t>
      </w:r>
      <w:r w:rsidRPr="00985D3E">
        <w:rPr>
          <w:rFonts w:cs="Times New Roman"/>
          <w:szCs w:val="24"/>
        </w:rPr>
        <w:t>específicas</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las</w:t>
      </w:r>
      <w:r w:rsidR="00D136BB">
        <w:rPr>
          <w:rFonts w:cs="Times New Roman"/>
          <w:szCs w:val="24"/>
        </w:rPr>
        <w:t xml:space="preserve"> </w:t>
      </w:r>
      <w:r w:rsidRPr="00985D3E">
        <w:rPr>
          <w:rFonts w:cs="Times New Roman"/>
          <w:szCs w:val="24"/>
        </w:rPr>
        <w:t>diferentes</w:t>
      </w:r>
      <w:r w:rsidR="00D136BB">
        <w:rPr>
          <w:rFonts w:cs="Times New Roman"/>
          <w:szCs w:val="24"/>
        </w:rPr>
        <w:t xml:space="preserve"> </w:t>
      </w:r>
      <w:r w:rsidRPr="00985D3E">
        <w:rPr>
          <w:rFonts w:cs="Times New Roman"/>
          <w:szCs w:val="24"/>
        </w:rPr>
        <w:t>autoridades</w:t>
      </w:r>
      <w:r w:rsidR="00D136BB">
        <w:rPr>
          <w:rFonts w:cs="Times New Roman"/>
          <w:szCs w:val="24"/>
        </w:rPr>
        <w:t xml:space="preserve"> </w:t>
      </w:r>
      <w:r w:rsidRPr="00985D3E">
        <w:rPr>
          <w:rFonts w:cs="Times New Roman"/>
          <w:szCs w:val="24"/>
        </w:rPr>
        <w:t>involucradas</w:t>
      </w:r>
      <w:r w:rsidR="00D136BB">
        <w:rPr>
          <w:rFonts w:cs="Times New Roman"/>
          <w:szCs w:val="24"/>
        </w:rPr>
        <w:t xml:space="preserve"> </w:t>
      </w:r>
      <w:r w:rsidRPr="00985D3E">
        <w:rPr>
          <w:rFonts w:cs="Times New Roman"/>
          <w:szCs w:val="24"/>
        </w:rPr>
        <w:t>no</w:t>
      </w:r>
      <w:r w:rsidR="00D136BB">
        <w:rPr>
          <w:rFonts w:cs="Times New Roman"/>
          <w:szCs w:val="24"/>
        </w:rPr>
        <w:t xml:space="preserve"> </w:t>
      </w:r>
      <w:r w:rsidRPr="00985D3E">
        <w:rPr>
          <w:rFonts w:cs="Times New Roman"/>
          <w:szCs w:val="24"/>
        </w:rPr>
        <w:t>es</w:t>
      </w:r>
      <w:r w:rsidR="00D136BB">
        <w:rPr>
          <w:rFonts w:cs="Times New Roman"/>
          <w:szCs w:val="24"/>
        </w:rPr>
        <w:t xml:space="preserve"> </w:t>
      </w:r>
      <w:r w:rsidRPr="00985D3E">
        <w:rPr>
          <w:rFonts w:cs="Times New Roman"/>
          <w:szCs w:val="24"/>
        </w:rPr>
        <w:t>clara</w:t>
      </w:r>
      <w:r w:rsidR="00D136BB">
        <w:rPr>
          <w:rFonts w:cs="Times New Roman"/>
          <w:szCs w:val="24"/>
        </w:rPr>
        <w:t xml:space="preserve"> </w:t>
      </w:r>
      <w:r w:rsidRPr="00985D3E">
        <w:rPr>
          <w:rFonts w:cs="Times New Roman"/>
          <w:szCs w:val="24"/>
        </w:rPr>
        <w:t>en</w:t>
      </w:r>
      <w:r w:rsidR="00D136BB">
        <w:rPr>
          <w:rFonts w:cs="Times New Roman"/>
          <w:szCs w:val="24"/>
        </w:rPr>
        <w:t xml:space="preserve"> </w:t>
      </w:r>
      <w:r w:rsidRPr="00985D3E">
        <w:rPr>
          <w:rFonts w:cs="Times New Roman"/>
          <w:szCs w:val="24"/>
        </w:rPr>
        <w:t>la</w:t>
      </w:r>
      <w:r w:rsidR="00D136BB">
        <w:rPr>
          <w:rFonts w:cs="Times New Roman"/>
          <w:szCs w:val="24"/>
        </w:rPr>
        <w:t xml:space="preserve"> </w:t>
      </w:r>
      <w:r w:rsidRPr="00985D3E">
        <w:rPr>
          <w:rFonts w:cs="Times New Roman"/>
          <w:szCs w:val="24"/>
        </w:rPr>
        <w:t>mayoría</w:t>
      </w:r>
      <w:r w:rsidR="00D136BB">
        <w:rPr>
          <w:rFonts w:cs="Times New Roman"/>
          <w:szCs w:val="24"/>
        </w:rPr>
        <w:t xml:space="preserve"> </w:t>
      </w:r>
      <w:r w:rsidRPr="00985D3E">
        <w:rPr>
          <w:rFonts w:cs="Times New Roman"/>
          <w:szCs w:val="24"/>
        </w:rPr>
        <w:t>de</w:t>
      </w:r>
      <w:r w:rsidR="00D136BB">
        <w:rPr>
          <w:rFonts w:cs="Times New Roman"/>
          <w:szCs w:val="24"/>
        </w:rPr>
        <w:t xml:space="preserve"> </w:t>
      </w:r>
      <w:r w:rsidRPr="00985D3E">
        <w:rPr>
          <w:rFonts w:cs="Times New Roman"/>
          <w:szCs w:val="24"/>
        </w:rPr>
        <w:t>los</w:t>
      </w:r>
      <w:r w:rsidR="00D136BB">
        <w:rPr>
          <w:rFonts w:cs="Times New Roman"/>
          <w:szCs w:val="24"/>
        </w:rPr>
        <w:t xml:space="preserve"> </w:t>
      </w:r>
      <w:r w:rsidRPr="00985D3E">
        <w:rPr>
          <w:rFonts w:cs="Times New Roman"/>
          <w:szCs w:val="24"/>
        </w:rPr>
        <w:t>países</w:t>
      </w:r>
      <w:r w:rsidR="00D136BB">
        <w:rPr>
          <w:rFonts w:cs="Times New Roman"/>
          <w:szCs w:val="24"/>
        </w:rPr>
        <w:t xml:space="preserve"> </w:t>
      </w:r>
      <w:r w:rsidRPr="00985D3E">
        <w:rPr>
          <w:rFonts w:cs="Times New Roman"/>
          <w:szCs w:val="24"/>
        </w:rPr>
        <w:t>y</w:t>
      </w:r>
      <w:r w:rsidR="00D136BB">
        <w:rPr>
          <w:rFonts w:cs="Times New Roman"/>
          <w:szCs w:val="24"/>
        </w:rPr>
        <w:t xml:space="preserve"> </w:t>
      </w:r>
      <w:r w:rsidRPr="00985D3E">
        <w:rPr>
          <w:rFonts w:cs="Times New Roman"/>
          <w:szCs w:val="24"/>
        </w:rPr>
        <w:t>presenta</w:t>
      </w:r>
      <w:r w:rsidR="00D136BB">
        <w:rPr>
          <w:rFonts w:cs="Times New Roman"/>
          <w:szCs w:val="24"/>
        </w:rPr>
        <w:t xml:space="preserve"> </w:t>
      </w:r>
      <w:r w:rsidRPr="00985D3E">
        <w:rPr>
          <w:rFonts w:cs="Times New Roman"/>
          <w:szCs w:val="24"/>
        </w:rPr>
        <w:t>vacíos</w:t>
      </w:r>
      <w:r w:rsidR="00D136BB">
        <w:rPr>
          <w:rFonts w:cs="Times New Roman"/>
          <w:szCs w:val="24"/>
        </w:rPr>
        <w:t xml:space="preserve"> </w:t>
      </w:r>
      <w:r w:rsidRPr="00985D3E">
        <w:rPr>
          <w:rFonts w:cs="Times New Roman"/>
          <w:szCs w:val="24"/>
        </w:rPr>
        <w:t>o</w:t>
      </w:r>
      <w:r w:rsidR="00D136BB">
        <w:rPr>
          <w:rFonts w:cs="Times New Roman"/>
          <w:szCs w:val="24"/>
        </w:rPr>
        <w:t xml:space="preserve"> </w:t>
      </w:r>
      <w:r w:rsidRPr="00985D3E">
        <w:rPr>
          <w:rFonts w:cs="Times New Roman"/>
          <w:szCs w:val="24"/>
        </w:rPr>
        <w:t>superposiciones.</w:t>
      </w:r>
      <w:r w:rsidR="00D136BB">
        <w:rPr>
          <w:rFonts w:cs="Times New Roman"/>
          <w:szCs w:val="24"/>
        </w:rPr>
        <w:t xml:space="preserve"> </w:t>
      </w:r>
    </w:p>
    <w:p w14:paraId="2BEF5D4A" w14:textId="1C9471AA" w:rsidR="005D0292" w:rsidRPr="006454E8" w:rsidRDefault="001F7F3E" w:rsidP="001F7F3E">
      <w:pPr>
        <w:pStyle w:val="Heading3"/>
        <w:numPr>
          <w:ilvl w:val="0"/>
          <w:numId w:val="0"/>
        </w:numPr>
        <w:tabs>
          <w:tab w:val="clear" w:pos="851"/>
          <w:tab w:val="clear" w:pos="1134"/>
          <w:tab w:val="clear" w:pos="1429"/>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before="360" w:after="120"/>
        <w:rPr>
          <w:szCs w:val="24"/>
          <w:lang w:val="es-ES_tradnl"/>
        </w:rPr>
      </w:pPr>
      <w:r w:rsidRPr="006454E8">
        <w:rPr>
          <w:szCs w:val="24"/>
          <w:lang w:val="es-ES_tradnl"/>
        </w:rPr>
        <w:t>ix)</w:t>
      </w:r>
      <w:r w:rsidR="00D136BB">
        <w:rPr>
          <w:szCs w:val="24"/>
          <w:lang w:val="es-ES_tradnl"/>
        </w:rPr>
        <w:t xml:space="preserve"> </w:t>
      </w:r>
      <w:r w:rsidR="005D0292" w:rsidRPr="006454E8">
        <w:rPr>
          <w:szCs w:val="24"/>
          <w:lang w:val="es-ES_tradnl"/>
        </w:rPr>
        <w:t>Seguridad</w:t>
      </w:r>
      <w:r w:rsidR="00D136BB">
        <w:rPr>
          <w:szCs w:val="24"/>
          <w:lang w:val="es-ES_tradnl"/>
        </w:rPr>
        <w:t xml:space="preserve"> </w:t>
      </w:r>
      <w:r w:rsidR="005D0292" w:rsidRPr="006454E8">
        <w:rPr>
          <w:szCs w:val="24"/>
          <w:lang w:val="es-ES_tradnl"/>
        </w:rPr>
        <w:t>de</w:t>
      </w:r>
      <w:r w:rsidR="00D136BB">
        <w:rPr>
          <w:szCs w:val="24"/>
          <w:lang w:val="es-ES_tradnl"/>
        </w:rPr>
        <w:t xml:space="preserve"> </w:t>
      </w:r>
      <w:r w:rsidR="005D0292" w:rsidRPr="006454E8">
        <w:rPr>
          <w:szCs w:val="24"/>
          <w:lang w:val="es-ES_tradnl"/>
        </w:rPr>
        <w:t>reactores</w:t>
      </w:r>
      <w:r w:rsidR="00D136BB">
        <w:rPr>
          <w:szCs w:val="24"/>
          <w:lang w:val="es-ES_tradnl"/>
        </w:rPr>
        <w:t xml:space="preserve"> </w:t>
      </w:r>
      <w:r w:rsidR="005D0292" w:rsidRPr="006454E8">
        <w:rPr>
          <w:szCs w:val="24"/>
          <w:lang w:val="es-ES_tradnl"/>
        </w:rPr>
        <w:t>nucleares</w:t>
      </w:r>
    </w:p>
    <w:p w14:paraId="18DAA75E" w14:textId="492227AA" w:rsidR="005D0292" w:rsidRPr="00AE1E0D" w:rsidRDefault="005D0292" w:rsidP="005D0292">
      <w:pPr>
        <w:pStyle w:val="ListNumber"/>
        <w:rPr>
          <w:rFonts w:cs="Times New Roman"/>
          <w:szCs w:val="24"/>
          <w:lang w:val="es-ES"/>
        </w:rPr>
      </w:pP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mayoría</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los</w:t>
      </w:r>
      <w:r w:rsidR="00D136BB">
        <w:rPr>
          <w:rFonts w:cs="Times New Roman"/>
          <w:szCs w:val="24"/>
          <w:lang w:val="es-ES"/>
        </w:rPr>
        <w:t xml:space="preserve"> </w:t>
      </w:r>
      <w:r w:rsidRPr="00AE1E0D">
        <w:rPr>
          <w:rFonts w:cs="Times New Roman"/>
          <w:szCs w:val="24"/>
          <w:lang w:val="es-ES"/>
        </w:rPr>
        <w:t>reactores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región</w:t>
      </w:r>
      <w:r w:rsidR="00D136BB">
        <w:rPr>
          <w:rFonts w:cs="Times New Roman"/>
          <w:szCs w:val="24"/>
          <w:lang w:val="es-ES"/>
        </w:rPr>
        <w:t xml:space="preserve"> </w:t>
      </w:r>
      <w:r w:rsidRPr="00AE1E0D">
        <w:rPr>
          <w:rFonts w:cs="Times New Roman"/>
          <w:szCs w:val="24"/>
          <w:lang w:val="es-ES"/>
        </w:rPr>
        <w:t>están</w:t>
      </w:r>
      <w:r w:rsidR="00D136BB">
        <w:rPr>
          <w:rFonts w:cs="Times New Roman"/>
          <w:szCs w:val="24"/>
          <w:lang w:val="es-ES"/>
        </w:rPr>
        <w:t xml:space="preserve"> </w:t>
      </w:r>
      <w:r w:rsidRPr="00AE1E0D">
        <w:rPr>
          <w:rFonts w:cs="Times New Roman"/>
          <w:szCs w:val="24"/>
          <w:lang w:val="es-ES"/>
        </w:rPr>
        <w:t>operando</w:t>
      </w:r>
      <w:r w:rsidR="00D136BB">
        <w:rPr>
          <w:rFonts w:cs="Times New Roman"/>
          <w:szCs w:val="24"/>
          <w:lang w:val="es-ES"/>
        </w:rPr>
        <w:t xml:space="preserve"> </w:t>
      </w:r>
      <w:r w:rsidRPr="00AE1E0D">
        <w:rPr>
          <w:rFonts w:cs="Times New Roman"/>
          <w:szCs w:val="24"/>
          <w:lang w:val="es-ES"/>
        </w:rPr>
        <w:t>desde</w:t>
      </w:r>
      <w:r w:rsidR="00D136BB">
        <w:rPr>
          <w:rFonts w:cs="Times New Roman"/>
          <w:szCs w:val="24"/>
          <w:lang w:val="es-ES"/>
        </w:rPr>
        <w:t xml:space="preserve"> </w:t>
      </w:r>
      <w:r w:rsidRPr="00AE1E0D">
        <w:rPr>
          <w:rFonts w:cs="Times New Roman"/>
          <w:szCs w:val="24"/>
          <w:lang w:val="es-ES"/>
        </w:rPr>
        <w:t>hace</w:t>
      </w:r>
      <w:r w:rsidR="00D136BB">
        <w:rPr>
          <w:rFonts w:cs="Times New Roman"/>
          <w:szCs w:val="24"/>
          <w:lang w:val="es-ES"/>
        </w:rPr>
        <w:t xml:space="preserve"> </w:t>
      </w:r>
      <w:r w:rsidRPr="00AE1E0D">
        <w:rPr>
          <w:rFonts w:cs="Times New Roman"/>
          <w:szCs w:val="24"/>
          <w:lang w:val="es-ES"/>
        </w:rPr>
        <w:t>decenas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años</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se</w:t>
      </w:r>
      <w:r w:rsidR="00D136BB">
        <w:rPr>
          <w:rFonts w:cs="Times New Roman"/>
          <w:szCs w:val="24"/>
          <w:lang w:val="es-ES"/>
        </w:rPr>
        <w:t xml:space="preserve"> </w:t>
      </w:r>
      <w:r w:rsidRPr="00AE1E0D">
        <w:rPr>
          <w:rFonts w:cs="Times New Roman"/>
          <w:szCs w:val="24"/>
          <w:lang w:val="es-ES"/>
        </w:rPr>
        <w:t>enfrentan</w:t>
      </w:r>
      <w:r w:rsidR="00D136BB">
        <w:rPr>
          <w:rFonts w:cs="Times New Roman"/>
          <w:szCs w:val="24"/>
          <w:lang w:val="es-ES"/>
        </w:rPr>
        <w:t xml:space="preserve"> </w:t>
      </w:r>
      <w:r w:rsidRPr="00AE1E0D">
        <w:rPr>
          <w:rFonts w:cs="Times New Roman"/>
          <w:szCs w:val="24"/>
          <w:lang w:val="es-ES"/>
        </w:rPr>
        <w:t>el</w:t>
      </w:r>
      <w:r w:rsidR="00D136BB">
        <w:rPr>
          <w:rFonts w:cs="Times New Roman"/>
          <w:szCs w:val="24"/>
          <w:lang w:val="es-ES"/>
        </w:rPr>
        <w:t xml:space="preserve"> </w:t>
      </w:r>
      <w:r w:rsidRPr="00AE1E0D">
        <w:rPr>
          <w:rFonts w:cs="Times New Roman"/>
          <w:szCs w:val="24"/>
          <w:lang w:val="es-ES"/>
        </w:rPr>
        <w:t>desafío</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una</w:t>
      </w:r>
      <w:r w:rsidR="00D136BB">
        <w:rPr>
          <w:rFonts w:cs="Times New Roman"/>
          <w:szCs w:val="24"/>
          <w:lang w:val="es-ES"/>
        </w:rPr>
        <w:t xml:space="preserve"> </w:t>
      </w:r>
      <w:r w:rsidRPr="00AE1E0D">
        <w:rPr>
          <w:rFonts w:cs="Times New Roman"/>
          <w:szCs w:val="24"/>
          <w:lang w:val="es-ES"/>
        </w:rPr>
        <w:t>eficaz</w:t>
      </w:r>
      <w:r w:rsidR="00D136BB">
        <w:rPr>
          <w:rFonts w:cs="Times New Roman"/>
          <w:szCs w:val="24"/>
          <w:lang w:val="es-ES"/>
        </w:rPr>
        <w:t xml:space="preserve"> </w:t>
      </w:r>
      <w:r w:rsidRPr="00AE1E0D">
        <w:rPr>
          <w:rFonts w:cs="Times New Roman"/>
          <w:szCs w:val="24"/>
          <w:lang w:val="es-ES"/>
        </w:rPr>
        <w:t>prolongación</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vida</w:t>
      </w:r>
      <w:r w:rsidR="00D136BB">
        <w:rPr>
          <w:rFonts w:cs="Times New Roman"/>
          <w:szCs w:val="24"/>
          <w:lang w:val="es-ES"/>
        </w:rPr>
        <w:t xml:space="preserve"> </w:t>
      </w:r>
      <w:r w:rsidRPr="00AE1E0D">
        <w:rPr>
          <w:rFonts w:cs="Times New Roman"/>
          <w:szCs w:val="24"/>
          <w:lang w:val="es-ES"/>
        </w:rPr>
        <w:t>o</w:t>
      </w:r>
      <w:r w:rsidR="00D136BB">
        <w:rPr>
          <w:rFonts w:cs="Times New Roman"/>
          <w:szCs w:val="24"/>
          <w:lang w:val="es-ES"/>
        </w:rPr>
        <w:t xml:space="preserve"> </w:t>
      </w:r>
      <w:r w:rsidRPr="00AE1E0D">
        <w:rPr>
          <w:rFonts w:cs="Times New Roman"/>
          <w:szCs w:val="24"/>
          <w:lang w:val="es-ES"/>
        </w:rPr>
        <w:t>el</w:t>
      </w:r>
      <w:r w:rsidR="00D136BB">
        <w:rPr>
          <w:rFonts w:cs="Times New Roman"/>
          <w:szCs w:val="24"/>
          <w:lang w:val="es-ES"/>
        </w:rPr>
        <w:t xml:space="preserve"> </w:t>
      </w:r>
      <w:r w:rsidRPr="00AE1E0D">
        <w:rPr>
          <w:rFonts w:cs="Times New Roman"/>
          <w:szCs w:val="24"/>
          <w:lang w:val="es-ES"/>
        </w:rPr>
        <w:t>inicio</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su</w:t>
      </w:r>
      <w:r w:rsidR="00D136BB">
        <w:rPr>
          <w:rFonts w:cs="Times New Roman"/>
          <w:szCs w:val="24"/>
          <w:lang w:val="es-ES"/>
        </w:rPr>
        <w:t xml:space="preserve"> </w:t>
      </w:r>
      <w:r w:rsidRPr="00AE1E0D">
        <w:rPr>
          <w:rFonts w:cs="Times New Roman"/>
          <w:szCs w:val="24"/>
          <w:lang w:val="es-ES"/>
        </w:rPr>
        <w:t>desmantelamiento</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clausura.</w:t>
      </w:r>
    </w:p>
    <w:p w14:paraId="17537F91" w14:textId="538C3F2B" w:rsidR="005D0292" w:rsidRPr="00AE1E0D" w:rsidRDefault="005D0292" w:rsidP="005D0292">
      <w:pPr>
        <w:pStyle w:val="ListNumber"/>
        <w:rPr>
          <w:rFonts w:cs="Times New Roman"/>
          <w:szCs w:val="24"/>
          <w:lang w:val="es-ES"/>
        </w:rPr>
      </w:pPr>
      <w:r w:rsidRPr="00AE1E0D">
        <w:rPr>
          <w:rFonts w:cs="Times New Roman"/>
          <w:szCs w:val="24"/>
          <w:lang w:val="es-ES"/>
        </w:rPr>
        <w:t>El</w:t>
      </w:r>
      <w:r w:rsidR="00D136BB">
        <w:rPr>
          <w:rFonts w:cs="Times New Roman"/>
          <w:szCs w:val="24"/>
          <w:lang w:val="es-ES"/>
        </w:rPr>
        <w:t xml:space="preserve"> </w:t>
      </w:r>
      <w:r w:rsidRPr="00AE1E0D">
        <w:rPr>
          <w:rFonts w:cs="Times New Roman"/>
          <w:szCs w:val="24"/>
          <w:lang w:val="es-ES"/>
        </w:rPr>
        <w:t>desarrollo</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nuevos</w:t>
      </w:r>
      <w:r w:rsidR="00D136BB">
        <w:rPr>
          <w:rFonts w:cs="Times New Roman"/>
          <w:szCs w:val="24"/>
          <w:lang w:val="es-ES"/>
        </w:rPr>
        <w:t xml:space="preserve"> </w:t>
      </w:r>
      <w:r w:rsidRPr="00AE1E0D">
        <w:rPr>
          <w:rFonts w:cs="Times New Roman"/>
          <w:szCs w:val="24"/>
          <w:lang w:val="es-ES"/>
        </w:rPr>
        <w:t>proyectos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reactores</w:t>
      </w:r>
      <w:r w:rsidR="00D136BB">
        <w:rPr>
          <w:rFonts w:cs="Times New Roman"/>
          <w:szCs w:val="24"/>
          <w:lang w:val="es-ES"/>
        </w:rPr>
        <w:t xml:space="preserve"> </w:t>
      </w:r>
      <w:r w:rsidRPr="00AE1E0D">
        <w:rPr>
          <w:rFonts w:cs="Times New Roman"/>
          <w:szCs w:val="24"/>
          <w:lang w:val="es-ES"/>
        </w:rPr>
        <w:t>requiere,</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algunos</w:t>
      </w:r>
      <w:r w:rsidR="00D136BB">
        <w:rPr>
          <w:rFonts w:cs="Times New Roman"/>
          <w:szCs w:val="24"/>
          <w:lang w:val="es-ES"/>
        </w:rPr>
        <w:t xml:space="preserve"> </w:t>
      </w:r>
      <w:r w:rsidRPr="00AE1E0D">
        <w:rPr>
          <w:rFonts w:cs="Times New Roman"/>
          <w:szCs w:val="24"/>
          <w:lang w:val="es-ES"/>
        </w:rPr>
        <w:t>casos,</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adecuación</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una</w:t>
      </w:r>
      <w:r w:rsidR="00D136BB">
        <w:rPr>
          <w:rFonts w:cs="Times New Roman"/>
          <w:szCs w:val="24"/>
          <w:lang w:val="es-ES"/>
        </w:rPr>
        <w:t xml:space="preserve"> </w:t>
      </w:r>
      <w:r w:rsidRPr="00AE1E0D">
        <w:rPr>
          <w:rFonts w:cs="Times New Roman"/>
          <w:szCs w:val="24"/>
          <w:lang w:val="es-ES"/>
        </w:rPr>
        <w:t>parte</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infraestructura</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seguridad</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conformidad</w:t>
      </w:r>
      <w:r w:rsidR="00D136BB">
        <w:rPr>
          <w:rFonts w:cs="Times New Roman"/>
          <w:szCs w:val="24"/>
          <w:lang w:val="es-ES"/>
        </w:rPr>
        <w:t xml:space="preserve"> </w:t>
      </w:r>
      <w:r w:rsidRPr="00AE1E0D">
        <w:rPr>
          <w:rFonts w:cs="Times New Roman"/>
          <w:szCs w:val="24"/>
          <w:lang w:val="es-ES"/>
        </w:rPr>
        <w:t>con</w:t>
      </w:r>
      <w:r w:rsidR="00D136BB">
        <w:rPr>
          <w:rFonts w:cs="Times New Roman"/>
          <w:szCs w:val="24"/>
          <w:lang w:val="es-ES"/>
        </w:rPr>
        <w:t xml:space="preserve"> </w:t>
      </w:r>
      <w:r w:rsidRPr="00AE1E0D">
        <w:rPr>
          <w:rFonts w:cs="Times New Roman"/>
          <w:szCs w:val="24"/>
          <w:lang w:val="es-ES"/>
        </w:rPr>
        <w:t>las</w:t>
      </w:r>
      <w:r w:rsidR="00D136BB">
        <w:rPr>
          <w:rFonts w:cs="Times New Roman"/>
          <w:szCs w:val="24"/>
          <w:lang w:val="es-ES"/>
        </w:rPr>
        <w:t xml:space="preserve"> </w:t>
      </w:r>
      <w:r w:rsidRPr="00AE1E0D">
        <w:rPr>
          <w:rFonts w:cs="Times New Roman"/>
          <w:szCs w:val="24"/>
          <w:lang w:val="es-ES"/>
        </w:rPr>
        <w:t>normas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seguridad</w:t>
      </w:r>
      <w:r w:rsidR="00D136BB">
        <w:rPr>
          <w:rFonts w:cs="Times New Roman"/>
          <w:szCs w:val="24"/>
          <w:lang w:val="es-ES"/>
        </w:rPr>
        <w:t xml:space="preserve"> </w:t>
      </w:r>
      <w:r w:rsidRPr="00AE1E0D">
        <w:rPr>
          <w:rFonts w:cs="Times New Roman"/>
          <w:szCs w:val="24"/>
          <w:lang w:val="es-ES"/>
        </w:rPr>
        <w:t>del</w:t>
      </w:r>
      <w:r w:rsidR="00D136BB">
        <w:rPr>
          <w:rFonts w:cs="Times New Roman"/>
          <w:szCs w:val="24"/>
          <w:lang w:val="es-ES"/>
        </w:rPr>
        <w:t xml:space="preserve"> </w:t>
      </w:r>
      <w:r w:rsidRPr="00AE1E0D">
        <w:rPr>
          <w:rFonts w:cs="Times New Roman"/>
          <w:szCs w:val="24"/>
          <w:lang w:val="es-ES"/>
        </w:rPr>
        <w:t>OIEA.</w:t>
      </w:r>
    </w:p>
    <w:p w14:paraId="79519CE9" w14:textId="11BBBDCB" w:rsidR="005D0292" w:rsidRPr="00AE1E0D" w:rsidRDefault="005D0292" w:rsidP="005D0292">
      <w:pPr>
        <w:pStyle w:val="ListNumber"/>
        <w:rPr>
          <w:rFonts w:cs="Times New Roman"/>
          <w:szCs w:val="24"/>
          <w:lang w:val="es-ES"/>
        </w:rPr>
      </w:pPr>
      <w:r w:rsidRPr="00AE1E0D">
        <w:rPr>
          <w:rFonts w:cs="Times New Roman"/>
          <w:szCs w:val="24"/>
          <w:lang w:val="es-ES"/>
        </w:rPr>
        <w:t>El</w:t>
      </w:r>
      <w:r w:rsidR="00D136BB">
        <w:rPr>
          <w:rFonts w:cs="Times New Roman"/>
          <w:szCs w:val="24"/>
          <w:lang w:val="es-ES"/>
        </w:rPr>
        <w:t xml:space="preserve"> </w:t>
      </w:r>
      <w:r w:rsidRPr="00AE1E0D">
        <w:rPr>
          <w:rFonts w:cs="Times New Roman"/>
          <w:szCs w:val="24"/>
          <w:lang w:val="es-ES"/>
        </w:rPr>
        <w:t>desarrollo</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nuevos</w:t>
      </w:r>
      <w:r w:rsidR="00D136BB">
        <w:rPr>
          <w:rFonts w:cs="Times New Roman"/>
          <w:szCs w:val="24"/>
          <w:lang w:val="es-ES"/>
        </w:rPr>
        <w:t xml:space="preserve"> </w:t>
      </w:r>
      <w:r w:rsidRPr="00AE1E0D">
        <w:rPr>
          <w:rFonts w:cs="Times New Roman"/>
          <w:szCs w:val="24"/>
          <w:lang w:val="es-ES"/>
        </w:rPr>
        <w:t>proyectos</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reactores</w:t>
      </w:r>
      <w:r w:rsidR="00D136BB">
        <w:rPr>
          <w:rFonts w:cs="Times New Roman"/>
          <w:szCs w:val="24"/>
          <w:lang w:val="es-ES"/>
        </w:rPr>
        <w:t xml:space="preserve"> </w:t>
      </w:r>
      <w:r w:rsidRPr="00AE1E0D">
        <w:rPr>
          <w:rFonts w:cs="Times New Roman"/>
          <w:szCs w:val="24"/>
          <w:lang w:val="es-ES"/>
        </w:rPr>
        <w:t>requiere,</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algunos</w:t>
      </w:r>
      <w:r w:rsidR="00D136BB">
        <w:rPr>
          <w:rFonts w:cs="Times New Roman"/>
          <w:szCs w:val="24"/>
          <w:lang w:val="es-ES"/>
        </w:rPr>
        <w:t xml:space="preserve"> </w:t>
      </w:r>
      <w:r w:rsidRPr="00AE1E0D">
        <w:rPr>
          <w:rFonts w:cs="Times New Roman"/>
          <w:szCs w:val="24"/>
          <w:lang w:val="es-ES"/>
        </w:rPr>
        <w:t>casos,</w:t>
      </w:r>
      <w:r w:rsidR="00D136BB">
        <w:rPr>
          <w:rFonts w:cs="Times New Roman"/>
          <w:szCs w:val="24"/>
          <w:lang w:val="es-ES"/>
        </w:rPr>
        <w:t xml:space="preserve"> </w:t>
      </w:r>
      <w:r w:rsidRPr="00AE1E0D">
        <w:rPr>
          <w:rFonts w:cs="Times New Roman"/>
          <w:szCs w:val="24"/>
          <w:lang w:val="es-ES"/>
        </w:rPr>
        <w:t>potenciar</w:t>
      </w:r>
      <w:r w:rsidR="00D136BB">
        <w:rPr>
          <w:rFonts w:cs="Times New Roman"/>
          <w:szCs w:val="24"/>
          <w:lang w:val="es-ES"/>
        </w:rPr>
        <w:t xml:space="preserve"> </w:t>
      </w:r>
      <w:r w:rsidRPr="00AE1E0D">
        <w:rPr>
          <w:rFonts w:cs="Times New Roman"/>
          <w:szCs w:val="24"/>
          <w:lang w:val="es-ES"/>
        </w:rPr>
        <w:t>las</w:t>
      </w:r>
      <w:r w:rsidR="00D136BB">
        <w:rPr>
          <w:rFonts w:cs="Times New Roman"/>
          <w:szCs w:val="24"/>
          <w:lang w:val="es-ES"/>
        </w:rPr>
        <w:t xml:space="preserve"> </w:t>
      </w:r>
      <w:r w:rsidRPr="00AE1E0D">
        <w:rPr>
          <w:rFonts w:cs="Times New Roman"/>
          <w:szCs w:val="24"/>
          <w:lang w:val="es-ES"/>
        </w:rPr>
        <w:t>competencias</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evaluación</w:t>
      </w:r>
      <w:r w:rsidR="00D136BB">
        <w:rPr>
          <w:rFonts w:cs="Times New Roman"/>
          <w:szCs w:val="24"/>
          <w:lang w:val="es-ES"/>
        </w:rPr>
        <w:t xml:space="preserve"> </w:t>
      </w:r>
      <w:r w:rsidRPr="00AE1E0D">
        <w:rPr>
          <w:rFonts w:cs="Times New Roman"/>
          <w:szCs w:val="24"/>
          <w:lang w:val="es-ES"/>
        </w:rPr>
        <w:t>de</w:t>
      </w:r>
      <w:r w:rsidR="00D136BB">
        <w:rPr>
          <w:rFonts w:cs="Times New Roman"/>
          <w:szCs w:val="24"/>
          <w:lang w:val="es-ES"/>
        </w:rPr>
        <w:t xml:space="preserve"> </w:t>
      </w:r>
      <w:r w:rsidRPr="00AE1E0D">
        <w:rPr>
          <w:rFonts w:cs="Times New Roman"/>
          <w:szCs w:val="24"/>
          <w:lang w:val="es-ES"/>
        </w:rPr>
        <w:t>seguridad,</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para</w:t>
      </w:r>
      <w:r w:rsidR="00D136BB">
        <w:rPr>
          <w:rFonts w:cs="Times New Roman"/>
          <w:szCs w:val="24"/>
          <w:lang w:val="es-ES"/>
        </w:rPr>
        <w:t xml:space="preserve"> </w:t>
      </w:r>
      <w:r w:rsidRPr="00AE1E0D">
        <w:rPr>
          <w:rFonts w:cs="Times New Roman"/>
          <w:szCs w:val="24"/>
          <w:lang w:val="es-ES"/>
        </w:rPr>
        <w:t>la</w:t>
      </w:r>
      <w:r w:rsidR="00D136BB">
        <w:rPr>
          <w:rFonts w:cs="Times New Roman"/>
          <w:szCs w:val="24"/>
          <w:lang w:val="es-ES"/>
        </w:rPr>
        <w:t xml:space="preserve"> </w:t>
      </w:r>
      <w:r w:rsidRPr="00AE1E0D">
        <w:rPr>
          <w:rFonts w:cs="Times New Roman"/>
          <w:szCs w:val="24"/>
          <w:lang w:val="es-ES"/>
        </w:rPr>
        <w:t>revisión</w:t>
      </w:r>
      <w:r w:rsidR="00D136BB">
        <w:rPr>
          <w:rFonts w:cs="Times New Roman"/>
          <w:szCs w:val="24"/>
          <w:lang w:val="es-ES"/>
        </w:rPr>
        <w:t xml:space="preserve"> </w:t>
      </w:r>
      <w:r w:rsidRPr="00AE1E0D">
        <w:rPr>
          <w:rFonts w:cs="Times New Roman"/>
          <w:szCs w:val="24"/>
          <w:lang w:val="es-ES"/>
        </w:rPr>
        <w:t>y</w:t>
      </w:r>
      <w:r w:rsidR="00D136BB">
        <w:rPr>
          <w:rFonts w:cs="Times New Roman"/>
          <w:szCs w:val="24"/>
          <w:lang w:val="es-ES"/>
        </w:rPr>
        <w:t xml:space="preserve"> </w:t>
      </w:r>
      <w:r w:rsidRPr="00AE1E0D">
        <w:rPr>
          <w:rFonts w:cs="Times New Roman"/>
          <w:szCs w:val="24"/>
          <w:lang w:val="es-ES"/>
        </w:rPr>
        <w:t>evaluación</w:t>
      </w:r>
      <w:r w:rsidR="00D136BB">
        <w:rPr>
          <w:rFonts w:cs="Times New Roman"/>
          <w:szCs w:val="24"/>
          <w:lang w:val="es-ES"/>
        </w:rPr>
        <w:t xml:space="preserve"> </w:t>
      </w:r>
      <w:r w:rsidRPr="00AE1E0D">
        <w:rPr>
          <w:rFonts w:cs="Times New Roman"/>
          <w:szCs w:val="24"/>
          <w:lang w:val="es-ES"/>
        </w:rPr>
        <w:t>del</w:t>
      </w:r>
      <w:r w:rsidR="00D136BB">
        <w:rPr>
          <w:rFonts w:cs="Times New Roman"/>
          <w:szCs w:val="24"/>
          <w:lang w:val="es-ES"/>
        </w:rPr>
        <w:t xml:space="preserve"> </w:t>
      </w:r>
      <w:r w:rsidRPr="00AE1E0D">
        <w:rPr>
          <w:rFonts w:cs="Times New Roman"/>
          <w:szCs w:val="24"/>
          <w:lang w:val="es-ES"/>
        </w:rPr>
        <w:t>regulador.</w:t>
      </w:r>
    </w:p>
    <w:p w14:paraId="4AFDA289" w14:textId="77777777" w:rsidR="005D0292" w:rsidRPr="00AE1E0D" w:rsidRDefault="005D0292" w:rsidP="005D0292">
      <w:pPr>
        <w:pStyle w:val="ListNumber"/>
        <w:numPr>
          <w:ilvl w:val="0"/>
          <w:numId w:val="0"/>
        </w:numPr>
        <w:ind w:left="567"/>
        <w:rPr>
          <w:rFonts w:cs="Times New Roman"/>
          <w:szCs w:val="24"/>
          <w:lang w:val="es-ES"/>
        </w:rPr>
      </w:pPr>
    </w:p>
    <w:p w14:paraId="7F514067" w14:textId="65278B5E" w:rsidR="005D0292" w:rsidRPr="006454E8" w:rsidRDefault="001F7F3E" w:rsidP="005D0292">
      <w:pPr>
        <w:pStyle w:val="Heading3"/>
        <w:numPr>
          <w:ilvl w:val="0"/>
          <w:numId w:val="0"/>
        </w:numPr>
        <w:rPr>
          <w:szCs w:val="24"/>
          <w:lang w:val="es-ES_tradnl" w:eastAsia="es-ES"/>
        </w:rPr>
      </w:pPr>
      <w:r w:rsidRPr="006454E8">
        <w:rPr>
          <w:szCs w:val="24"/>
          <w:lang w:val="es-ES_tradnl"/>
        </w:rPr>
        <w:t>x)</w:t>
      </w:r>
      <w:r w:rsidR="00D136BB">
        <w:rPr>
          <w:szCs w:val="24"/>
          <w:lang w:val="es-ES_tradnl"/>
        </w:rPr>
        <w:t xml:space="preserve"> </w:t>
      </w:r>
      <w:r w:rsidR="005D0292" w:rsidRPr="006454E8">
        <w:rPr>
          <w:szCs w:val="24"/>
          <w:lang w:val="es-ES_tradnl"/>
        </w:rPr>
        <w:t>Contribución</w:t>
      </w:r>
      <w:r w:rsidR="00D136BB">
        <w:rPr>
          <w:szCs w:val="24"/>
          <w:lang w:val="es-ES_tradnl" w:eastAsia="es-ES"/>
        </w:rPr>
        <w:t xml:space="preserve"> </w:t>
      </w:r>
      <w:r w:rsidR="005D0292" w:rsidRPr="006454E8">
        <w:rPr>
          <w:szCs w:val="24"/>
          <w:lang w:val="es-ES_tradnl" w:eastAsia="es-ES"/>
        </w:rPr>
        <w:t>de</w:t>
      </w:r>
      <w:r w:rsidR="00D136BB">
        <w:rPr>
          <w:szCs w:val="24"/>
          <w:lang w:val="es-ES_tradnl" w:eastAsia="es-ES"/>
        </w:rPr>
        <w:t xml:space="preserve"> </w:t>
      </w:r>
      <w:r w:rsidR="005D0292" w:rsidRPr="006454E8">
        <w:rPr>
          <w:szCs w:val="24"/>
          <w:lang w:val="es-ES_tradnl" w:eastAsia="es-ES"/>
        </w:rPr>
        <w:t>estos</w:t>
      </w:r>
      <w:r w:rsidR="00D136BB">
        <w:rPr>
          <w:szCs w:val="24"/>
          <w:lang w:val="es-ES_tradnl" w:eastAsia="es-ES"/>
        </w:rPr>
        <w:t xml:space="preserve"> </w:t>
      </w:r>
      <w:r w:rsidR="005D0292" w:rsidRPr="006454E8">
        <w:rPr>
          <w:szCs w:val="24"/>
          <w:lang w:val="es-ES_tradnl" w:eastAsia="es-ES"/>
        </w:rPr>
        <w:t>con</w:t>
      </w:r>
      <w:r w:rsidR="00D136BB">
        <w:rPr>
          <w:szCs w:val="24"/>
          <w:lang w:val="es-ES_tradnl" w:eastAsia="es-ES"/>
        </w:rPr>
        <w:t xml:space="preserve"> </w:t>
      </w:r>
      <w:r w:rsidR="005D0292" w:rsidRPr="006454E8">
        <w:rPr>
          <w:szCs w:val="24"/>
          <w:lang w:val="es-ES_tradnl" w:eastAsia="es-ES"/>
        </w:rPr>
        <w:t>los</w:t>
      </w:r>
      <w:r w:rsidR="00D136BB">
        <w:rPr>
          <w:szCs w:val="24"/>
          <w:lang w:val="es-ES_tradnl" w:eastAsia="es-ES"/>
        </w:rPr>
        <w:t xml:space="preserve"> </w:t>
      </w:r>
      <w:r w:rsidR="005D0292" w:rsidRPr="006454E8">
        <w:rPr>
          <w:szCs w:val="24"/>
          <w:lang w:val="es-ES_tradnl" w:eastAsia="es-ES"/>
        </w:rPr>
        <w:t>Objetivos</w:t>
      </w:r>
      <w:r w:rsidR="00D136BB">
        <w:rPr>
          <w:szCs w:val="24"/>
          <w:lang w:val="es-ES_tradnl" w:eastAsia="es-ES"/>
        </w:rPr>
        <w:t xml:space="preserve"> </w:t>
      </w:r>
      <w:r w:rsidR="005D0292" w:rsidRPr="006454E8">
        <w:rPr>
          <w:szCs w:val="24"/>
          <w:lang w:val="es-ES_tradnl" w:eastAsia="es-ES"/>
        </w:rPr>
        <w:t>de</w:t>
      </w:r>
      <w:r w:rsidR="00D136BB">
        <w:rPr>
          <w:szCs w:val="24"/>
          <w:lang w:val="es-ES_tradnl" w:eastAsia="es-ES"/>
        </w:rPr>
        <w:t xml:space="preserve"> </w:t>
      </w:r>
      <w:r w:rsidR="005D0292" w:rsidRPr="006454E8">
        <w:rPr>
          <w:szCs w:val="24"/>
          <w:lang w:val="es-ES_tradnl" w:eastAsia="es-ES"/>
        </w:rPr>
        <w:t>Desarrollo</w:t>
      </w:r>
      <w:r w:rsidR="00D136BB">
        <w:rPr>
          <w:szCs w:val="24"/>
          <w:lang w:val="es-ES_tradnl" w:eastAsia="es-ES"/>
        </w:rPr>
        <w:t xml:space="preserve"> </w:t>
      </w:r>
      <w:r w:rsidR="005D0292" w:rsidRPr="006454E8">
        <w:rPr>
          <w:szCs w:val="24"/>
          <w:lang w:val="es-ES_tradnl" w:eastAsia="es-ES"/>
        </w:rPr>
        <w:t>Sostenible</w:t>
      </w:r>
    </w:p>
    <w:p w14:paraId="5C9CFF82" w14:textId="2BF3D523" w:rsidR="005D0292" w:rsidRPr="00AE1E0D" w:rsidRDefault="00985D3E" w:rsidP="005D0292">
      <w:pPr>
        <w:pStyle w:val="BodyText"/>
        <w:rPr>
          <w:szCs w:val="24"/>
          <w:lang w:val="es-ES" w:eastAsia="es-ES"/>
        </w:rPr>
      </w:pPr>
      <w:r w:rsidRPr="00985D3E">
        <w:rPr>
          <w:szCs w:val="24"/>
          <w:lang w:val="es-ES" w:eastAsia="es-ES"/>
        </w:rPr>
        <w:t>El</w:t>
      </w:r>
      <w:r w:rsidR="00D136BB">
        <w:rPr>
          <w:szCs w:val="24"/>
          <w:lang w:val="es-ES" w:eastAsia="es-ES"/>
        </w:rPr>
        <w:t xml:space="preserve"> </w:t>
      </w:r>
      <w:r w:rsidRPr="00985D3E">
        <w:rPr>
          <w:szCs w:val="24"/>
          <w:lang w:val="es-ES" w:eastAsia="es-ES"/>
        </w:rPr>
        <w:t>sector</w:t>
      </w:r>
      <w:r w:rsidR="00D136BB">
        <w:rPr>
          <w:szCs w:val="24"/>
          <w:lang w:val="es-ES" w:eastAsia="es-ES"/>
        </w:rPr>
        <w:t xml:space="preserve"> </w:t>
      </w:r>
      <w:r w:rsidRPr="00985D3E">
        <w:rPr>
          <w:szCs w:val="24"/>
          <w:lang w:val="es-ES" w:eastAsia="es-ES"/>
        </w:rPr>
        <w:t>de</w:t>
      </w:r>
      <w:r w:rsidR="00D136BB">
        <w:rPr>
          <w:szCs w:val="24"/>
          <w:lang w:val="es-ES" w:eastAsia="es-ES"/>
        </w:rPr>
        <w:t xml:space="preserve"> </w:t>
      </w:r>
      <w:r w:rsidRPr="00985D3E">
        <w:rPr>
          <w:szCs w:val="24"/>
          <w:lang w:val="es-ES" w:eastAsia="es-ES"/>
        </w:rPr>
        <w:t>seguridad</w:t>
      </w:r>
      <w:r w:rsidR="00D136BB">
        <w:rPr>
          <w:szCs w:val="24"/>
          <w:lang w:val="es-ES" w:eastAsia="es-ES"/>
        </w:rPr>
        <w:t xml:space="preserve"> </w:t>
      </w:r>
      <w:r w:rsidRPr="00985D3E">
        <w:rPr>
          <w:szCs w:val="24"/>
          <w:lang w:val="es-ES" w:eastAsia="es-ES"/>
        </w:rPr>
        <w:t>radiológica,</w:t>
      </w:r>
      <w:r w:rsidR="00D136BB">
        <w:rPr>
          <w:szCs w:val="24"/>
          <w:lang w:val="es-ES" w:eastAsia="es-ES"/>
        </w:rPr>
        <w:t xml:space="preserve"> </w:t>
      </w:r>
      <w:r w:rsidRPr="00985D3E">
        <w:rPr>
          <w:szCs w:val="24"/>
          <w:lang w:val="es-ES" w:eastAsia="es-ES"/>
        </w:rPr>
        <w:t>de</w:t>
      </w:r>
      <w:r w:rsidR="00D136BB">
        <w:rPr>
          <w:szCs w:val="24"/>
          <w:lang w:val="es-ES" w:eastAsia="es-ES"/>
        </w:rPr>
        <w:t xml:space="preserve"> </w:t>
      </w:r>
      <w:r w:rsidRPr="00985D3E">
        <w:rPr>
          <w:szCs w:val="24"/>
          <w:lang w:val="es-ES" w:eastAsia="es-ES"/>
        </w:rPr>
        <w:t>De</w:t>
      </w:r>
      <w:r w:rsidR="00D136BB">
        <w:rPr>
          <w:szCs w:val="24"/>
          <w:lang w:val="es-ES" w:eastAsia="es-ES"/>
        </w:rPr>
        <w:t xml:space="preserve"> </w:t>
      </w:r>
      <w:r w:rsidRPr="00985D3E">
        <w:rPr>
          <w:szCs w:val="24"/>
          <w:lang w:val="es-ES" w:eastAsia="es-ES"/>
        </w:rPr>
        <w:t>los</w:t>
      </w:r>
      <w:r w:rsidR="00D136BB">
        <w:rPr>
          <w:szCs w:val="24"/>
          <w:lang w:val="es-ES" w:eastAsia="es-ES"/>
        </w:rPr>
        <w:t xml:space="preserve"> </w:t>
      </w:r>
      <w:r w:rsidRPr="00985D3E">
        <w:rPr>
          <w:szCs w:val="24"/>
          <w:lang w:val="es-ES" w:eastAsia="es-ES"/>
        </w:rPr>
        <w:t>nueve</w:t>
      </w:r>
      <w:r w:rsidR="00D136BB">
        <w:rPr>
          <w:szCs w:val="24"/>
          <w:lang w:val="es-ES" w:eastAsia="es-ES"/>
        </w:rPr>
        <w:t xml:space="preserve"> </w:t>
      </w:r>
      <w:r w:rsidRPr="00985D3E">
        <w:rPr>
          <w:szCs w:val="24"/>
          <w:lang w:val="es-ES" w:eastAsia="es-ES"/>
        </w:rPr>
        <w:t>objetivos</w:t>
      </w:r>
      <w:r w:rsidR="00D136BB">
        <w:rPr>
          <w:szCs w:val="24"/>
          <w:lang w:val="es-ES" w:eastAsia="es-ES"/>
        </w:rPr>
        <w:t xml:space="preserve"> </w:t>
      </w:r>
      <w:r w:rsidRPr="00985D3E">
        <w:rPr>
          <w:szCs w:val="24"/>
          <w:lang w:val="es-ES" w:eastAsia="es-ES"/>
        </w:rPr>
        <w:t>de</w:t>
      </w:r>
      <w:r w:rsidR="00D136BB">
        <w:rPr>
          <w:szCs w:val="24"/>
          <w:lang w:val="es-ES" w:eastAsia="es-ES"/>
        </w:rPr>
        <w:t xml:space="preserve"> </w:t>
      </w:r>
      <w:r w:rsidRPr="00985D3E">
        <w:rPr>
          <w:szCs w:val="24"/>
          <w:lang w:val="es-ES" w:eastAsia="es-ES"/>
        </w:rPr>
        <w:t>desarrollo</w:t>
      </w:r>
      <w:r w:rsidR="00D136BB">
        <w:rPr>
          <w:szCs w:val="24"/>
          <w:lang w:val="es-ES" w:eastAsia="es-ES"/>
        </w:rPr>
        <w:t xml:space="preserve"> </w:t>
      </w:r>
      <w:r w:rsidRPr="00985D3E">
        <w:rPr>
          <w:szCs w:val="24"/>
          <w:lang w:val="es-ES" w:eastAsia="es-ES"/>
        </w:rPr>
        <w:t>sostenible</w:t>
      </w:r>
      <w:r w:rsidR="00D136BB">
        <w:rPr>
          <w:szCs w:val="24"/>
          <w:lang w:val="es-ES" w:eastAsia="es-ES"/>
        </w:rPr>
        <w:t xml:space="preserve"> </w:t>
      </w:r>
      <w:r w:rsidRPr="00985D3E">
        <w:rPr>
          <w:szCs w:val="24"/>
          <w:lang w:val="es-ES" w:eastAsia="es-ES"/>
        </w:rPr>
        <w:t>que</w:t>
      </w:r>
      <w:r w:rsidR="00D136BB">
        <w:rPr>
          <w:szCs w:val="24"/>
          <w:lang w:val="es-ES" w:eastAsia="es-ES"/>
        </w:rPr>
        <w:t xml:space="preserve"> </w:t>
      </w:r>
      <w:r w:rsidRPr="00985D3E">
        <w:rPr>
          <w:szCs w:val="24"/>
          <w:lang w:val="es-ES" w:eastAsia="es-ES"/>
        </w:rPr>
        <w:t>están</w:t>
      </w:r>
      <w:r w:rsidR="00D136BB">
        <w:rPr>
          <w:szCs w:val="24"/>
          <w:lang w:val="es-ES" w:eastAsia="es-ES"/>
        </w:rPr>
        <w:t xml:space="preserve"> </w:t>
      </w:r>
      <w:r w:rsidRPr="00985D3E">
        <w:rPr>
          <w:szCs w:val="24"/>
          <w:lang w:val="es-ES" w:eastAsia="es-ES"/>
        </w:rPr>
        <w:t>relacionados</w:t>
      </w:r>
      <w:r w:rsidR="00D136BB">
        <w:rPr>
          <w:szCs w:val="24"/>
          <w:lang w:val="es-ES" w:eastAsia="es-ES"/>
        </w:rPr>
        <w:t xml:space="preserve"> </w:t>
      </w:r>
      <w:r w:rsidRPr="00985D3E">
        <w:rPr>
          <w:szCs w:val="24"/>
          <w:lang w:val="es-ES" w:eastAsia="es-ES"/>
        </w:rPr>
        <w:t>con</w:t>
      </w:r>
      <w:r w:rsidR="00D136BB">
        <w:rPr>
          <w:szCs w:val="24"/>
          <w:lang w:val="es-ES" w:eastAsia="es-ES"/>
        </w:rPr>
        <w:t xml:space="preserve"> </w:t>
      </w:r>
      <w:r w:rsidRPr="00985D3E">
        <w:rPr>
          <w:szCs w:val="24"/>
          <w:lang w:val="es-ES" w:eastAsia="es-ES"/>
        </w:rPr>
        <w:t>las</w:t>
      </w:r>
      <w:r w:rsidR="00D136BB">
        <w:rPr>
          <w:szCs w:val="24"/>
          <w:lang w:val="es-ES" w:eastAsia="es-ES"/>
        </w:rPr>
        <w:t xml:space="preserve"> </w:t>
      </w:r>
      <w:r w:rsidRPr="00985D3E">
        <w:rPr>
          <w:szCs w:val="24"/>
          <w:lang w:val="es-ES" w:eastAsia="es-ES"/>
        </w:rPr>
        <w:t>actividades</w:t>
      </w:r>
      <w:r w:rsidR="00D136BB">
        <w:rPr>
          <w:szCs w:val="24"/>
          <w:lang w:val="es-ES" w:eastAsia="es-ES"/>
        </w:rPr>
        <w:t xml:space="preserve"> </w:t>
      </w:r>
      <w:r w:rsidRPr="00985D3E">
        <w:rPr>
          <w:szCs w:val="24"/>
          <w:lang w:val="es-ES" w:eastAsia="es-ES"/>
        </w:rPr>
        <w:t>del</w:t>
      </w:r>
      <w:r w:rsidR="00D136BB">
        <w:rPr>
          <w:szCs w:val="24"/>
          <w:lang w:val="es-ES" w:eastAsia="es-ES"/>
        </w:rPr>
        <w:t xml:space="preserve"> </w:t>
      </w:r>
      <w:r w:rsidRPr="00985D3E">
        <w:rPr>
          <w:szCs w:val="24"/>
          <w:lang w:val="es-ES" w:eastAsia="es-ES"/>
        </w:rPr>
        <w:t>OIEA</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2,</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3,</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6,</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7,</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9,</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13,</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14,</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15</w:t>
      </w:r>
      <w:r w:rsidR="00D136BB">
        <w:rPr>
          <w:szCs w:val="24"/>
          <w:lang w:val="es-ES" w:eastAsia="es-ES"/>
        </w:rPr>
        <w:t xml:space="preserve"> </w:t>
      </w:r>
      <w:r w:rsidRPr="00985D3E">
        <w:rPr>
          <w:szCs w:val="24"/>
          <w:lang w:val="es-ES" w:eastAsia="es-ES"/>
        </w:rPr>
        <w:t>y</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17),</w:t>
      </w:r>
      <w:r w:rsidR="00D136BB">
        <w:rPr>
          <w:szCs w:val="24"/>
          <w:lang w:val="es-ES" w:eastAsia="es-ES"/>
        </w:rPr>
        <w:t xml:space="preserve"> </w:t>
      </w:r>
      <w:r w:rsidRPr="00985D3E">
        <w:rPr>
          <w:szCs w:val="24"/>
          <w:lang w:val="es-ES" w:eastAsia="es-ES"/>
        </w:rPr>
        <w:t>el</w:t>
      </w:r>
      <w:r w:rsidR="00D136BB">
        <w:rPr>
          <w:szCs w:val="24"/>
          <w:lang w:val="es-ES" w:eastAsia="es-ES"/>
        </w:rPr>
        <w:t xml:space="preserve"> </w:t>
      </w:r>
      <w:r w:rsidRPr="00985D3E">
        <w:rPr>
          <w:szCs w:val="24"/>
          <w:lang w:val="es-ES" w:eastAsia="es-ES"/>
        </w:rPr>
        <w:t>sector</w:t>
      </w:r>
      <w:r w:rsidR="00D136BB">
        <w:rPr>
          <w:szCs w:val="24"/>
          <w:lang w:val="es-ES" w:eastAsia="es-ES"/>
        </w:rPr>
        <w:t xml:space="preserve"> </w:t>
      </w:r>
      <w:r w:rsidRPr="00985D3E">
        <w:rPr>
          <w:szCs w:val="24"/>
          <w:lang w:val="es-ES" w:eastAsia="es-ES"/>
        </w:rPr>
        <w:t>de</w:t>
      </w:r>
      <w:r w:rsidR="00D136BB">
        <w:rPr>
          <w:szCs w:val="24"/>
          <w:lang w:val="es-ES" w:eastAsia="es-ES"/>
        </w:rPr>
        <w:t xml:space="preserve"> </w:t>
      </w:r>
      <w:r w:rsidRPr="00985D3E">
        <w:rPr>
          <w:szCs w:val="24"/>
          <w:lang w:val="es-ES" w:eastAsia="es-ES"/>
        </w:rPr>
        <w:t>seguridad</w:t>
      </w:r>
      <w:r w:rsidR="00D136BB">
        <w:rPr>
          <w:szCs w:val="24"/>
          <w:lang w:val="es-ES" w:eastAsia="es-ES"/>
        </w:rPr>
        <w:t xml:space="preserve"> </w:t>
      </w:r>
      <w:r w:rsidRPr="00985D3E">
        <w:rPr>
          <w:szCs w:val="24"/>
          <w:lang w:val="es-ES" w:eastAsia="es-ES"/>
        </w:rPr>
        <w:t>radiológica</w:t>
      </w:r>
      <w:r w:rsidR="00D136BB">
        <w:rPr>
          <w:szCs w:val="24"/>
          <w:lang w:val="es-ES" w:eastAsia="es-ES"/>
        </w:rPr>
        <w:t xml:space="preserve"> </w:t>
      </w:r>
      <w:r w:rsidRPr="00985D3E">
        <w:rPr>
          <w:szCs w:val="24"/>
          <w:lang w:val="es-ES" w:eastAsia="es-ES"/>
        </w:rPr>
        <w:t>contribuye</w:t>
      </w:r>
      <w:r w:rsidR="00D136BB">
        <w:rPr>
          <w:szCs w:val="24"/>
          <w:lang w:val="es-ES" w:eastAsia="es-ES"/>
        </w:rPr>
        <w:t xml:space="preserve"> </w:t>
      </w:r>
      <w:r w:rsidRPr="00985D3E">
        <w:rPr>
          <w:szCs w:val="24"/>
          <w:lang w:val="es-ES" w:eastAsia="es-ES"/>
        </w:rPr>
        <w:t>directamente</w:t>
      </w:r>
      <w:r w:rsidR="00D136BB">
        <w:rPr>
          <w:szCs w:val="24"/>
          <w:lang w:val="es-ES" w:eastAsia="es-ES"/>
        </w:rPr>
        <w:t xml:space="preserve"> </w:t>
      </w:r>
      <w:r w:rsidRPr="00985D3E">
        <w:rPr>
          <w:szCs w:val="24"/>
          <w:lang w:val="es-ES" w:eastAsia="es-ES"/>
        </w:rPr>
        <w:t>al</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3</w:t>
      </w:r>
      <w:r w:rsidR="00D136BB">
        <w:rPr>
          <w:szCs w:val="24"/>
          <w:lang w:val="es-ES" w:eastAsia="es-ES"/>
        </w:rPr>
        <w:t xml:space="preserve"> </w:t>
      </w:r>
      <w:r w:rsidRPr="00985D3E">
        <w:rPr>
          <w:szCs w:val="24"/>
          <w:lang w:val="es-ES" w:eastAsia="es-ES"/>
        </w:rPr>
        <w:t>y</w:t>
      </w:r>
      <w:r w:rsidR="00D136BB">
        <w:rPr>
          <w:szCs w:val="24"/>
          <w:lang w:val="es-ES" w:eastAsia="es-ES"/>
        </w:rPr>
        <w:t xml:space="preserve"> </w:t>
      </w:r>
      <w:r w:rsidRPr="00985D3E">
        <w:rPr>
          <w:szCs w:val="24"/>
          <w:lang w:val="es-ES" w:eastAsia="es-ES"/>
        </w:rPr>
        <w:t>al</w:t>
      </w:r>
      <w:r w:rsidR="00D136BB">
        <w:rPr>
          <w:szCs w:val="24"/>
          <w:lang w:val="es-ES" w:eastAsia="es-ES"/>
        </w:rPr>
        <w:t xml:space="preserve"> </w:t>
      </w:r>
      <w:r w:rsidRPr="00985D3E">
        <w:rPr>
          <w:szCs w:val="24"/>
          <w:lang w:val="es-ES" w:eastAsia="es-ES"/>
        </w:rPr>
        <w:t>DOS</w:t>
      </w:r>
      <w:r w:rsidR="00D136BB">
        <w:rPr>
          <w:szCs w:val="24"/>
          <w:lang w:val="es-ES" w:eastAsia="es-ES"/>
        </w:rPr>
        <w:t xml:space="preserve"> </w:t>
      </w:r>
      <w:r w:rsidRPr="00985D3E">
        <w:rPr>
          <w:szCs w:val="24"/>
          <w:lang w:val="es-ES" w:eastAsia="es-ES"/>
        </w:rPr>
        <w:t>ODS</w:t>
      </w:r>
      <w:r w:rsidR="00D136BB">
        <w:rPr>
          <w:szCs w:val="24"/>
          <w:lang w:val="es-ES" w:eastAsia="es-ES"/>
        </w:rPr>
        <w:t xml:space="preserve"> </w:t>
      </w:r>
      <w:r w:rsidRPr="00985D3E">
        <w:rPr>
          <w:szCs w:val="24"/>
          <w:lang w:val="es-ES" w:eastAsia="es-ES"/>
        </w:rPr>
        <w:t>17</w:t>
      </w:r>
      <w:r w:rsidR="00D136BB">
        <w:rPr>
          <w:szCs w:val="24"/>
          <w:lang w:val="es-ES" w:eastAsia="es-ES"/>
        </w:rPr>
        <w:t xml:space="preserve"> </w:t>
      </w:r>
      <w:r w:rsidRPr="00985D3E">
        <w:rPr>
          <w:szCs w:val="24"/>
          <w:lang w:val="es-ES" w:eastAsia="es-ES"/>
        </w:rPr>
        <w:t>que</w:t>
      </w:r>
      <w:r w:rsidR="00D136BB">
        <w:rPr>
          <w:szCs w:val="24"/>
          <w:lang w:val="es-ES" w:eastAsia="es-ES"/>
        </w:rPr>
        <w:t xml:space="preserve"> </w:t>
      </w:r>
      <w:r w:rsidRPr="00985D3E">
        <w:rPr>
          <w:szCs w:val="24"/>
          <w:lang w:val="es-ES" w:eastAsia="es-ES"/>
        </w:rPr>
        <w:t>es</w:t>
      </w:r>
      <w:r w:rsidR="00D136BB">
        <w:rPr>
          <w:szCs w:val="24"/>
          <w:lang w:val="es-ES" w:eastAsia="es-ES"/>
        </w:rPr>
        <w:t xml:space="preserve"> </w:t>
      </w:r>
      <w:r w:rsidRPr="00985D3E">
        <w:rPr>
          <w:szCs w:val="24"/>
          <w:lang w:val="es-ES" w:eastAsia="es-ES"/>
        </w:rPr>
        <w:t>transversal,</w:t>
      </w:r>
      <w:r w:rsidR="00D136BB">
        <w:rPr>
          <w:szCs w:val="24"/>
          <w:lang w:val="es-ES" w:eastAsia="es-ES"/>
        </w:rPr>
        <w:t xml:space="preserve"> </w:t>
      </w:r>
      <w:r w:rsidRPr="00985D3E">
        <w:rPr>
          <w:szCs w:val="24"/>
          <w:lang w:val="es-ES" w:eastAsia="es-ES"/>
        </w:rPr>
        <w:t>aunque</w:t>
      </w:r>
      <w:r w:rsidR="00D136BB">
        <w:rPr>
          <w:szCs w:val="24"/>
          <w:lang w:val="es-ES" w:eastAsia="es-ES"/>
        </w:rPr>
        <w:t xml:space="preserve"> </w:t>
      </w:r>
      <w:r w:rsidRPr="00985D3E">
        <w:rPr>
          <w:szCs w:val="24"/>
          <w:lang w:val="es-ES" w:eastAsia="es-ES"/>
        </w:rPr>
        <w:t>realmente</w:t>
      </w:r>
      <w:r w:rsidR="00D136BB">
        <w:rPr>
          <w:szCs w:val="24"/>
          <w:lang w:val="es-ES" w:eastAsia="es-ES"/>
        </w:rPr>
        <w:t xml:space="preserve"> </w:t>
      </w:r>
      <w:r w:rsidRPr="00985D3E">
        <w:rPr>
          <w:szCs w:val="24"/>
          <w:lang w:val="es-ES" w:eastAsia="es-ES"/>
        </w:rPr>
        <w:t>su</w:t>
      </w:r>
      <w:r w:rsidR="00D136BB">
        <w:rPr>
          <w:szCs w:val="24"/>
          <w:lang w:val="es-ES" w:eastAsia="es-ES"/>
        </w:rPr>
        <w:t xml:space="preserve"> </w:t>
      </w:r>
      <w:r w:rsidRPr="00985D3E">
        <w:rPr>
          <w:szCs w:val="24"/>
          <w:lang w:val="es-ES" w:eastAsia="es-ES"/>
        </w:rPr>
        <w:t>contribución</w:t>
      </w:r>
      <w:r w:rsidR="00D136BB">
        <w:rPr>
          <w:szCs w:val="24"/>
          <w:lang w:val="es-ES" w:eastAsia="es-ES"/>
        </w:rPr>
        <w:t xml:space="preserve"> </w:t>
      </w:r>
      <w:r w:rsidRPr="00985D3E">
        <w:rPr>
          <w:szCs w:val="24"/>
          <w:lang w:val="es-ES" w:eastAsia="es-ES"/>
        </w:rPr>
        <w:t>aplicaría</w:t>
      </w:r>
      <w:r w:rsidR="00D136BB">
        <w:rPr>
          <w:szCs w:val="24"/>
          <w:lang w:val="es-ES" w:eastAsia="es-ES"/>
        </w:rPr>
        <w:t xml:space="preserve"> </w:t>
      </w:r>
      <w:r w:rsidRPr="00985D3E">
        <w:rPr>
          <w:szCs w:val="24"/>
          <w:lang w:val="es-ES" w:eastAsia="es-ES"/>
        </w:rPr>
        <w:t>a</w:t>
      </w:r>
      <w:r w:rsidR="00D136BB">
        <w:rPr>
          <w:szCs w:val="24"/>
          <w:lang w:val="es-ES" w:eastAsia="es-ES"/>
        </w:rPr>
        <w:t xml:space="preserve"> </w:t>
      </w:r>
      <w:r w:rsidRPr="00985D3E">
        <w:rPr>
          <w:szCs w:val="24"/>
          <w:lang w:val="es-ES" w:eastAsia="es-ES"/>
        </w:rPr>
        <w:t>todos</w:t>
      </w:r>
      <w:r w:rsidR="00D136BB">
        <w:rPr>
          <w:szCs w:val="24"/>
          <w:lang w:val="es-ES" w:eastAsia="es-ES"/>
        </w:rPr>
        <w:t xml:space="preserve"> </w:t>
      </w:r>
      <w:r w:rsidRPr="00985D3E">
        <w:rPr>
          <w:szCs w:val="24"/>
          <w:lang w:val="es-ES" w:eastAsia="es-ES"/>
        </w:rPr>
        <w:t>los</w:t>
      </w:r>
      <w:r w:rsidR="00D136BB">
        <w:rPr>
          <w:szCs w:val="24"/>
          <w:lang w:val="es-ES" w:eastAsia="es-ES"/>
        </w:rPr>
        <w:t xml:space="preserve"> </w:t>
      </w:r>
      <w:r w:rsidRPr="00985D3E">
        <w:rPr>
          <w:szCs w:val="24"/>
          <w:lang w:val="es-ES" w:eastAsia="es-ES"/>
        </w:rPr>
        <w:t>sectores</w:t>
      </w:r>
      <w:r w:rsidR="00D136BB">
        <w:rPr>
          <w:szCs w:val="24"/>
          <w:lang w:val="es-ES" w:eastAsia="es-ES"/>
        </w:rPr>
        <w:t xml:space="preserve"> </w:t>
      </w:r>
      <w:r w:rsidRPr="00985D3E">
        <w:rPr>
          <w:szCs w:val="24"/>
          <w:lang w:val="es-ES" w:eastAsia="es-ES"/>
        </w:rPr>
        <w:t>dada</w:t>
      </w:r>
      <w:r w:rsidR="00D136BB">
        <w:rPr>
          <w:szCs w:val="24"/>
          <w:lang w:val="es-ES" w:eastAsia="es-ES"/>
        </w:rPr>
        <w:t xml:space="preserve"> </w:t>
      </w:r>
      <w:r w:rsidRPr="00985D3E">
        <w:rPr>
          <w:szCs w:val="24"/>
          <w:lang w:val="es-ES" w:eastAsia="es-ES"/>
        </w:rPr>
        <w:t>la</w:t>
      </w:r>
      <w:r w:rsidR="00D136BB">
        <w:rPr>
          <w:szCs w:val="24"/>
          <w:lang w:val="es-ES" w:eastAsia="es-ES"/>
        </w:rPr>
        <w:t xml:space="preserve"> </w:t>
      </w:r>
      <w:r w:rsidRPr="00985D3E">
        <w:rPr>
          <w:szCs w:val="24"/>
          <w:lang w:val="es-ES" w:eastAsia="es-ES"/>
        </w:rPr>
        <w:t>horizontalidad</w:t>
      </w:r>
      <w:r w:rsidR="00D136BB">
        <w:rPr>
          <w:szCs w:val="24"/>
          <w:lang w:val="es-ES" w:eastAsia="es-ES"/>
        </w:rPr>
        <w:t xml:space="preserve"> </w:t>
      </w:r>
      <w:r w:rsidRPr="00985D3E">
        <w:rPr>
          <w:szCs w:val="24"/>
          <w:lang w:val="es-ES" w:eastAsia="es-ES"/>
        </w:rPr>
        <w:t>del</w:t>
      </w:r>
      <w:r w:rsidR="00D136BB">
        <w:rPr>
          <w:szCs w:val="24"/>
          <w:lang w:val="es-ES" w:eastAsia="es-ES"/>
        </w:rPr>
        <w:t xml:space="preserve"> </w:t>
      </w:r>
      <w:r w:rsidRPr="00985D3E">
        <w:rPr>
          <w:szCs w:val="24"/>
          <w:lang w:val="es-ES" w:eastAsia="es-ES"/>
        </w:rPr>
        <w:t>sector.</w:t>
      </w:r>
      <w:r w:rsidR="00D136BB">
        <w:rPr>
          <w:szCs w:val="24"/>
          <w:lang w:val="es-ES" w:eastAsia="es-ES"/>
        </w:rPr>
        <w:t xml:space="preserve"> </w:t>
      </w:r>
    </w:p>
    <w:p w14:paraId="0E031272" w14:textId="321C96B1" w:rsidR="005D0292" w:rsidRPr="00AE1E0D" w:rsidRDefault="00050AB2" w:rsidP="00050AB2">
      <w:pPr>
        <w:pStyle w:val="Heading1"/>
        <w:numPr>
          <w:ilvl w:val="0"/>
          <w:numId w:val="0"/>
        </w:numPr>
        <w:spacing w:before="480" w:after="240" w:line="240" w:lineRule="auto"/>
        <w:rPr>
          <w:rFonts w:ascii="Times New Roman" w:hAnsi="Times New Roman" w:cs="Times New Roman"/>
          <w:b/>
          <w:bCs/>
          <w:color w:val="auto"/>
          <w:sz w:val="24"/>
          <w:szCs w:val="24"/>
        </w:rPr>
      </w:pPr>
      <w:bookmarkStart w:id="31" w:name="_Toc385241590"/>
      <w:r>
        <w:rPr>
          <w:rFonts w:ascii="Times New Roman" w:hAnsi="Times New Roman" w:cs="Times New Roman"/>
          <w:b/>
          <w:bCs/>
          <w:color w:val="auto"/>
          <w:sz w:val="24"/>
          <w:szCs w:val="24"/>
          <w:lang w:val="es-ES"/>
        </w:rPr>
        <w:lastRenderedPageBreak/>
        <w:t>II.</w:t>
      </w:r>
      <w:r w:rsidR="00D136BB">
        <w:rPr>
          <w:rFonts w:ascii="Times New Roman" w:hAnsi="Times New Roman" w:cs="Times New Roman"/>
          <w:b/>
          <w:bCs/>
          <w:color w:val="auto"/>
          <w:sz w:val="24"/>
          <w:szCs w:val="24"/>
          <w:lang w:val="es-ES"/>
        </w:rPr>
        <w:t xml:space="preserve"> </w:t>
      </w:r>
      <w:r w:rsidR="005D0292" w:rsidRPr="00AE1E0D">
        <w:rPr>
          <w:rFonts w:ascii="Times New Roman" w:hAnsi="Times New Roman" w:cs="Times New Roman"/>
          <w:b/>
          <w:bCs/>
          <w:color w:val="auto"/>
          <w:sz w:val="24"/>
          <w:szCs w:val="24"/>
          <w:lang w:val="es-ES"/>
        </w:rPr>
        <w:t>Análisis</w:t>
      </w:r>
      <w:r w:rsidR="00D136BB">
        <w:rPr>
          <w:rFonts w:ascii="Times New Roman" w:hAnsi="Times New Roman" w:cs="Times New Roman"/>
          <w:b/>
          <w:bCs/>
          <w:color w:val="auto"/>
          <w:sz w:val="24"/>
          <w:szCs w:val="24"/>
          <w:lang w:val="es-ES"/>
        </w:rPr>
        <w:t xml:space="preserve"> </w:t>
      </w:r>
      <w:r w:rsidR="005D0292" w:rsidRPr="00AE1E0D">
        <w:rPr>
          <w:rFonts w:ascii="Times New Roman" w:hAnsi="Times New Roman" w:cs="Times New Roman"/>
          <w:b/>
          <w:bCs/>
          <w:color w:val="auto"/>
          <w:sz w:val="24"/>
          <w:szCs w:val="24"/>
        </w:rPr>
        <w:t>DAFO</w:t>
      </w:r>
      <w:bookmarkEnd w:id="31"/>
    </w:p>
    <w:p w14:paraId="26E74854" w14:textId="2DCA1D03" w:rsidR="005D0292" w:rsidRPr="0075034E" w:rsidRDefault="0075034E" w:rsidP="0075034E">
      <w:pPr>
        <w:pStyle w:val="Heading2"/>
        <w:numPr>
          <w:ilvl w:val="0"/>
          <w:numId w:val="0"/>
        </w:numPr>
        <w:rPr>
          <w:rFonts w:ascii="Times New Roman" w:hAnsi="Times New Roman"/>
          <w:color w:val="auto"/>
          <w:sz w:val="24"/>
          <w:szCs w:val="24"/>
        </w:rPr>
      </w:pPr>
      <w:r>
        <w:rPr>
          <w:rFonts w:ascii="Times New Roman" w:hAnsi="Times New Roman"/>
          <w:color w:val="auto"/>
          <w:sz w:val="24"/>
          <w:szCs w:val="24"/>
        </w:rPr>
        <w:t>1</w:t>
      </w:r>
      <w:r w:rsidR="00050AB2">
        <w:rPr>
          <w:rFonts w:ascii="Times New Roman" w:hAnsi="Times New Roman"/>
          <w:color w:val="auto"/>
          <w:sz w:val="24"/>
          <w:szCs w:val="24"/>
        </w:rPr>
        <w:t>.</w:t>
      </w:r>
      <w:r w:rsidR="00D136BB">
        <w:rPr>
          <w:rFonts w:ascii="Times New Roman" w:hAnsi="Times New Roman"/>
          <w:color w:val="auto"/>
          <w:sz w:val="24"/>
          <w:szCs w:val="24"/>
        </w:rPr>
        <w:t xml:space="preserve"> </w:t>
      </w:r>
      <w:r>
        <w:rPr>
          <w:rFonts w:ascii="Times New Roman" w:hAnsi="Times New Roman"/>
          <w:color w:val="auto"/>
          <w:sz w:val="24"/>
          <w:szCs w:val="24"/>
        </w:rPr>
        <w:t>Fortalezas</w:t>
      </w:r>
    </w:p>
    <w:p w14:paraId="11CE78BD" w14:textId="6A8D88D5"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Presencia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marcos</w:t>
      </w:r>
      <w:r w:rsidR="00D136BB">
        <w:rPr>
          <w:rFonts w:cs="Times New Roman"/>
          <w:szCs w:val="24"/>
        </w:rPr>
        <w:t xml:space="preserve"> </w:t>
      </w:r>
      <w:r w:rsidRPr="00AE1E0D">
        <w:rPr>
          <w:rFonts w:cs="Times New Roman"/>
          <w:szCs w:val="24"/>
        </w:rPr>
        <w:t>legislativos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regulatorios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casi</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Además,</w:t>
      </w:r>
      <w:r w:rsidR="00D136BB">
        <w:rPr>
          <w:rFonts w:cs="Times New Roman"/>
          <w:szCs w:val="24"/>
        </w:rPr>
        <w:t xml:space="preserve"> </w:t>
      </w:r>
      <w:r w:rsidRPr="00AE1E0D">
        <w:rPr>
          <w:rFonts w:cs="Times New Roman"/>
          <w:szCs w:val="24"/>
        </w:rPr>
        <w:t>existen</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autorización</w:t>
      </w:r>
      <w:r w:rsidR="00D136BB">
        <w:rPr>
          <w:rFonts w:cs="Times New Roman"/>
          <w:szCs w:val="24"/>
        </w:rPr>
        <w:t xml:space="preserve"> </w:t>
      </w:r>
      <w:r w:rsidRPr="00AE1E0D">
        <w:rPr>
          <w:rFonts w:cs="Times New Roman"/>
          <w:szCs w:val="24"/>
        </w:rPr>
        <w:t>e</w:t>
      </w:r>
      <w:r w:rsidR="00D136BB">
        <w:rPr>
          <w:rFonts w:cs="Times New Roman"/>
          <w:szCs w:val="24"/>
        </w:rPr>
        <w:t xml:space="preserve"> </w:t>
      </w:r>
      <w:r w:rsidRPr="00AE1E0D">
        <w:rPr>
          <w:rFonts w:cs="Times New Roman"/>
          <w:szCs w:val="24"/>
        </w:rPr>
        <w:t>inspección</w:t>
      </w:r>
      <w:r w:rsidR="00D136BB">
        <w:rPr>
          <w:rFonts w:cs="Times New Roman"/>
          <w:szCs w:val="24"/>
        </w:rPr>
        <w:t xml:space="preserve"> </w:t>
      </w:r>
      <w:r w:rsidRPr="00AE1E0D">
        <w:rPr>
          <w:rFonts w:cs="Times New Roman"/>
          <w:szCs w:val="24"/>
        </w:rPr>
        <w:t>establecidos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operacionales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mayoría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p>
    <w:p w14:paraId="38FAA34F" w14:textId="395117DD"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Mejoramiento</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nivel</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calificación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preparación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órganos</w:t>
      </w:r>
      <w:r w:rsidR="00D136BB">
        <w:rPr>
          <w:rFonts w:cs="Times New Roman"/>
          <w:szCs w:val="24"/>
        </w:rPr>
        <w:t xml:space="preserve"> </w:t>
      </w:r>
      <w:r w:rsidRPr="00AE1E0D">
        <w:rPr>
          <w:rFonts w:cs="Times New Roman"/>
          <w:szCs w:val="24"/>
        </w:rPr>
        <w:t>reguladores.</w:t>
      </w:r>
    </w:p>
    <w:p w14:paraId="0257CD78" w14:textId="3E549B38"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Suscripción</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Convenciones</w:t>
      </w:r>
      <w:r w:rsidR="00D136BB">
        <w:rPr>
          <w:rFonts w:cs="Times New Roman"/>
          <w:szCs w:val="24"/>
        </w:rPr>
        <w:t xml:space="preserve"> </w:t>
      </w:r>
      <w:r w:rsidRPr="00AE1E0D">
        <w:rPr>
          <w:rFonts w:cs="Times New Roman"/>
          <w:szCs w:val="24"/>
        </w:rPr>
        <w:t>Internacionales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otras</w:t>
      </w:r>
      <w:r w:rsidR="00D136BB">
        <w:rPr>
          <w:rFonts w:cs="Times New Roman"/>
          <w:szCs w:val="24"/>
        </w:rPr>
        <w:t xml:space="preserve"> </w:t>
      </w:r>
      <w:r w:rsidRPr="00AE1E0D">
        <w:rPr>
          <w:rFonts w:cs="Times New Roman"/>
          <w:szCs w:val="24"/>
        </w:rPr>
        <w:t>Convenciones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p>
    <w:p w14:paraId="7D7217CE" w14:textId="2427E68E"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Adhesión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Código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Conducta</w:t>
      </w:r>
      <w:r w:rsidR="00D136BB">
        <w:rPr>
          <w:rFonts w:cs="Times New Roman"/>
          <w:szCs w:val="24"/>
        </w:rPr>
        <w:t xml:space="preserve"> </w:t>
      </w:r>
      <w:r w:rsidRPr="00AE1E0D">
        <w:rPr>
          <w:rFonts w:cs="Times New Roman"/>
          <w:szCs w:val="24"/>
        </w:rPr>
        <w:t>sobre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tecnológica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física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fuentes</w:t>
      </w:r>
      <w:r w:rsidR="00D136BB">
        <w:rPr>
          <w:rFonts w:cs="Times New Roman"/>
          <w:szCs w:val="24"/>
        </w:rPr>
        <w:t xml:space="preserve"> </w:t>
      </w:r>
      <w:r w:rsidRPr="00AE1E0D">
        <w:rPr>
          <w:rFonts w:cs="Times New Roman"/>
          <w:szCs w:val="24"/>
        </w:rPr>
        <w:t>radiactivas</w:t>
      </w:r>
      <w:r w:rsidR="00D136BB">
        <w:rPr>
          <w:rFonts w:cs="Times New Roman"/>
          <w:szCs w:val="24"/>
        </w:rPr>
        <w:t xml:space="preserve"> </w:t>
      </w:r>
      <w:r w:rsidR="002B7E7F">
        <w:rPr>
          <w:rFonts w:cs="Times New Roman"/>
          <w:szCs w:val="24"/>
        </w:rPr>
        <w:t>y</w:t>
      </w:r>
      <w:r w:rsidR="00D136BB">
        <w:rPr>
          <w:rFonts w:cs="Times New Roman"/>
          <w:szCs w:val="24"/>
        </w:rPr>
        <w:t xml:space="preserve"> </w:t>
      </w:r>
      <w:r w:rsidR="002B7E7F">
        <w:rPr>
          <w:rFonts w:cs="Times New Roman"/>
          <w:szCs w:val="24"/>
        </w:rPr>
        <w:t>sus</w:t>
      </w:r>
      <w:r w:rsidR="00D136BB">
        <w:rPr>
          <w:rFonts w:cs="Times New Roman"/>
          <w:szCs w:val="24"/>
        </w:rPr>
        <w:t xml:space="preserve"> </w:t>
      </w:r>
      <w:r w:rsidR="002B7E7F">
        <w:rPr>
          <w:rFonts w:cs="Times New Roman"/>
          <w:szCs w:val="24"/>
        </w:rPr>
        <w:t>gu</w:t>
      </w:r>
      <w:r w:rsidR="00435CE5">
        <w:rPr>
          <w:rFonts w:cs="Times New Roman"/>
          <w:szCs w:val="24"/>
        </w:rPr>
        <w:t>í</w:t>
      </w:r>
      <w:r w:rsidR="002B7E7F">
        <w:rPr>
          <w:rFonts w:cs="Times New Roman"/>
          <w:szCs w:val="24"/>
        </w:rPr>
        <w:t>as</w:t>
      </w:r>
      <w:r w:rsidR="00D136BB">
        <w:rPr>
          <w:rFonts w:cs="Times New Roman"/>
          <w:szCs w:val="24"/>
        </w:rPr>
        <w:t xml:space="preserve"> </w:t>
      </w:r>
      <w:r w:rsidR="002B7E7F">
        <w:rPr>
          <w:rFonts w:cs="Times New Roman"/>
          <w:szCs w:val="24"/>
        </w:rPr>
        <w:t>complementarias.</w:t>
      </w:r>
    </w:p>
    <w:p w14:paraId="1D084848" w14:textId="294C4F61"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inventarios</w:t>
      </w:r>
      <w:r w:rsidR="00D136BB">
        <w:rPr>
          <w:rFonts w:cs="Times New Roman"/>
          <w:szCs w:val="24"/>
        </w:rPr>
        <w:t xml:space="preserve"> </w:t>
      </w:r>
      <w:r w:rsidRPr="00AE1E0D">
        <w:rPr>
          <w:rFonts w:cs="Times New Roman"/>
          <w:szCs w:val="24"/>
        </w:rPr>
        <w:t>nacionales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fuentes</w:t>
      </w:r>
      <w:r w:rsidR="00D136BB">
        <w:rPr>
          <w:rFonts w:cs="Times New Roman"/>
          <w:szCs w:val="24"/>
        </w:rPr>
        <w:t xml:space="preserve"> </w:t>
      </w:r>
      <w:r w:rsidRPr="00AE1E0D">
        <w:rPr>
          <w:rFonts w:cs="Times New Roman"/>
          <w:szCs w:val="24"/>
        </w:rPr>
        <w:t>radiactivas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Categoría</w:t>
      </w:r>
      <w:r w:rsidR="00D136BB">
        <w:rPr>
          <w:rFonts w:cs="Times New Roman"/>
          <w:szCs w:val="24"/>
        </w:rPr>
        <w:t xml:space="preserve"> </w:t>
      </w:r>
      <w:r w:rsidRPr="00AE1E0D">
        <w:rPr>
          <w:rFonts w:cs="Times New Roman"/>
          <w:szCs w:val="24"/>
        </w:rPr>
        <w:t>I</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III,</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desechos</w:t>
      </w:r>
      <w:r w:rsidR="00D136BB">
        <w:rPr>
          <w:rFonts w:cs="Times New Roman"/>
          <w:szCs w:val="24"/>
        </w:rPr>
        <w:t xml:space="preserve"> </w:t>
      </w:r>
      <w:r w:rsidRPr="00AE1E0D">
        <w:rPr>
          <w:rFonts w:cs="Times New Roman"/>
          <w:szCs w:val="24"/>
        </w:rPr>
        <w:t>radiactivos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fuentes</w:t>
      </w:r>
      <w:r w:rsidR="00D136BB">
        <w:rPr>
          <w:rFonts w:cs="Times New Roman"/>
          <w:szCs w:val="24"/>
        </w:rPr>
        <w:t xml:space="preserve"> </w:t>
      </w:r>
      <w:r w:rsidRPr="00AE1E0D">
        <w:rPr>
          <w:rFonts w:cs="Times New Roman"/>
          <w:szCs w:val="24"/>
        </w:rPr>
        <w:t>radiactivas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desuso.</w:t>
      </w:r>
    </w:p>
    <w:p w14:paraId="61C9A1BC" w14:textId="3F50B6DD"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Mayor</w:t>
      </w:r>
      <w:r w:rsidR="00D136BB">
        <w:rPr>
          <w:rFonts w:cs="Times New Roman"/>
          <w:szCs w:val="24"/>
        </w:rPr>
        <w:t xml:space="preserve"> </w:t>
      </w:r>
      <w:r w:rsidRPr="00AE1E0D">
        <w:rPr>
          <w:rFonts w:cs="Times New Roman"/>
          <w:szCs w:val="24"/>
        </w:rPr>
        <w:t>conocimiento</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respecto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sus</w:t>
      </w:r>
      <w:r w:rsidR="00D136BB">
        <w:rPr>
          <w:rFonts w:cs="Times New Roman"/>
          <w:szCs w:val="24"/>
        </w:rPr>
        <w:t xml:space="preserve"> </w:t>
      </w:r>
      <w:r w:rsidRPr="00AE1E0D">
        <w:rPr>
          <w:rFonts w:cs="Times New Roman"/>
          <w:szCs w:val="24"/>
        </w:rPr>
        <w:t>necesidades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desarrollo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infraestructura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regulación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control.</w:t>
      </w:r>
    </w:p>
    <w:p w14:paraId="0F4E9040" w14:textId="538288E7"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técnicos</w:t>
      </w:r>
      <w:r w:rsidR="00D136BB">
        <w:rPr>
          <w:rFonts w:cs="Times New Roman"/>
          <w:szCs w:val="24"/>
        </w:rPr>
        <w:t xml:space="preserve"> </w:t>
      </w:r>
      <w:r w:rsidRPr="00AE1E0D">
        <w:rPr>
          <w:rFonts w:cs="Times New Roman"/>
          <w:szCs w:val="24"/>
        </w:rPr>
        <w:t>esenciales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determinación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exposición</w:t>
      </w:r>
      <w:r w:rsidR="00D136BB">
        <w:rPr>
          <w:rFonts w:cs="Times New Roman"/>
          <w:szCs w:val="24"/>
        </w:rPr>
        <w:t xml:space="preserve"> </w:t>
      </w:r>
      <w:r w:rsidRPr="00AE1E0D">
        <w:rPr>
          <w:rFonts w:cs="Times New Roman"/>
          <w:szCs w:val="24"/>
        </w:rPr>
        <w:t>ocupacional</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aspectos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medición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radiaciones</w:t>
      </w:r>
      <w:r w:rsidR="00D136BB">
        <w:rPr>
          <w:rFonts w:cs="Times New Roman"/>
          <w:szCs w:val="24"/>
        </w:rPr>
        <w:t xml:space="preserve"> </w:t>
      </w:r>
      <w:r w:rsidRPr="00AE1E0D">
        <w:rPr>
          <w:rFonts w:cs="Times New Roman"/>
          <w:szCs w:val="24"/>
        </w:rPr>
        <w:t>durante</w:t>
      </w:r>
      <w:r w:rsidR="00D136BB">
        <w:rPr>
          <w:rFonts w:cs="Times New Roman"/>
          <w:szCs w:val="24"/>
        </w:rPr>
        <w:t xml:space="preserve"> </w:t>
      </w:r>
      <w:r w:rsidRPr="00AE1E0D">
        <w:rPr>
          <w:rFonts w:cs="Times New Roman"/>
          <w:szCs w:val="24"/>
        </w:rPr>
        <w:t>descargas</w:t>
      </w:r>
      <w:r w:rsidR="00D136BB">
        <w:rPr>
          <w:rFonts w:cs="Times New Roman"/>
          <w:szCs w:val="24"/>
        </w:rPr>
        <w:t xml:space="preserve"> </w:t>
      </w:r>
      <w:r w:rsidRPr="00AE1E0D">
        <w:rPr>
          <w:rFonts w:cs="Times New Roman"/>
          <w:szCs w:val="24"/>
        </w:rPr>
        <w:t>al</w:t>
      </w:r>
      <w:r w:rsidR="00D136BB">
        <w:rPr>
          <w:rFonts w:cs="Times New Roman"/>
          <w:szCs w:val="24"/>
        </w:rPr>
        <w:t xml:space="preserve"> </w:t>
      </w:r>
      <w:r w:rsidRPr="00AE1E0D">
        <w:rPr>
          <w:rFonts w:cs="Times New Roman"/>
          <w:szCs w:val="24"/>
        </w:rPr>
        <w:t>medioambiente</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respuestas</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emergencias.</w:t>
      </w:r>
    </w:p>
    <w:p w14:paraId="5400B0C1" w14:textId="15321419"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Identidad</w:t>
      </w:r>
      <w:r w:rsidR="00D136BB">
        <w:rPr>
          <w:rFonts w:cs="Times New Roman"/>
          <w:szCs w:val="24"/>
        </w:rPr>
        <w:t xml:space="preserve"> </w:t>
      </w:r>
      <w:r w:rsidRPr="00AE1E0D">
        <w:rPr>
          <w:rFonts w:cs="Times New Roman"/>
          <w:szCs w:val="24"/>
        </w:rPr>
        <w:t>cultural</w:t>
      </w:r>
      <w:r w:rsidR="00D136BB">
        <w:rPr>
          <w:rFonts w:cs="Times New Roman"/>
          <w:szCs w:val="24"/>
        </w:rPr>
        <w:t xml:space="preserve"> </w:t>
      </w:r>
      <w:r w:rsidR="00435CE5">
        <w:rPr>
          <w:rFonts w:cs="Times New Roman"/>
          <w:szCs w:val="24"/>
        </w:rPr>
        <w:t>e</w:t>
      </w:r>
      <w:r w:rsidR="00D136BB">
        <w:rPr>
          <w:rFonts w:cs="Times New Roman"/>
          <w:szCs w:val="24"/>
        </w:rPr>
        <w:t xml:space="preserve"> </w:t>
      </w:r>
      <w:r w:rsidR="00435CE5">
        <w:rPr>
          <w:rFonts w:cs="Times New Roman"/>
          <w:szCs w:val="24"/>
        </w:rPr>
        <w:t>idiomática</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permiten</w:t>
      </w:r>
      <w:r w:rsidR="00D136BB">
        <w:rPr>
          <w:rFonts w:cs="Times New Roman"/>
          <w:szCs w:val="24"/>
        </w:rPr>
        <w:t xml:space="preserve"> </w:t>
      </w:r>
      <w:r w:rsidRPr="00AE1E0D">
        <w:rPr>
          <w:rFonts w:cs="Times New Roman"/>
          <w:szCs w:val="24"/>
        </w:rPr>
        <w:t>intercambiar</w:t>
      </w:r>
      <w:r w:rsidR="00D136BB">
        <w:rPr>
          <w:rFonts w:cs="Times New Roman"/>
          <w:szCs w:val="24"/>
        </w:rPr>
        <w:t xml:space="preserve"> </w:t>
      </w:r>
      <w:r w:rsidRPr="00AE1E0D">
        <w:rPr>
          <w:rFonts w:cs="Times New Roman"/>
          <w:szCs w:val="24"/>
        </w:rPr>
        <w:t>experiencias,</w:t>
      </w:r>
      <w:r w:rsidR="00D136BB">
        <w:rPr>
          <w:rFonts w:cs="Times New Roman"/>
          <w:szCs w:val="24"/>
        </w:rPr>
        <w:t xml:space="preserve"> </w:t>
      </w:r>
      <w:r w:rsidRPr="00AE1E0D">
        <w:rPr>
          <w:rFonts w:cs="Times New Roman"/>
          <w:szCs w:val="24"/>
        </w:rPr>
        <w:t>información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soporte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profesionales</w:t>
      </w:r>
      <w:r w:rsidR="00D136BB">
        <w:rPr>
          <w:rFonts w:cs="Times New Roman"/>
          <w:szCs w:val="24"/>
        </w:rPr>
        <w:t xml:space="preserve"> </w:t>
      </w:r>
      <w:r w:rsidRPr="00AE1E0D">
        <w:rPr>
          <w:rFonts w:cs="Times New Roman"/>
          <w:szCs w:val="24"/>
        </w:rPr>
        <w:t>facilitando</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nivelación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distintas</w:t>
      </w:r>
      <w:r w:rsidR="00D136BB">
        <w:rPr>
          <w:rFonts w:cs="Times New Roman"/>
          <w:szCs w:val="24"/>
        </w:rPr>
        <w:t xml:space="preserve"> </w:t>
      </w:r>
      <w:r w:rsidRPr="00AE1E0D">
        <w:rPr>
          <w:rFonts w:cs="Times New Roman"/>
          <w:szCs w:val="24"/>
        </w:rPr>
        <w:t>áreas</w:t>
      </w:r>
      <w:r w:rsidR="00D136BB">
        <w:rPr>
          <w:rFonts w:cs="Times New Roman"/>
          <w:szCs w:val="24"/>
        </w:rPr>
        <w:t xml:space="preserve"> </w:t>
      </w:r>
      <w:r w:rsidRPr="00AE1E0D">
        <w:rPr>
          <w:rFonts w:cs="Times New Roman"/>
          <w:szCs w:val="24"/>
        </w:rPr>
        <w:t>temáticas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p>
    <w:p w14:paraId="3989BD39" w14:textId="6E01CEF7"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una</w:t>
      </w:r>
      <w:r w:rsidR="00D136BB">
        <w:rPr>
          <w:rFonts w:cs="Times New Roman"/>
          <w:szCs w:val="24"/>
        </w:rPr>
        <w:t xml:space="preserve"> </w:t>
      </w:r>
      <w:r w:rsidRPr="00AE1E0D">
        <w:rPr>
          <w:rFonts w:cs="Times New Roman"/>
          <w:szCs w:val="24"/>
        </w:rPr>
        <w:t>visión</w:t>
      </w:r>
      <w:r w:rsidR="00D136BB">
        <w:rPr>
          <w:rFonts w:cs="Times New Roman"/>
          <w:szCs w:val="24"/>
        </w:rPr>
        <w:t xml:space="preserve"> </w:t>
      </w:r>
      <w:r w:rsidRPr="00AE1E0D">
        <w:rPr>
          <w:rFonts w:cs="Times New Roman"/>
          <w:szCs w:val="24"/>
        </w:rPr>
        <w:t>común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resolver</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problemas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p>
    <w:p w14:paraId="742CF6C4" w14:textId="68CA707C"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cuentan</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un</w:t>
      </w:r>
      <w:r w:rsidR="00D136BB">
        <w:rPr>
          <w:rFonts w:cs="Times New Roman"/>
          <w:szCs w:val="24"/>
        </w:rPr>
        <w:t xml:space="preserve"> </w:t>
      </w:r>
      <w:r w:rsidRPr="00AE1E0D">
        <w:rPr>
          <w:rFonts w:cs="Times New Roman"/>
          <w:szCs w:val="24"/>
        </w:rPr>
        <w:t>diagnóstico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sus</w:t>
      </w:r>
      <w:r w:rsidR="00D136BB">
        <w:rPr>
          <w:rFonts w:cs="Times New Roman"/>
          <w:szCs w:val="24"/>
        </w:rPr>
        <w:t xml:space="preserve"> </w:t>
      </w:r>
      <w:r w:rsidRPr="00AE1E0D">
        <w:rPr>
          <w:rFonts w:cs="Times New Roman"/>
          <w:szCs w:val="24"/>
        </w:rPr>
        <w:t>principales</w:t>
      </w:r>
      <w:r w:rsidR="00D136BB">
        <w:rPr>
          <w:rFonts w:cs="Times New Roman"/>
          <w:szCs w:val="24"/>
        </w:rPr>
        <w:t xml:space="preserve"> </w:t>
      </w:r>
      <w:r w:rsidRPr="00AE1E0D">
        <w:rPr>
          <w:rFonts w:cs="Times New Roman"/>
          <w:szCs w:val="24"/>
        </w:rPr>
        <w:t>problemas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materia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p>
    <w:p w14:paraId="7C03ACD8" w14:textId="19C8AE11"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Incorporación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sector</w:t>
      </w:r>
      <w:r w:rsidR="00D136BB">
        <w:rPr>
          <w:rFonts w:cs="Times New Roman"/>
          <w:szCs w:val="24"/>
        </w:rPr>
        <w:t xml:space="preserve"> </w:t>
      </w:r>
      <w:r w:rsidRPr="00AE1E0D">
        <w:rPr>
          <w:rFonts w:cs="Times New Roman"/>
          <w:szCs w:val="24"/>
        </w:rPr>
        <w:t>privado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aspectos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p>
    <w:p w14:paraId="340ACD2F" w14:textId="7FFBBDE2"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Conciencia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necesidad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almacenes</w:t>
      </w:r>
      <w:r w:rsidR="00D136BB">
        <w:rPr>
          <w:rFonts w:cs="Times New Roman"/>
          <w:szCs w:val="24"/>
        </w:rPr>
        <w:t xml:space="preserve"> </w:t>
      </w:r>
      <w:r w:rsidRPr="00AE1E0D">
        <w:rPr>
          <w:rFonts w:cs="Times New Roman"/>
          <w:szCs w:val="24"/>
        </w:rPr>
        <w:t>centralizados</w:t>
      </w:r>
      <w:r w:rsidR="00D136BB">
        <w:rPr>
          <w:rFonts w:cs="Times New Roman"/>
          <w:szCs w:val="24"/>
        </w:rPr>
        <w:t xml:space="preserve"> </w:t>
      </w:r>
      <w:r w:rsidRPr="00AE1E0D">
        <w:rPr>
          <w:rFonts w:cs="Times New Roman"/>
          <w:szCs w:val="24"/>
        </w:rPr>
        <w:t>autorizados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desechos</w:t>
      </w:r>
      <w:r w:rsidR="00D136BB">
        <w:rPr>
          <w:rFonts w:cs="Times New Roman"/>
          <w:szCs w:val="24"/>
        </w:rPr>
        <w:t xml:space="preserve"> </w:t>
      </w:r>
      <w:r w:rsidRPr="00AE1E0D">
        <w:rPr>
          <w:rFonts w:cs="Times New Roman"/>
          <w:szCs w:val="24"/>
        </w:rPr>
        <w:t>radiactivos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fuentes</w:t>
      </w:r>
      <w:r w:rsidR="00D136BB">
        <w:rPr>
          <w:rFonts w:cs="Times New Roman"/>
          <w:szCs w:val="24"/>
        </w:rPr>
        <w:t xml:space="preserve"> </w:t>
      </w:r>
      <w:r w:rsidRPr="00AE1E0D">
        <w:rPr>
          <w:rFonts w:cs="Times New Roman"/>
          <w:szCs w:val="24"/>
        </w:rPr>
        <w:t>radiactivas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desuso.</w:t>
      </w:r>
    </w:p>
    <w:p w14:paraId="1D6E6183" w14:textId="643E57E8"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organizaciones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convencionales</w:t>
      </w:r>
      <w:r w:rsidR="00D136BB">
        <w:rPr>
          <w:rFonts w:cs="Times New Roman"/>
          <w:szCs w:val="24"/>
        </w:rPr>
        <w:t xml:space="preserve"> </w:t>
      </w:r>
      <w:r w:rsidRPr="00AE1E0D">
        <w:rPr>
          <w:rFonts w:cs="Times New Roman"/>
          <w:szCs w:val="24"/>
        </w:rPr>
        <w:t>capacitadas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colaborar</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situaciones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emergencia</w:t>
      </w:r>
      <w:r w:rsidR="00D136BB">
        <w:rPr>
          <w:rFonts w:cs="Times New Roman"/>
          <w:szCs w:val="24"/>
        </w:rPr>
        <w:t xml:space="preserve"> </w:t>
      </w:r>
      <w:r w:rsidR="00435CE5">
        <w:rPr>
          <w:rFonts w:cs="Times New Roman"/>
          <w:szCs w:val="24"/>
        </w:rPr>
        <w:t>radiológicas</w:t>
      </w:r>
      <w:r w:rsidRPr="00AE1E0D">
        <w:rPr>
          <w:rFonts w:cs="Times New Roman"/>
          <w:szCs w:val="24"/>
        </w:rPr>
        <w:t>.</w:t>
      </w:r>
      <w:r w:rsidR="00D136BB">
        <w:rPr>
          <w:rFonts w:cs="Times New Roman"/>
          <w:szCs w:val="24"/>
        </w:rPr>
        <w:t xml:space="preserve"> </w:t>
      </w:r>
    </w:p>
    <w:p w14:paraId="2E9FA579" w14:textId="4BFC0256"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La</w:t>
      </w:r>
      <w:r w:rsidR="00D136BB">
        <w:rPr>
          <w:rFonts w:cs="Times New Roman"/>
          <w:szCs w:val="24"/>
        </w:rPr>
        <w:t xml:space="preserve"> </w:t>
      </w:r>
      <w:r w:rsidRPr="00AE1E0D">
        <w:rPr>
          <w:rFonts w:cs="Times New Roman"/>
          <w:szCs w:val="24"/>
        </w:rPr>
        <w:t>mayoría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tienen</w:t>
      </w:r>
      <w:r w:rsidR="00D136BB">
        <w:rPr>
          <w:rFonts w:cs="Times New Roman"/>
          <w:szCs w:val="24"/>
        </w:rPr>
        <w:t xml:space="preserve"> </w:t>
      </w:r>
      <w:r w:rsidRPr="00AE1E0D">
        <w:rPr>
          <w:rFonts w:cs="Times New Roman"/>
          <w:szCs w:val="24"/>
        </w:rPr>
        <w:t>definidos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su</w:t>
      </w:r>
      <w:r w:rsidR="00D136BB">
        <w:rPr>
          <w:rFonts w:cs="Times New Roman"/>
          <w:szCs w:val="24"/>
        </w:rPr>
        <w:t xml:space="preserve"> </w:t>
      </w:r>
      <w:r w:rsidRPr="00AE1E0D">
        <w:rPr>
          <w:rFonts w:cs="Times New Roman"/>
          <w:szCs w:val="24"/>
        </w:rPr>
        <w:t>legislación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responsabilidades</w:t>
      </w:r>
      <w:r w:rsidR="00D136BB">
        <w:rPr>
          <w:rFonts w:cs="Times New Roman"/>
          <w:szCs w:val="24"/>
        </w:rPr>
        <w:t xml:space="preserve"> </w:t>
      </w:r>
      <w:r w:rsidRPr="00AE1E0D">
        <w:rPr>
          <w:rFonts w:cs="Times New Roman"/>
          <w:szCs w:val="24"/>
        </w:rPr>
        <w:t>básicas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planificación,</w:t>
      </w:r>
      <w:r w:rsidR="00D136BB">
        <w:rPr>
          <w:rFonts w:cs="Times New Roman"/>
          <w:szCs w:val="24"/>
        </w:rPr>
        <w:t xml:space="preserve"> </w:t>
      </w:r>
      <w:r w:rsidRPr="00AE1E0D">
        <w:rPr>
          <w:rFonts w:cs="Times New Roman"/>
          <w:szCs w:val="24"/>
        </w:rPr>
        <w:t>preparación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respuesta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radiológicas.</w:t>
      </w:r>
    </w:p>
    <w:p w14:paraId="3D9BE65A" w14:textId="36E7ECE2" w:rsidR="005D0292" w:rsidRPr="00AE1E0D" w:rsidRDefault="005D0292" w:rsidP="00BE3BCB">
      <w:pPr>
        <w:pStyle w:val="ListNumber"/>
        <w:numPr>
          <w:ilvl w:val="3"/>
          <w:numId w:val="40"/>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profesionales</w:t>
      </w:r>
      <w:r w:rsidR="00D136BB">
        <w:rPr>
          <w:rFonts w:cs="Times New Roman"/>
          <w:szCs w:val="24"/>
        </w:rPr>
        <w:t xml:space="preserve"> </w:t>
      </w:r>
      <w:r w:rsidRPr="00AE1E0D">
        <w:rPr>
          <w:rFonts w:cs="Times New Roman"/>
          <w:szCs w:val="24"/>
        </w:rPr>
        <w:t>formados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casi</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áreas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experiencia</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pueden</w:t>
      </w:r>
      <w:r w:rsidR="00D136BB">
        <w:rPr>
          <w:rFonts w:cs="Times New Roman"/>
          <w:szCs w:val="24"/>
        </w:rPr>
        <w:t xml:space="preserve"> </w:t>
      </w:r>
      <w:r w:rsidRPr="00AE1E0D">
        <w:rPr>
          <w:rFonts w:cs="Times New Roman"/>
          <w:szCs w:val="24"/>
        </w:rPr>
        <w:t>colaborar</w:t>
      </w:r>
      <w:r w:rsidR="00D136BB">
        <w:rPr>
          <w:rFonts w:cs="Times New Roman"/>
          <w:szCs w:val="24"/>
        </w:rPr>
        <w:t xml:space="preserve"> </w:t>
      </w:r>
      <w:r w:rsidRPr="00AE1E0D">
        <w:rPr>
          <w:rFonts w:cs="Times New Roman"/>
          <w:szCs w:val="24"/>
        </w:rPr>
        <w:t>dentro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un</w:t>
      </w:r>
      <w:r w:rsidR="00D136BB">
        <w:rPr>
          <w:rFonts w:cs="Times New Roman"/>
          <w:szCs w:val="24"/>
        </w:rPr>
        <w:t xml:space="preserve"> </w:t>
      </w:r>
      <w:r w:rsidRPr="00AE1E0D">
        <w:rPr>
          <w:rFonts w:cs="Times New Roman"/>
          <w:szCs w:val="24"/>
        </w:rPr>
        <w:t>marco</w:t>
      </w:r>
      <w:r w:rsidR="00D136BB">
        <w:rPr>
          <w:rFonts w:cs="Times New Roman"/>
          <w:szCs w:val="24"/>
        </w:rPr>
        <w:t xml:space="preserve"> </w:t>
      </w:r>
      <w:r w:rsidRPr="00AE1E0D">
        <w:rPr>
          <w:rFonts w:cs="Times New Roman"/>
          <w:szCs w:val="24"/>
        </w:rPr>
        <w:t>bilateral.</w:t>
      </w:r>
    </w:p>
    <w:p w14:paraId="20E0EAE8" w14:textId="77777777" w:rsidR="001F7F3E" w:rsidRPr="00AE1E0D" w:rsidRDefault="001F7F3E" w:rsidP="001F7F3E">
      <w:pPr>
        <w:pStyle w:val="ListNumber"/>
        <w:numPr>
          <w:ilvl w:val="0"/>
          <w:numId w:val="0"/>
        </w:numPr>
        <w:ind w:left="567"/>
        <w:rPr>
          <w:rFonts w:cs="Times New Roman"/>
          <w:szCs w:val="24"/>
        </w:rPr>
      </w:pPr>
    </w:p>
    <w:p w14:paraId="6FA08272" w14:textId="5390B742" w:rsidR="005D0292" w:rsidRPr="0075034E" w:rsidRDefault="0075034E" w:rsidP="0075034E">
      <w:pPr>
        <w:pStyle w:val="Heading2"/>
        <w:numPr>
          <w:ilvl w:val="0"/>
          <w:numId w:val="0"/>
        </w:numPr>
        <w:rPr>
          <w:rFonts w:ascii="Times New Roman" w:hAnsi="Times New Roman"/>
          <w:color w:val="auto"/>
          <w:sz w:val="24"/>
          <w:szCs w:val="24"/>
        </w:rPr>
      </w:pPr>
      <w:r>
        <w:rPr>
          <w:rFonts w:ascii="Times New Roman" w:hAnsi="Times New Roman"/>
          <w:color w:val="auto"/>
          <w:sz w:val="24"/>
          <w:szCs w:val="24"/>
        </w:rPr>
        <w:t>2.</w:t>
      </w:r>
      <w:r w:rsidR="00D136BB">
        <w:rPr>
          <w:rFonts w:ascii="Times New Roman" w:hAnsi="Times New Roman"/>
          <w:color w:val="auto"/>
          <w:sz w:val="24"/>
          <w:szCs w:val="24"/>
        </w:rPr>
        <w:t xml:space="preserve"> </w:t>
      </w:r>
      <w:r>
        <w:rPr>
          <w:rFonts w:ascii="Times New Roman" w:hAnsi="Times New Roman"/>
          <w:color w:val="auto"/>
          <w:sz w:val="24"/>
          <w:szCs w:val="24"/>
        </w:rPr>
        <w:t>Debilidades</w:t>
      </w:r>
    </w:p>
    <w:p w14:paraId="7BB94A25" w14:textId="7E501BDE" w:rsidR="005D0292" w:rsidRPr="00AE1E0D" w:rsidRDefault="005D0292" w:rsidP="00435CE5">
      <w:pPr>
        <w:pStyle w:val="ListNumber"/>
        <w:numPr>
          <w:ilvl w:val="0"/>
          <w:numId w:val="41"/>
        </w:numPr>
        <w:ind w:left="567" w:hanging="425"/>
        <w:rPr>
          <w:rFonts w:cs="Times New Roman"/>
          <w:szCs w:val="24"/>
        </w:rPr>
      </w:pPr>
      <w:r w:rsidRPr="00AE1E0D">
        <w:rPr>
          <w:rFonts w:cs="Times New Roman"/>
          <w:szCs w:val="24"/>
        </w:rPr>
        <w:t>Importante</w:t>
      </w:r>
      <w:r w:rsidR="00D136BB">
        <w:rPr>
          <w:rFonts w:cs="Times New Roman"/>
          <w:szCs w:val="24"/>
        </w:rPr>
        <w:t xml:space="preserve"> </w:t>
      </w:r>
      <w:r w:rsidRPr="00AE1E0D">
        <w:rPr>
          <w:rFonts w:cs="Times New Roman"/>
          <w:szCs w:val="24"/>
        </w:rPr>
        <w:t>tasa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rotación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profesionales</w:t>
      </w:r>
      <w:r w:rsidR="00D136BB">
        <w:rPr>
          <w:rFonts w:cs="Times New Roman"/>
          <w:szCs w:val="24"/>
        </w:rPr>
        <w:t xml:space="preserve"> </w:t>
      </w:r>
      <w:r w:rsidRPr="00AE1E0D">
        <w:rPr>
          <w:rFonts w:cs="Times New Roman"/>
          <w:szCs w:val="24"/>
        </w:rPr>
        <w:t>capacitados,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particular,</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órganos</w:t>
      </w:r>
      <w:r w:rsidR="00D136BB">
        <w:rPr>
          <w:rFonts w:cs="Times New Roman"/>
          <w:szCs w:val="24"/>
        </w:rPr>
        <w:t xml:space="preserve"> </w:t>
      </w:r>
      <w:r w:rsidRPr="00AE1E0D">
        <w:rPr>
          <w:rFonts w:cs="Times New Roman"/>
          <w:szCs w:val="24"/>
        </w:rPr>
        <w:t>reguladores.</w:t>
      </w:r>
    </w:p>
    <w:p w14:paraId="1F75C743" w14:textId="6DA6486C" w:rsidR="00435CE5" w:rsidRDefault="00435CE5" w:rsidP="00435CE5">
      <w:pPr>
        <w:pStyle w:val="ListParagraph"/>
        <w:numPr>
          <w:ilvl w:val="0"/>
          <w:numId w:val="41"/>
        </w:numPr>
        <w:ind w:left="567" w:hanging="425"/>
        <w:jc w:val="both"/>
        <w:rPr>
          <w:rFonts w:ascii="Times New Roman" w:hAnsi="Times New Roman" w:cs="Times New Roman"/>
          <w:sz w:val="24"/>
          <w:szCs w:val="24"/>
          <w:lang w:val="es-CL"/>
        </w:rPr>
      </w:pPr>
      <w:r w:rsidRPr="00435CE5">
        <w:rPr>
          <w:rFonts w:ascii="Times New Roman" w:hAnsi="Times New Roman" w:cs="Times New Roman"/>
          <w:sz w:val="24"/>
          <w:szCs w:val="24"/>
          <w:lang w:val="es-CL"/>
        </w:rPr>
        <w:t>Algunos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órganos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reguladores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cuentan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con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limitados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recursos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humanos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capacitados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infraestructura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para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satisfacer</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sus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responsabilidades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establecidas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en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legislación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nacional.</w:t>
      </w:r>
    </w:p>
    <w:p w14:paraId="02E1E5C0" w14:textId="77777777" w:rsidR="00435CE5" w:rsidRDefault="00435CE5" w:rsidP="00435CE5">
      <w:pPr>
        <w:pStyle w:val="ListParagraph"/>
        <w:ind w:left="567"/>
        <w:jc w:val="both"/>
        <w:rPr>
          <w:rFonts w:ascii="Times New Roman" w:hAnsi="Times New Roman" w:cs="Times New Roman"/>
          <w:sz w:val="24"/>
          <w:szCs w:val="24"/>
          <w:lang w:val="es-CL"/>
        </w:rPr>
      </w:pPr>
    </w:p>
    <w:p w14:paraId="5C68C022" w14:textId="0B1FCF47" w:rsidR="00435CE5" w:rsidRPr="00435CE5" w:rsidRDefault="00435CE5" w:rsidP="00435CE5">
      <w:pPr>
        <w:pStyle w:val="ListParagraph"/>
        <w:numPr>
          <w:ilvl w:val="0"/>
          <w:numId w:val="41"/>
        </w:numPr>
        <w:ind w:left="567" w:hanging="425"/>
        <w:rPr>
          <w:rFonts w:ascii="Times New Roman" w:hAnsi="Times New Roman" w:cs="Times New Roman"/>
          <w:sz w:val="24"/>
          <w:szCs w:val="24"/>
          <w:lang w:val="es-CL"/>
        </w:rPr>
      </w:pPr>
      <w:r w:rsidRPr="00435CE5">
        <w:rPr>
          <w:rFonts w:ascii="Times New Roman" w:hAnsi="Times New Roman" w:cs="Times New Roman"/>
          <w:sz w:val="24"/>
          <w:szCs w:val="24"/>
          <w:lang w:val="es-CL"/>
        </w:rPr>
        <w:lastRenderedPageBreak/>
        <w:t>Muchos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países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no</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cuentan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con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una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ley</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seguridad</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nuclear</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actualizada</w:t>
      </w:r>
      <w:r w:rsidR="00D136BB">
        <w:rPr>
          <w:rFonts w:ascii="Times New Roman" w:hAnsi="Times New Roman" w:cs="Times New Roman"/>
          <w:sz w:val="24"/>
          <w:szCs w:val="24"/>
          <w:lang w:val="es-CL"/>
        </w:rPr>
        <w:t xml:space="preserve"> </w:t>
      </w:r>
    </w:p>
    <w:p w14:paraId="54EF43BA" w14:textId="722977E0"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coordinación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cooperación</w:t>
      </w:r>
      <w:r w:rsidR="00D136BB">
        <w:rPr>
          <w:rFonts w:cs="Times New Roman"/>
          <w:szCs w:val="24"/>
        </w:rPr>
        <w:t xml:space="preserve"> </w:t>
      </w:r>
      <w:r w:rsidRPr="00AE1E0D">
        <w:rPr>
          <w:rFonts w:cs="Times New Roman"/>
          <w:szCs w:val="24"/>
        </w:rPr>
        <w:t>oficialmente</w:t>
      </w:r>
      <w:r w:rsidR="00D136BB">
        <w:rPr>
          <w:rFonts w:cs="Times New Roman"/>
          <w:szCs w:val="24"/>
        </w:rPr>
        <w:t xml:space="preserve"> </w:t>
      </w:r>
      <w:r w:rsidRPr="00AE1E0D">
        <w:rPr>
          <w:rFonts w:cs="Times New Roman"/>
          <w:szCs w:val="24"/>
        </w:rPr>
        <w:t>establecida</w:t>
      </w:r>
      <w:r w:rsidR="00D136BB">
        <w:rPr>
          <w:rFonts w:cs="Times New Roman"/>
          <w:szCs w:val="24"/>
        </w:rPr>
        <w:t xml:space="preserve"> </w:t>
      </w:r>
      <w:r w:rsidRPr="00AE1E0D">
        <w:rPr>
          <w:rFonts w:cs="Times New Roman"/>
          <w:szCs w:val="24"/>
        </w:rPr>
        <w:t>entre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diferentes</w:t>
      </w:r>
      <w:r w:rsidR="00D136BB">
        <w:rPr>
          <w:rFonts w:cs="Times New Roman"/>
          <w:szCs w:val="24"/>
        </w:rPr>
        <w:t xml:space="preserve"> </w:t>
      </w:r>
      <w:r w:rsidRPr="00AE1E0D">
        <w:rPr>
          <w:rFonts w:cs="Times New Roman"/>
          <w:szCs w:val="24"/>
        </w:rPr>
        <w:t>autoridades</w:t>
      </w:r>
      <w:r w:rsidR="00D136BB">
        <w:rPr>
          <w:rFonts w:cs="Times New Roman"/>
          <w:szCs w:val="24"/>
        </w:rPr>
        <w:t xml:space="preserve"> </w:t>
      </w:r>
      <w:r w:rsidRPr="00AE1E0D">
        <w:rPr>
          <w:rFonts w:cs="Times New Roman"/>
          <w:szCs w:val="24"/>
        </w:rPr>
        <w:t>nacionales,</w:t>
      </w:r>
      <w:r w:rsidR="00D136BB">
        <w:rPr>
          <w:rFonts w:cs="Times New Roman"/>
          <w:szCs w:val="24"/>
        </w:rPr>
        <w:t xml:space="preserve"> </w:t>
      </w:r>
      <w:r w:rsidRPr="00AE1E0D">
        <w:rPr>
          <w:rFonts w:cs="Times New Roman"/>
          <w:szCs w:val="24"/>
        </w:rPr>
        <w:t>cuando</w:t>
      </w:r>
      <w:r w:rsidR="00D136BB">
        <w:rPr>
          <w:rFonts w:cs="Times New Roman"/>
          <w:szCs w:val="24"/>
        </w:rPr>
        <w:t xml:space="preserve"> </w:t>
      </w:r>
      <w:r w:rsidRPr="00AE1E0D">
        <w:rPr>
          <w:rFonts w:cs="Times New Roman"/>
          <w:szCs w:val="24"/>
        </w:rPr>
        <w:t>existe</w:t>
      </w:r>
      <w:r w:rsidR="00D136BB">
        <w:rPr>
          <w:rFonts w:cs="Times New Roman"/>
          <w:szCs w:val="24"/>
        </w:rPr>
        <w:t xml:space="preserve"> </w:t>
      </w:r>
      <w:r w:rsidRPr="00AE1E0D">
        <w:rPr>
          <w:rFonts w:cs="Times New Roman"/>
          <w:szCs w:val="24"/>
        </w:rPr>
        <w:t>más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una.</w:t>
      </w:r>
    </w:p>
    <w:p w14:paraId="37FBDCE0" w14:textId="4D647BC1" w:rsidR="00435CE5" w:rsidRPr="00435CE5" w:rsidRDefault="00435CE5" w:rsidP="00435CE5">
      <w:pPr>
        <w:pStyle w:val="ListParagraph"/>
        <w:numPr>
          <w:ilvl w:val="0"/>
          <w:numId w:val="41"/>
        </w:numPr>
        <w:ind w:left="567"/>
        <w:rPr>
          <w:rFonts w:ascii="Times New Roman" w:hAnsi="Times New Roman" w:cs="Times New Roman"/>
          <w:sz w:val="24"/>
          <w:szCs w:val="24"/>
          <w:lang w:val="es-CL"/>
        </w:rPr>
      </w:pPr>
      <w:r w:rsidRPr="00435CE5">
        <w:rPr>
          <w:rFonts w:ascii="Times New Roman" w:hAnsi="Times New Roman" w:cs="Times New Roman"/>
          <w:sz w:val="24"/>
          <w:szCs w:val="24"/>
          <w:lang w:val="es-CL"/>
        </w:rPr>
        <w:t>Falta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independencia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efectiva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del</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órgano</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regulador</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en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algunos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países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donde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reguladores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dependen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del</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mismo</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organismo</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que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promueve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prácticas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que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requieren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ser</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reguladas.</w:t>
      </w:r>
    </w:p>
    <w:p w14:paraId="5568810C" w14:textId="590AB259"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En</w:t>
      </w:r>
      <w:r w:rsidR="00D136BB">
        <w:rPr>
          <w:rFonts w:cs="Times New Roman"/>
          <w:szCs w:val="24"/>
        </w:rPr>
        <w:t xml:space="preserve"> </w:t>
      </w:r>
      <w:r w:rsidRPr="00AE1E0D">
        <w:rPr>
          <w:rFonts w:cs="Times New Roman"/>
          <w:szCs w:val="24"/>
        </w:rPr>
        <w:t>algunos</w:t>
      </w:r>
      <w:r w:rsidR="00D136BB">
        <w:rPr>
          <w:rFonts w:cs="Times New Roman"/>
          <w:szCs w:val="24"/>
        </w:rPr>
        <w:t xml:space="preserve"> </w:t>
      </w:r>
      <w:r w:rsidRPr="00AE1E0D">
        <w:rPr>
          <w:rFonts w:cs="Times New Roman"/>
          <w:szCs w:val="24"/>
        </w:rPr>
        <w:t>casos</w:t>
      </w:r>
      <w:r w:rsidR="00D136BB">
        <w:rPr>
          <w:rFonts w:cs="Times New Roman"/>
          <w:szCs w:val="24"/>
        </w:rPr>
        <w:t xml:space="preserve"> </w:t>
      </w:r>
      <w:r w:rsidRPr="00AE1E0D">
        <w:rPr>
          <w:rFonts w:cs="Times New Roman"/>
          <w:szCs w:val="24"/>
        </w:rPr>
        <w:t>regulaciones</w:t>
      </w:r>
      <w:r w:rsidR="00D136BB">
        <w:rPr>
          <w:rFonts w:cs="Times New Roman"/>
          <w:szCs w:val="24"/>
        </w:rPr>
        <w:t xml:space="preserve"> </w:t>
      </w:r>
      <w:r w:rsidRPr="00AE1E0D">
        <w:rPr>
          <w:rFonts w:cs="Times New Roman"/>
          <w:szCs w:val="24"/>
        </w:rPr>
        <w:t>faltantes</w:t>
      </w:r>
      <w:r w:rsidR="00D136BB">
        <w:rPr>
          <w:rFonts w:cs="Times New Roman"/>
          <w:szCs w:val="24"/>
        </w:rPr>
        <w:t xml:space="preserve"> </w:t>
      </w:r>
      <w:r w:rsidRPr="00AE1E0D">
        <w:rPr>
          <w:rFonts w:cs="Times New Roman"/>
          <w:szCs w:val="24"/>
        </w:rPr>
        <w:t>o</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actualizadas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materia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particular,</w:t>
      </w:r>
      <w:r w:rsidR="00D136BB">
        <w:rPr>
          <w:rFonts w:cs="Times New Roman"/>
          <w:szCs w:val="24"/>
        </w:rPr>
        <w:t xml:space="preserve"> </w:t>
      </w:r>
      <w:r w:rsidRPr="00AE1E0D">
        <w:rPr>
          <w:rFonts w:cs="Times New Roman"/>
          <w:szCs w:val="24"/>
        </w:rPr>
        <w:t>GSR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1</w:t>
      </w:r>
      <w:r w:rsidR="00D136BB">
        <w:rPr>
          <w:rFonts w:cs="Times New Roman"/>
          <w:szCs w:val="24"/>
        </w:rPr>
        <w:t xml:space="preserve"> </w:t>
      </w:r>
      <w:r w:rsidRPr="00AE1E0D">
        <w:rPr>
          <w:rFonts w:cs="Times New Roman"/>
          <w:szCs w:val="24"/>
        </w:rPr>
        <w:t>Rev.</w:t>
      </w:r>
      <w:r w:rsidR="00D136BB">
        <w:rPr>
          <w:rFonts w:cs="Times New Roman"/>
          <w:szCs w:val="24"/>
        </w:rPr>
        <w:t xml:space="preserve"> </w:t>
      </w:r>
      <w:r w:rsidRPr="00AE1E0D">
        <w:rPr>
          <w:rFonts w:cs="Times New Roman"/>
          <w:szCs w:val="24"/>
        </w:rPr>
        <w:t>1,</w:t>
      </w:r>
      <w:r w:rsidR="00D136BB">
        <w:rPr>
          <w:rFonts w:cs="Times New Roman"/>
          <w:szCs w:val="24"/>
        </w:rPr>
        <w:t xml:space="preserve"> </w:t>
      </w:r>
      <w:r w:rsidRPr="00AE1E0D">
        <w:rPr>
          <w:rFonts w:cs="Times New Roman"/>
          <w:szCs w:val="24"/>
        </w:rPr>
        <w:t>GSR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2,</w:t>
      </w:r>
      <w:r w:rsidR="00D136BB">
        <w:rPr>
          <w:rFonts w:cs="Times New Roman"/>
          <w:szCs w:val="24"/>
        </w:rPr>
        <w:t xml:space="preserve"> </w:t>
      </w:r>
      <w:r w:rsidRPr="00AE1E0D">
        <w:rPr>
          <w:rFonts w:cs="Times New Roman"/>
          <w:szCs w:val="24"/>
        </w:rPr>
        <w:t>GSR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3,</w:t>
      </w:r>
      <w:r w:rsidR="00D136BB">
        <w:rPr>
          <w:rFonts w:cs="Times New Roman"/>
          <w:szCs w:val="24"/>
        </w:rPr>
        <w:t xml:space="preserve"> </w:t>
      </w:r>
      <w:r w:rsidRPr="00AE1E0D">
        <w:rPr>
          <w:rFonts w:cs="Times New Roman"/>
          <w:szCs w:val="24"/>
        </w:rPr>
        <w:t>GSR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4</w:t>
      </w:r>
      <w:r w:rsidR="00D136BB">
        <w:rPr>
          <w:rFonts w:cs="Times New Roman"/>
          <w:szCs w:val="24"/>
        </w:rPr>
        <w:t xml:space="preserve"> </w:t>
      </w:r>
      <w:r w:rsidRPr="00AE1E0D">
        <w:rPr>
          <w:rFonts w:cs="Times New Roman"/>
          <w:szCs w:val="24"/>
        </w:rPr>
        <w:t>Rev.</w:t>
      </w:r>
      <w:r w:rsidR="00D136BB">
        <w:rPr>
          <w:rFonts w:cs="Times New Roman"/>
          <w:szCs w:val="24"/>
        </w:rPr>
        <w:t xml:space="preserve"> </w:t>
      </w:r>
      <w:r w:rsidRPr="00AE1E0D">
        <w:rPr>
          <w:rFonts w:cs="Times New Roman"/>
          <w:szCs w:val="24"/>
        </w:rPr>
        <w:t>1,</w:t>
      </w:r>
      <w:r w:rsidR="00D136BB">
        <w:rPr>
          <w:rFonts w:cs="Times New Roman"/>
          <w:szCs w:val="24"/>
        </w:rPr>
        <w:t xml:space="preserve"> </w:t>
      </w:r>
      <w:r w:rsidRPr="00AE1E0D">
        <w:rPr>
          <w:rFonts w:cs="Times New Roman"/>
          <w:szCs w:val="24"/>
        </w:rPr>
        <w:t>GSR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6</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GSR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7.</w:t>
      </w:r>
    </w:p>
    <w:p w14:paraId="6AE8EDEC" w14:textId="6909C370" w:rsidR="00435CE5" w:rsidRPr="00435CE5" w:rsidRDefault="00435CE5" w:rsidP="00435CE5">
      <w:pPr>
        <w:pStyle w:val="ListParagraph"/>
        <w:numPr>
          <w:ilvl w:val="0"/>
          <w:numId w:val="41"/>
        </w:numPr>
        <w:ind w:left="567" w:hanging="425"/>
        <w:rPr>
          <w:rFonts w:ascii="Times New Roman" w:hAnsi="Times New Roman" w:cs="Times New Roman"/>
          <w:sz w:val="24"/>
          <w:szCs w:val="24"/>
          <w:lang w:val="es-CL"/>
        </w:rPr>
      </w:pPr>
      <w:r w:rsidRPr="00435CE5">
        <w:rPr>
          <w:rFonts w:ascii="Times New Roman" w:hAnsi="Times New Roman" w:cs="Times New Roman"/>
          <w:sz w:val="24"/>
          <w:szCs w:val="24"/>
          <w:lang w:val="es-CL"/>
        </w:rPr>
        <w:t>En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muchos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países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acciones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regulatorias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no</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aplican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un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enfoque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gradual</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para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optimizar</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sus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recursos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y</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así</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cubrir</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todas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actividades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y</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prácticas,.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mayoría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las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regulaciones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no</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establecen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claramente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la</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aplicación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los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requisitos</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evaluación</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435CE5">
        <w:rPr>
          <w:rFonts w:ascii="Times New Roman" w:hAnsi="Times New Roman" w:cs="Times New Roman"/>
          <w:sz w:val="24"/>
          <w:szCs w:val="24"/>
          <w:lang w:val="es-CL"/>
        </w:rPr>
        <w:t>seguridad.</w:t>
      </w:r>
    </w:p>
    <w:p w14:paraId="1537A075" w14:textId="29F5A922"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Insuficiente</w:t>
      </w:r>
      <w:r w:rsidR="00D136BB">
        <w:rPr>
          <w:rFonts w:cs="Times New Roman"/>
          <w:szCs w:val="24"/>
        </w:rPr>
        <w:t xml:space="preserve"> </w:t>
      </w:r>
      <w:r w:rsidRPr="00AE1E0D">
        <w:rPr>
          <w:rFonts w:cs="Times New Roman"/>
          <w:szCs w:val="24"/>
        </w:rPr>
        <w:t>cobertura</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control</w:t>
      </w:r>
      <w:r w:rsidR="00D136BB">
        <w:rPr>
          <w:rFonts w:cs="Times New Roman"/>
          <w:szCs w:val="24"/>
        </w:rPr>
        <w:t xml:space="preserve"> </w:t>
      </w:r>
      <w:r w:rsidRPr="00AE1E0D">
        <w:rPr>
          <w:rFonts w:cs="Times New Roman"/>
          <w:szCs w:val="24"/>
        </w:rPr>
        <w:t>regulatorio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radiología</w:t>
      </w:r>
      <w:r w:rsidR="00D136BB">
        <w:rPr>
          <w:rFonts w:cs="Times New Roman"/>
          <w:szCs w:val="24"/>
        </w:rPr>
        <w:t xml:space="preserve"> </w:t>
      </w:r>
      <w:r w:rsidRPr="00AE1E0D">
        <w:rPr>
          <w:rFonts w:cs="Times New Roman"/>
          <w:szCs w:val="24"/>
        </w:rPr>
        <w:t>diagnóstica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prácticas</w:t>
      </w:r>
      <w:r w:rsidR="00D136BB">
        <w:rPr>
          <w:rFonts w:cs="Times New Roman"/>
          <w:szCs w:val="24"/>
        </w:rPr>
        <w:t xml:space="preserve"> </w:t>
      </w:r>
      <w:r w:rsidRPr="00AE1E0D">
        <w:rPr>
          <w:rFonts w:cs="Times New Roman"/>
          <w:szCs w:val="24"/>
        </w:rPr>
        <w:t>intervencionistas.</w:t>
      </w:r>
    </w:p>
    <w:p w14:paraId="12135517" w14:textId="7929D401"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Escasez</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registros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fuentes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radiación</w:t>
      </w:r>
      <w:r w:rsidR="00D136BB">
        <w:rPr>
          <w:rFonts w:cs="Times New Roman"/>
          <w:szCs w:val="24"/>
        </w:rPr>
        <w:t xml:space="preserve"> </w:t>
      </w:r>
      <w:r w:rsidRPr="00AE1E0D">
        <w:rPr>
          <w:rFonts w:cs="Times New Roman"/>
          <w:szCs w:val="24"/>
        </w:rPr>
        <w:t>actualizados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limitada</w:t>
      </w:r>
      <w:r w:rsidR="00D136BB">
        <w:rPr>
          <w:rFonts w:cs="Times New Roman"/>
          <w:szCs w:val="24"/>
        </w:rPr>
        <w:t xml:space="preserve"> </w:t>
      </w:r>
      <w:r w:rsidRPr="00AE1E0D">
        <w:rPr>
          <w:rFonts w:cs="Times New Roman"/>
          <w:szCs w:val="24"/>
        </w:rPr>
        <w:t>utilización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organizar</w:t>
      </w:r>
      <w:r w:rsidR="00D136BB">
        <w:rPr>
          <w:rFonts w:cs="Times New Roman"/>
          <w:szCs w:val="24"/>
        </w:rPr>
        <w:t xml:space="preserve"> </w:t>
      </w:r>
      <w:r w:rsidRPr="00AE1E0D">
        <w:rPr>
          <w:rFonts w:cs="Times New Roman"/>
          <w:szCs w:val="24"/>
        </w:rPr>
        <w:t>adecuadamente</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trabajo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órganos</w:t>
      </w:r>
      <w:r w:rsidR="00D136BB">
        <w:rPr>
          <w:rFonts w:cs="Times New Roman"/>
          <w:szCs w:val="24"/>
        </w:rPr>
        <w:t xml:space="preserve"> </w:t>
      </w:r>
      <w:r w:rsidRPr="00AE1E0D">
        <w:rPr>
          <w:rFonts w:cs="Times New Roman"/>
          <w:szCs w:val="24"/>
        </w:rPr>
        <w:t>reguladores.</w:t>
      </w:r>
    </w:p>
    <w:p w14:paraId="0AB409C2" w14:textId="2A0FE686"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Ausentes</w:t>
      </w:r>
      <w:r w:rsidR="00D136BB">
        <w:rPr>
          <w:rFonts w:cs="Times New Roman"/>
          <w:szCs w:val="24"/>
        </w:rPr>
        <w:t xml:space="preserve"> </w:t>
      </w:r>
      <w:r w:rsidRPr="00AE1E0D">
        <w:rPr>
          <w:rFonts w:cs="Times New Roman"/>
          <w:szCs w:val="24"/>
        </w:rPr>
        <w:t>o</w:t>
      </w:r>
      <w:r w:rsidR="00D136BB">
        <w:rPr>
          <w:rFonts w:cs="Times New Roman"/>
          <w:szCs w:val="24"/>
        </w:rPr>
        <w:t xml:space="preserve"> </w:t>
      </w:r>
      <w:r w:rsidRPr="00AE1E0D">
        <w:rPr>
          <w:rFonts w:cs="Times New Roman"/>
          <w:szCs w:val="24"/>
        </w:rPr>
        <w:t>débiles</w:t>
      </w:r>
      <w:r w:rsidR="00D136BB">
        <w:rPr>
          <w:rFonts w:cs="Times New Roman"/>
          <w:szCs w:val="24"/>
        </w:rPr>
        <w:t xml:space="preserve"> </w:t>
      </w:r>
      <w:r w:rsidRPr="00AE1E0D">
        <w:rPr>
          <w:rFonts w:cs="Times New Roman"/>
          <w:szCs w:val="24"/>
        </w:rPr>
        <w:t>medidas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coerción</w:t>
      </w:r>
      <w:r w:rsidR="00D136BB">
        <w:rPr>
          <w:rFonts w:cs="Times New Roman"/>
          <w:szCs w:val="24"/>
        </w:rPr>
        <w:t xml:space="preserve"> </w:t>
      </w:r>
      <w:r w:rsidRPr="00AE1E0D">
        <w:rPr>
          <w:rFonts w:cs="Times New Roman"/>
          <w:szCs w:val="24"/>
        </w:rPr>
        <w:t>o</w:t>
      </w:r>
      <w:r w:rsidR="00D136BB">
        <w:rPr>
          <w:rFonts w:cs="Times New Roman"/>
          <w:szCs w:val="24"/>
        </w:rPr>
        <w:t xml:space="preserve"> </w:t>
      </w:r>
      <w:r w:rsidRPr="00AE1E0D">
        <w:rPr>
          <w:rFonts w:cs="Times New Roman"/>
          <w:szCs w:val="24"/>
        </w:rPr>
        <w:t>limitada</w:t>
      </w:r>
      <w:r w:rsidR="00D136BB">
        <w:rPr>
          <w:rFonts w:cs="Times New Roman"/>
          <w:szCs w:val="24"/>
        </w:rPr>
        <w:t xml:space="preserve"> </w:t>
      </w:r>
      <w:r w:rsidRPr="00AE1E0D">
        <w:rPr>
          <w:rFonts w:cs="Times New Roman"/>
          <w:szCs w:val="24"/>
        </w:rPr>
        <w:t>aplicación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dichas</w:t>
      </w:r>
      <w:r w:rsidR="00D136BB">
        <w:rPr>
          <w:rFonts w:cs="Times New Roman"/>
          <w:szCs w:val="24"/>
        </w:rPr>
        <w:t xml:space="preserve"> </w:t>
      </w:r>
      <w:r w:rsidRPr="00AE1E0D">
        <w:rPr>
          <w:rFonts w:cs="Times New Roman"/>
          <w:szCs w:val="24"/>
        </w:rPr>
        <w:t>medidas.</w:t>
      </w:r>
    </w:p>
    <w:p w14:paraId="37E70602" w14:textId="6AD664C8"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En</w:t>
      </w:r>
      <w:r w:rsidR="00D136BB">
        <w:rPr>
          <w:rFonts w:cs="Times New Roman"/>
          <w:szCs w:val="24"/>
        </w:rPr>
        <w:t xml:space="preserve"> </w:t>
      </w:r>
      <w:r w:rsidRPr="00AE1E0D">
        <w:rPr>
          <w:rFonts w:cs="Times New Roman"/>
          <w:szCs w:val="24"/>
        </w:rPr>
        <w:t>un</w:t>
      </w:r>
      <w:r w:rsidR="00D136BB">
        <w:rPr>
          <w:rFonts w:cs="Times New Roman"/>
          <w:szCs w:val="24"/>
        </w:rPr>
        <w:t xml:space="preserve"> </w:t>
      </w:r>
      <w:r w:rsidRPr="00AE1E0D">
        <w:rPr>
          <w:rFonts w:cs="Times New Roman"/>
          <w:szCs w:val="24"/>
        </w:rPr>
        <w:t>gran</w:t>
      </w:r>
      <w:r w:rsidR="00D136BB">
        <w:rPr>
          <w:rFonts w:cs="Times New Roman"/>
          <w:szCs w:val="24"/>
        </w:rPr>
        <w:t xml:space="preserve"> </w:t>
      </w:r>
      <w:r w:rsidRPr="00AE1E0D">
        <w:rPr>
          <w:rFonts w:cs="Times New Roman"/>
          <w:szCs w:val="24"/>
        </w:rPr>
        <w:t>número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órganos</w:t>
      </w:r>
      <w:r w:rsidR="00D136BB">
        <w:rPr>
          <w:rFonts w:cs="Times New Roman"/>
          <w:szCs w:val="24"/>
        </w:rPr>
        <w:t xml:space="preserve"> </w:t>
      </w:r>
      <w:r w:rsidRPr="00AE1E0D">
        <w:rPr>
          <w:rFonts w:cs="Times New Roman"/>
          <w:szCs w:val="24"/>
        </w:rPr>
        <w:t>reguladores</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establecen,</w:t>
      </w:r>
      <w:r w:rsidR="00D136BB">
        <w:rPr>
          <w:rFonts w:cs="Times New Roman"/>
          <w:szCs w:val="24"/>
        </w:rPr>
        <w:t xml:space="preserve"> </w:t>
      </w:r>
      <w:r w:rsidRPr="00AE1E0D">
        <w:rPr>
          <w:rFonts w:cs="Times New Roman"/>
          <w:szCs w:val="24"/>
        </w:rPr>
        <w:t>implementan,</w:t>
      </w:r>
      <w:r w:rsidR="00D136BB">
        <w:rPr>
          <w:rFonts w:cs="Times New Roman"/>
          <w:szCs w:val="24"/>
        </w:rPr>
        <w:t xml:space="preserve"> </w:t>
      </w:r>
      <w:r w:rsidRPr="00AE1E0D">
        <w:rPr>
          <w:rFonts w:cs="Times New Roman"/>
          <w:szCs w:val="24"/>
        </w:rPr>
        <w:t>evalúan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mejoran</w:t>
      </w:r>
      <w:r w:rsidR="00D136BB">
        <w:rPr>
          <w:rFonts w:cs="Times New Roman"/>
          <w:szCs w:val="24"/>
        </w:rPr>
        <w:t xml:space="preserve"> </w:t>
      </w:r>
      <w:r w:rsidRPr="00AE1E0D">
        <w:rPr>
          <w:rFonts w:cs="Times New Roman"/>
          <w:szCs w:val="24"/>
        </w:rPr>
        <w:t>continuamente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cuales</w:t>
      </w:r>
      <w:r w:rsidR="00D136BB">
        <w:rPr>
          <w:rFonts w:cs="Times New Roman"/>
          <w:szCs w:val="24"/>
        </w:rPr>
        <w:t xml:space="preserve"> </w:t>
      </w:r>
      <w:r w:rsidRPr="00AE1E0D">
        <w:rPr>
          <w:rFonts w:cs="Times New Roman"/>
          <w:szCs w:val="24"/>
        </w:rPr>
        <w:t>incluyen:</w:t>
      </w:r>
      <w:r w:rsidR="00D136BB">
        <w:rPr>
          <w:rFonts w:cs="Times New Roman"/>
          <w:szCs w:val="24"/>
        </w:rPr>
        <w:t xml:space="preserve"> </w:t>
      </w:r>
      <w:r w:rsidRPr="00AE1E0D">
        <w:rPr>
          <w:rFonts w:cs="Times New Roman"/>
          <w:szCs w:val="24"/>
        </w:rPr>
        <w:t>registros,</w:t>
      </w:r>
      <w:r w:rsidR="00D136BB">
        <w:rPr>
          <w:rFonts w:cs="Times New Roman"/>
          <w:szCs w:val="24"/>
        </w:rPr>
        <w:t xml:space="preserve"> </w:t>
      </w:r>
      <w:r w:rsidRPr="00AE1E0D">
        <w:rPr>
          <w:rFonts w:cs="Times New Roman"/>
          <w:szCs w:val="24"/>
        </w:rPr>
        <w:t>autorización,</w:t>
      </w:r>
      <w:r w:rsidR="00D136BB">
        <w:rPr>
          <w:rFonts w:cs="Times New Roman"/>
          <w:szCs w:val="24"/>
        </w:rPr>
        <w:t xml:space="preserve"> </w:t>
      </w:r>
      <w:r w:rsidRPr="00AE1E0D">
        <w:rPr>
          <w:rFonts w:cs="Times New Roman"/>
          <w:szCs w:val="24"/>
        </w:rPr>
        <w:t>realización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normas,</w:t>
      </w:r>
      <w:r w:rsidR="00D136BB">
        <w:rPr>
          <w:rFonts w:cs="Times New Roman"/>
          <w:szCs w:val="24"/>
        </w:rPr>
        <w:t xml:space="preserve"> </w:t>
      </w:r>
      <w:r w:rsidRPr="00AE1E0D">
        <w:rPr>
          <w:rFonts w:cs="Times New Roman"/>
          <w:szCs w:val="24"/>
        </w:rPr>
        <w:t>inspecciones,</w:t>
      </w:r>
      <w:r w:rsidR="00D136BB">
        <w:rPr>
          <w:rFonts w:cs="Times New Roman"/>
          <w:szCs w:val="24"/>
        </w:rPr>
        <w:t xml:space="preserve"> </w:t>
      </w:r>
      <w:r w:rsidRPr="00AE1E0D">
        <w:rPr>
          <w:rFonts w:cs="Times New Roman"/>
          <w:szCs w:val="24"/>
        </w:rPr>
        <w:t>información,</w:t>
      </w:r>
      <w:r w:rsidR="00D136BB">
        <w:rPr>
          <w:rFonts w:cs="Times New Roman"/>
          <w:szCs w:val="24"/>
        </w:rPr>
        <w:t xml:space="preserve"> </w:t>
      </w:r>
      <w:r w:rsidRPr="00AE1E0D">
        <w:rPr>
          <w:rFonts w:cs="Times New Roman"/>
          <w:szCs w:val="24"/>
        </w:rPr>
        <w:t>cooperación,</w:t>
      </w:r>
      <w:r w:rsidR="00D136BB">
        <w:rPr>
          <w:rFonts w:cs="Times New Roman"/>
          <w:szCs w:val="24"/>
        </w:rPr>
        <w:t xml:space="preserve"> </w:t>
      </w:r>
      <w:r w:rsidRPr="00AE1E0D">
        <w:rPr>
          <w:rFonts w:cs="Times New Roman"/>
          <w:szCs w:val="24"/>
        </w:rPr>
        <w:t>entre</w:t>
      </w:r>
      <w:r w:rsidR="00D136BB">
        <w:rPr>
          <w:rFonts w:cs="Times New Roman"/>
          <w:szCs w:val="24"/>
        </w:rPr>
        <w:t xml:space="preserve"> </w:t>
      </w:r>
      <w:r w:rsidRPr="00AE1E0D">
        <w:rPr>
          <w:rFonts w:cs="Times New Roman"/>
          <w:szCs w:val="24"/>
        </w:rPr>
        <w:t>otros.</w:t>
      </w:r>
    </w:p>
    <w:p w14:paraId="34DE4CD9" w14:textId="06033A53"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exigencia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instalaciones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actividades</w:t>
      </w:r>
      <w:r w:rsidR="00D136BB">
        <w:rPr>
          <w:rFonts w:cs="Times New Roman"/>
          <w:szCs w:val="24"/>
        </w:rPr>
        <w:t xml:space="preserve"> </w:t>
      </w:r>
      <w:r w:rsidRPr="00AE1E0D">
        <w:rPr>
          <w:rFonts w:cs="Times New Roman"/>
          <w:szCs w:val="24"/>
        </w:rPr>
        <w:t>reguladas,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muchos</w:t>
      </w:r>
      <w:r w:rsidR="00D136BB">
        <w:rPr>
          <w:rFonts w:cs="Times New Roman"/>
          <w:szCs w:val="24"/>
        </w:rPr>
        <w:t xml:space="preserve"> </w:t>
      </w:r>
      <w:r w:rsidRPr="00AE1E0D">
        <w:rPr>
          <w:rFonts w:cs="Times New Roman"/>
          <w:szCs w:val="24"/>
        </w:rPr>
        <w:t>países.</w:t>
      </w:r>
    </w:p>
    <w:p w14:paraId="4F36FDAB" w14:textId="4E5BBCBC"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exigencia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dosimetría</w:t>
      </w:r>
      <w:r w:rsidR="00D136BB">
        <w:rPr>
          <w:rFonts w:cs="Times New Roman"/>
          <w:szCs w:val="24"/>
        </w:rPr>
        <w:t xml:space="preserve"> </w:t>
      </w:r>
      <w:r w:rsidRPr="00AE1E0D">
        <w:rPr>
          <w:rFonts w:cs="Times New Roman"/>
          <w:szCs w:val="24"/>
        </w:rPr>
        <w:t>interna</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autoridades.</w:t>
      </w:r>
    </w:p>
    <w:p w14:paraId="0BAE64FD" w14:textId="322228B7"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armonización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procesos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criterios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autorización/</w:t>
      </w:r>
      <w:r w:rsidR="00D136BB">
        <w:rPr>
          <w:rFonts w:cs="Times New Roman"/>
          <w:szCs w:val="24"/>
        </w:rPr>
        <w:t xml:space="preserve"> </w:t>
      </w:r>
      <w:r w:rsidRPr="00AE1E0D">
        <w:rPr>
          <w:rFonts w:cs="Times New Roman"/>
          <w:szCs w:val="24"/>
        </w:rPr>
        <w:t>aprobación/verificación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competencia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técnicos.</w:t>
      </w:r>
      <w:r w:rsidR="00D136BB">
        <w:rPr>
          <w:rFonts w:cs="Times New Roman"/>
          <w:szCs w:val="24"/>
        </w:rPr>
        <w:t xml:space="preserve"> </w:t>
      </w:r>
    </w:p>
    <w:p w14:paraId="3C64E58C" w14:textId="2C0E1ECF" w:rsidR="005D0292" w:rsidRPr="00AE1E0D" w:rsidRDefault="00DA332B" w:rsidP="00BE3BCB">
      <w:pPr>
        <w:pStyle w:val="ListNumber"/>
        <w:numPr>
          <w:ilvl w:val="0"/>
          <w:numId w:val="41"/>
        </w:numPr>
        <w:ind w:left="567" w:hanging="425"/>
        <w:rPr>
          <w:rFonts w:cs="Times New Roman"/>
          <w:szCs w:val="24"/>
        </w:rPr>
      </w:pPr>
      <w:r>
        <w:rPr>
          <w:rFonts w:cs="Times New Roman"/>
          <w:szCs w:val="24"/>
        </w:rPr>
        <w:t>Limitada</w:t>
      </w:r>
      <w:r w:rsidR="00D136BB">
        <w:rPr>
          <w:rFonts w:cs="Times New Roman"/>
          <w:szCs w:val="24"/>
        </w:rPr>
        <w:t xml:space="preserve"> </w:t>
      </w:r>
      <w:r w:rsidR="005D0292" w:rsidRPr="00AE1E0D">
        <w:rPr>
          <w:rFonts w:cs="Times New Roman"/>
          <w:szCs w:val="24"/>
        </w:rPr>
        <w:t>implementación</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registros</w:t>
      </w:r>
      <w:r w:rsidR="00D136BB">
        <w:rPr>
          <w:rFonts w:cs="Times New Roman"/>
          <w:szCs w:val="24"/>
        </w:rPr>
        <w:t xml:space="preserve"> </w:t>
      </w:r>
      <w:r w:rsidR="005D0292" w:rsidRPr="00AE1E0D">
        <w:rPr>
          <w:rFonts w:cs="Times New Roman"/>
          <w:szCs w:val="24"/>
        </w:rPr>
        <w:t>nacionales</w:t>
      </w:r>
      <w:r w:rsidR="00D136BB">
        <w:rPr>
          <w:rFonts w:cs="Times New Roman"/>
          <w:szCs w:val="24"/>
        </w:rPr>
        <w:t xml:space="preserve"> </w:t>
      </w:r>
      <w:r w:rsidR="005D0292" w:rsidRPr="00AE1E0D">
        <w:rPr>
          <w:rFonts w:cs="Times New Roman"/>
          <w:szCs w:val="24"/>
        </w:rPr>
        <w:t>unificados</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dosis</w:t>
      </w:r>
      <w:r w:rsidR="00D136BB">
        <w:rPr>
          <w:rFonts w:cs="Times New Roman"/>
          <w:szCs w:val="24"/>
        </w:rPr>
        <w:t xml:space="preserve"> </w:t>
      </w:r>
      <w:r w:rsidR="005D0292" w:rsidRPr="00AE1E0D">
        <w:rPr>
          <w:rFonts w:cs="Times New Roman"/>
          <w:szCs w:val="24"/>
        </w:rPr>
        <w:t>ocupacionales</w:t>
      </w:r>
      <w:r w:rsidR="00D136BB">
        <w:rPr>
          <w:rFonts w:cs="Times New Roman"/>
          <w:szCs w:val="24"/>
        </w:rPr>
        <w:t xml:space="preserve"> </w:t>
      </w:r>
      <w:r>
        <w:rPr>
          <w:rFonts w:cs="Times New Roman"/>
          <w:szCs w:val="24"/>
        </w:rPr>
        <w:t>(actualmente 16 países cuentan con un registro nacional de dosis).</w:t>
      </w:r>
    </w:p>
    <w:p w14:paraId="05C70913" w14:textId="30D22B4D"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Deficiente</w:t>
      </w:r>
      <w:r w:rsidR="00D136BB">
        <w:rPr>
          <w:rFonts w:cs="Times New Roman"/>
          <w:szCs w:val="24"/>
        </w:rPr>
        <w:t xml:space="preserve"> </w:t>
      </w:r>
      <w:r w:rsidRPr="00AE1E0D">
        <w:rPr>
          <w:rFonts w:cs="Times New Roman"/>
          <w:szCs w:val="24"/>
        </w:rPr>
        <w:t>regulación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aplicación</w:t>
      </w:r>
      <w:r w:rsidR="00D136BB">
        <w:rPr>
          <w:rFonts w:cs="Times New Roman"/>
          <w:szCs w:val="24"/>
        </w:rPr>
        <w:t xml:space="preserve"> </w:t>
      </w:r>
      <w:r w:rsidRPr="00AE1E0D">
        <w:rPr>
          <w:rFonts w:cs="Times New Roman"/>
          <w:szCs w:val="24"/>
        </w:rPr>
        <w:t>práctica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conceptos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exención,</w:t>
      </w:r>
      <w:r w:rsidR="00D136BB">
        <w:rPr>
          <w:rFonts w:cs="Times New Roman"/>
          <w:szCs w:val="24"/>
        </w:rPr>
        <w:t xml:space="preserve"> </w:t>
      </w:r>
      <w:r w:rsidRPr="00AE1E0D">
        <w:rPr>
          <w:rFonts w:cs="Times New Roman"/>
          <w:szCs w:val="24"/>
        </w:rPr>
        <w:t>desclasificación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dispensa.</w:t>
      </w:r>
      <w:r w:rsidR="00D136BB">
        <w:rPr>
          <w:rFonts w:cs="Times New Roman"/>
          <w:szCs w:val="24"/>
        </w:rPr>
        <w:t xml:space="preserve"> </w:t>
      </w:r>
    </w:p>
    <w:p w14:paraId="3FB3CFE1" w14:textId="349BC359"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La</w:t>
      </w:r>
      <w:r w:rsidR="00D136BB">
        <w:rPr>
          <w:rFonts w:cs="Times New Roman"/>
          <w:szCs w:val="24"/>
        </w:rPr>
        <w:t xml:space="preserve"> </w:t>
      </w:r>
      <w:r w:rsidRPr="00AE1E0D">
        <w:rPr>
          <w:rFonts w:cs="Times New Roman"/>
          <w:szCs w:val="24"/>
        </w:rPr>
        <w:t>cobertura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dosimetría</w:t>
      </w:r>
      <w:r w:rsidR="00D136BB">
        <w:rPr>
          <w:rFonts w:cs="Times New Roman"/>
          <w:szCs w:val="24"/>
        </w:rPr>
        <w:t xml:space="preserve"> </w:t>
      </w:r>
      <w:r w:rsidRPr="00AE1E0D">
        <w:rPr>
          <w:rFonts w:cs="Times New Roman"/>
          <w:szCs w:val="24"/>
        </w:rPr>
        <w:t>personal</w:t>
      </w:r>
      <w:r w:rsidR="00D136BB">
        <w:rPr>
          <w:rFonts w:cs="Times New Roman"/>
          <w:szCs w:val="24"/>
        </w:rPr>
        <w:t xml:space="preserve"> </w:t>
      </w:r>
      <w:r w:rsidRPr="00AE1E0D">
        <w:rPr>
          <w:rFonts w:cs="Times New Roman"/>
          <w:szCs w:val="24"/>
        </w:rPr>
        <w:t>externa</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es</w:t>
      </w:r>
      <w:r w:rsidR="00D136BB">
        <w:rPr>
          <w:rFonts w:cs="Times New Roman"/>
          <w:szCs w:val="24"/>
        </w:rPr>
        <w:t xml:space="preserve"> </w:t>
      </w:r>
      <w:r w:rsidRPr="00AE1E0D">
        <w:rPr>
          <w:rFonts w:cs="Times New Roman"/>
          <w:szCs w:val="24"/>
        </w:rPr>
        <w:t>suficiente</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abarcar</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trabajadores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tipos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radiaciones</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medir.</w:t>
      </w:r>
    </w:p>
    <w:p w14:paraId="703ACA7E" w14:textId="273997EA"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El</w:t>
      </w:r>
      <w:r w:rsidR="00D136BB">
        <w:rPr>
          <w:rFonts w:cs="Times New Roman"/>
          <w:szCs w:val="24"/>
        </w:rPr>
        <w:t xml:space="preserve"> </w:t>
      </w:r>
      <w:r w:rsidRPr="00AE1E0D">
        <w:rPr>
          <w:rFonts w:cs="Times New Roman"/>
          <w:szCs w:val="24"/>
        </w:rPr>
        <w:t>número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laboratorios</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brindan</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dosimetría</w:t>
      </w:r>
      <w:r w:rsidR="00D136BB">
        <w:rPr>
          <w:rFonts w:cs="Times New Roman"/>
          <w:szCs w:val="24"/>
        </w:rPr>
        <w:t xml:space="preserve"> </w:t>
      </w:r>
      <w:r w:rsidRPr="00AE1E0D">
        <w:rPr>
          <w:rFonts w:cs="Times New Roman"/>
          <w:szCs w:val="24"/>
        </w:rPr>
        <w:t>interna</w:t>
      </w:r>
      <w:r w:rsidR="00D136BB">
        <w:rPr>
          <w:rFonts w:cs="Times New Roman"/>
          <w:szCs w:val="24"/>
        </w:rPr>
        <w:t xml:space="preserve"> </w:t>
      </w:r>
      <w:r w:rsidRPr="00AE1E0D">
        <w:rPr>
          <w:rFonts w:cs="Times New Roman"/>
          <w:szCs w:val="24"/>
        </w:rPr>
        <w:t>es</w:t>
      </w:r>
      <w:r w:rsidR="00D136BB">
        <w:rPr>
          <w:rFonts w:cs="Times New Roman"/>
          <w:szCs w:val="24"/>
        </w:rPr>
        <w:t xml:space="preserve"> </w:t>
      </w:r>
      <w:r w:rsidRPr="00AE1E0D">
        <w:rPr>
          <w:rFonts w:cs="Times New Roman"/>
          <w:szCs w:val="24"/>
        </w:rPr>
        <w:t>insuficiente</w:t>
      </w:r>
      <w:r w:rsidR="00D136BB">
        <w:rPr>
          <w:rFonts w:cs="Times New Roman"/>
          <w:szCs w:val="24"/>
        </w:rPr>
        <w:t xml:space="preserve"> </w:t>
      </w:r>
      <w:r w:rsidR="00435CE5" w:rsidRPr="00435CE5">
        <w:rPr>
          <w:rFonts w:cs="Times New Roman"/>
          <w:szCs w:val="24"/>
        </w:rPr>
        <w:t>a</w:t>
      </w:r>
      <w:r w:rsidR="00D136BB">
        <w:rPr>
          <w:rFonts w:cs="Times New Roman"/>
          <w:szCs w:val="24"/>
        </w:rPr>
        <w:t xml:space="preserve"> </w:t>
      </w:r>
      <w:r w:rsidR="00435CE5" w:rsidRPr="00435CE5">
        <w:rPr>
          <w:rFonts w:cs="Times New Roman"/>
          <w:szCs w:val="24"/>
        </w:rPr>
        <w:t>pesar</w:t>
      </w:r>
      <w:r w:rsidR="00D136BB">
        <w:rPr>
          <w:rFonts w:cs="Times New Roman"/>
          <w:szCs w:val="24"/>
        </w:rPr>
        <w:t xml:space="preserve"> </w:t>
      </w:r>
      <w:r w:rsidR="00435CE5" w:rsidRPr="00435CE5">
        <w:rPr>
          <w:rFonts w:cs="Times New Roman"/>
          <w:szCs w:val="24"/>
        </w:rPr>
        <w:t>de</w:t>
      </w:r>
      <w:r w:rsidR="00D136BB">
        <w:rPr>
          <w:rFonts w:cs="Times New Roman"/>
          <w:szCs w:val="24"/>
        </w:rPr>
        <w:t xml:space="preserve"> </w:t>
      </w:r>
      <w:r w:rsidR="00435CE5" w:rsidRPr="00435CE5">
        <w:rPr>
          <w:rFonts w:cs="Times New Roman"/>
          <w:szCs w:val="24"/>
        </w:rPr>
        <w:t>contar</w:t>
      </w:r>
      <w:r w:rsidR="00D136BB">
        <w:rPr>
          <w:rFonts w:cs="Times New Roman"/>
          <w:szCs w:val="24"/>
        </w:rPr>
        <w:t xml:space="preserve"> </w:t>
      </w:r>
      <w:r w:rsidR="00435CE5" w:rsidRPr="00435CE5">
        <w:rPr>
          <w:rFonts w:cs="Times New Roman"/>
          <w:szCs w:val="24"/>
        </w:rPr>
        <w:t>con</w:t>
      </w:r>
      <w:r w:rsidR="00D136BB">
        <w:rPr>
          <w:rFonts w:cs="Times New Roman"/>
          <w:szCs w:val="24"/>
        </w:rPr>
        <w:t xml:space="preserve"> </w:t>
      </w:r>
      <w:r w:rsidR="00435CE5" w:rsidRPr="00435CE5">
        <w:rPr>
          <w:rFonts w:cs="Times New Roman"/>
          <w:szCs w:val="24"/>
        </w:rPr>
        <w:t>los</w:t>
      </w:r>
      <w:r w:rsidR="00D136BB">
        <w:rPr>
          <w:rFonts w:cs="Times New Roman"/>
          <w:szCs w:val="24"/>
        </w:rPr>
        <w:t xml:space="preserve"> </w:t>
      </w:r>
      <w:r w:rsidR="00435CE5" w:rsidRPr="00435CE5">
        <w:rPr>
          <w:rFonts w:cs="Times New Roman"/>
          <w:szCs w:val="24"/>
        </w:rPr>
        <w:t>métodos</w:t>
      </w:r>
      <w:r w:rsidR="00D136BB">
        <w:rPr>
          <w:rFonts w:cs="Times New Roman"/>
          <w:szCs w:val="24"/>
        </w:rPr>
        <w:t xml:space="preserve"> </w:t>
      </w:r>
      <w:r w:rsidR="00435CE5" w:rsidRPr="00435CE5">
        <w:rPr>
          <w:rFonts w:cs="Times New Roman"/>
          <w:szCs w:val="24"/>
        </w:rPr>
        <w:t>y</w:t>
      </w:r>
      <w:r w:rsidR="00D136BB">
        <w:rPr>
          <w:rFonts w:cs="Times New Roman"/>
          <w:szCs w:val="24"/>
        </w:rPr>
        <w:t xml:space="preserve"> </w:t>
      </w:r>
      <w:r w:rsidR="00435CE5" w:rsidRPr="00435CE5">
        <w:rPr>
          <w:rFonts w:cs="Times New Roman"/>
          <w:szCs w:val="24"/>
        </w:rPr>
        <w:t>el</w:t>
      </w:r>
      <w:r w:rsidR="00D136BB">
        <w:rPr>
          <w:rFonts w:cs="Times New Roman"/>
          <w:szCs w:val="24"/>
        </w:rPr>
        <w:t xml:space="preserve"> </w:t>
      </w:r>
      <w:r w:rsidR="00435CE5" w:rsidRPr="00435CE5">
        <w:rPr>
          <w:rFonts w:cs="Times New Roman"/>
          <w:szCs w:val="24"/>
        </w:rPr>
        <w:t>personal</w:t>
      </w:r>
      <w:r w:rsidR="00D136BB">
        <w:rPr>
          <w:rFonts w:cs="Times New Roman"/>
          <w:szCs w:val="24"/>
        </w:rPr>
        <w:t xml:space="preserve"> </w:t>
      </w:r>
      <w:r w:rsidR="00435CE5" w:rsidRPr="00435CE5">
        <w:rPr>
          <w:rFonts w:cs="Times New Roman"/>
          <w:szCs w:val="24"/>
        </w:rPr>
        <w:t>entrenado</w:t>
      </w:r>
      <w:r w:rsidR="00D136BB">
        <w:rPr>
          <w:rFonts w:cs="Times New Roman"/>
          <w:szCs w:val="24"/>
        </w:rPr>
        <w:t xml:space="preserve"> </w:t>
      </w:r>
      <w:r w:rsidR="00435CE5" w:rsidRPr="00435CE5">
        <w:rPr>
          <w:rFonts w:cs="Times New Roman"/>
          <w:szCs w:val="24"/>
        </w:rPr>
        <w:t>para</w:t>
      </w:r>
      <w:r w:rsidR="00D136BB">
        <w:rPr>
          <w:rFonts w:cs="Times New Roman"/>
          <w:szCs w:val="24"/>
        </w:rPr>
        <w:t xml:space="preserve"> </w:t>
      </w:r>
      <w:r w:rsidR="00435CE5" w:rsidRPr="00435CE5">
        <w:rPr>
          <w:rFonts w:cs="Times New Roman"/>
          <w:szCs w:val="24"/>
        </w:rPr>
        <w:t>ello</w:t>
      </w:r>
      <w:r w:rsidRPr="00AE1E0D">
        <w:rPr>
          <w:rFonts w:cs="Times New Roman"/>
          <w:szCs w:val="24"/>
        </w:rPr>
        <w:t>.</w:t>
      </w:r>
    </w:p>
    <w:p w14:paraId="1A774939" w14:textId="096DC2E3"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El</w:t>
      </w:r>
      <w:r w:rsidR="00D136BB">
        <w:rPr>
          <w:rFonts w:cs="Times New Roman"/>
          <w:szCs w:val="24"/>
        </w:rPr>
        <w:t xml:space="preserve"> </w:t>
      </w:r>
      <w:r w:rsidRPr="00AE1E0D">
        <w:rPr>
          <w:rFonts w:cs="Times New Roman"/>
          <w:szCs w:val="24"/>
        </w:rPr>
        <w:t>número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equipamiento</w:t>
      </w:r>
      <w:r w:rsidR="00D136BB">
        <w:rPr>
          <w:rFonts w:cs="Times New Roman"/>
          <w:szCs w:val="24"/>
        </w:rPr>
        <w:t xml:space="preserve"> </w:t>
      </w:r>
      <w:r w:rsidRPr="00AE1E0D">
        <w:rPr>
          <w:rFonts w:cs="Times New Roman"/>
          <w:szCs w:val="24"/>
        </w:rPr>
        <w:t>disponibles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00435CE5" w:rsidRPr="00AE1E0D">
        <w:rPr>
          <w:rFonts w:cs="Times New Roman"/>
          <w:szCs w:val="24"/>
        </w:rPr>
        <w:t>la</w:t>
      </w:r>
      <w:r w:rsidR="00D136BB">
        <w:rPr>
          <w:rFonts w:cs="Times New Roman"/>
          <w:szCs w:val="24"/>
        </w:rPr>
        <w:t xml:space="preserve"> </w:t>
      </w:r>
      <w:r w:rsidR="00435CE5" w:rsidRPr="00AE1E0D">
        <w:rPr>
          <w:rFonts w:cs="Times New Roman"/>
          <w:szCs w:val="24"/>
        </w:rPr>
        <w:t>monitorización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puesto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trabajo</w:t>
      </w:r>
      <w:r w:rsidR="00D136BB">
        <w:rPr>
          <w:rFonts w:cs="Times New Roman"/>
          <w:szCs w:val="24"/>
        </w:rPr>
        <w:t xml:space="preserve"> </w:t>
      </w:r>
      <w:r w:rsidRPr="00AE1E0D">
        <w:rPr>
          <w:rFonts w:cs="Times New Roman"/>
          <w:szCs w:val="24"/>
        </w:rPr>
        <w:t>(medición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haces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radiaciones,</w:t>
      </w:r>
      <w:r w:rsidR="00D136BB">
        <w:rPr>
          <w:rFonts w:cs="Times New Roman"/>
          <w:szCs w:val="24"/>
        </w:rPr>
        <w:t xml:space="preserve"> </w:t>
      </w:r>
      <w:r w:rsidRPr="00AE1E0D">
        <w:rPr>
          <w:rFonts w:cs="Times New Roman"/>
          <w:szCs w:val="24"/>
        </w:rPr>
        <w:t>contaminación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superficies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ventilación)</w:t>
      </w:r>
      <w:r w:rsidR="00D136BB">
        <w:rPr>
          <w:rFonts w:cs="Times New Roman"/>
          <w:szCs w:val="24"/>
        </w:rPr>
        <w:t xml:space="preserve"> </w:t>
      </w:r>
      <w:r w:rsidRPr="00AE1E0D">
        <w:rPr>
          <w:rFonts w:cs="Times New Roman"/>
          <w:szCs w:val="24"/>
        </w:rPr>
        <w:t>es</w:t>
      </w:r>
      <w:r w:rsidR="00D136BB">
        <w:rPr>
          <w:rFonts w:cs="Times New Roman"/>
          <w:szCs w:val="24"/>
        </w:rPr>
        <w:t xml:space="preserve"> </w:t>
      </w:r>
      <w:r w:rsidRPr="00AE1E0D">
        <w:rPr>
          <w:rFonts w:cs="Times New Roman"/>
          <w:szCs w:val="24"/>
        </w:rPr>
        <w:t>limitado.</w:t>
      </w:r>
      <w:r w:rsidR="00D136BB">
        <w:rPr>
          <w:rFonts w:cs="Times New Roman"/>
          <w:szCs w:val="24"/>
        </w:rPr>
        <w:t xml:space="preserve"> </w:t>
      </w:r>
    </w:p>
    <w:p w14:paraId="6D40D683" w14:textId="2F9AE7E8"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Los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000211C4">
        <w:rPr>
          <w:rFonts w:cs="Times New Roman"/>
          <w:szCs w:val="24"/>
        </w:rPr>
        <w:t>l</w:t>
      </w:r>
      <w:r w:rsidRPr="00AE1E0D">
        <w:rPr>
          <w:rFonts w:cs="Times New Roman"/>
          <w:szCs w:val="24"/>
        </w:rPr>
        <w:t>aboratorios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000211C4">
        <w:rPr>
          <w:rFonts w:cs="Times New Roman"/>
          <w:szCs w:val="24"/>
        </w:rPr>
        <w:t>c</w:t>
      </w:r>
      <w:r w:rsidRPr="00AE1E0D">
        <w:rPr>
          <w:rFonts w:cs="Times New Roman"/>
          <w:szCs w:val="24"/>
        </w:rPr>
        <w:t>alibración</w:t>
      </w:r>
      <w:r w:rsidR="00D136BB">
        <w:rPr>
          <w:rFonts w:cs="Times New Roman"/>
          <w:szCs w:val="24"/>
        </w:rPr>
        <w:t xml:space="preserve"> </w:t>
      </w:r>
      <w:r w:rsidR="000211C4">
        <w:rPr>
          <w:rFonts w:cs="Times New Roman"/>
          <w:szCs w:val="24"/>
        </w:rPr>
        <w:t>d</w:t>
      </w:r>
      <w:r w:rsidRPr="00AE1E0D">
        <w:rPr>
          <w:rFonts w:cs="Times New Roman"/>
          <w:szCs w:val="24"/>
        </w:rPr>
        <w:t>osimétrica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son</w:t>
      </w:r>
      <w:r w:rsidR="00D136BB">
        <w:rPr>
          <w:rFonts w:cs="Times New Roman"/>
          <w:szCs w:val="24"/>
        </w:rPr>
        <w:t xml:space="preserve"> </w:t>
      </w:r>
      <w:r w:rsidRPr="00AE1E0D">
        <w:rPr>
          <w:rFonts w:cs="Times New Roman"/>
          <w:szCs w:val="24"/>
        </w:rPr>
        <w:t>limitados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alcance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niveles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necesidad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calibración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equipamiento</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monitorización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puesto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trabajo.</w:t>
      </w:r>
      <w:r w:rsidR="00D136BB">
        <w:rPr>
          <w:rFonts w:cs="Times New Roman"/>
          <w:szCs w:val="24"/>
        </w:rPr>
        <w:t xml:space="preserve"> </w:t>
      </w:r>
    </w:p>
    <w:p w14:paraId="6B725261" w14:textId="713BD4DD"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Los</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técnicos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apoyo</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están</w:t>
      </w:r>
      <w:r w:rsidR="00D136BB">
        <w:rPr>
          <w:rFonts w:cs="Times New Roman"/>
          <w:szCs w:val="24"/>
        </w:rPr>
        <w:t xml:space="preserve"> </w:t>
      </w:r>
      <w:r w:rsidRPr="00AE1E0D">
        <w:rPr>
          <w:rFonts w:cs="Times New Roman"/>
          <w:szCs w:val="24"/>
        </w:rPr>
        <w:t>totalmente</w:t>
      </w:r>
      <w:r w:rsidR="00D136BB">
        <w:rPr>
          <w:rFonts w:cs="Times New Roman"/>
          <w:szCs w:val="24"/>
        </w:rPr>
        <w:t xml:space="preserve"> </w:t>
      </w:r>
      <w:r w:rsidRPr="00AE1E0D">
        <w:rPr>
          <w:rFonts w:cs="Times New Roman"/>
          <w:szCs w:val="24"/>
        </w:rPr>
        <w:t>implementados.</w:t>
      </w:r>
    </w:p>
    <w:p w14:paraId="1BCF3792" w14:textId="24869CB9"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lastRenderedPageBreak/>
        <w:t>Escasa</w:t>
      </w:r>
      <w:r w:rsidR="00D136BB">
        <w:rPr>
          <w:rFonts w:cs="Times New Roman"/>
          <w:szCs w:val="24"/>
        </w:rPr>
        <w:t xml:space="preserve"> </w:t>
      </w:r>
      <w:r w:rsidRPr="00AE1E0D">
        <w:rPr>
          <w:rFonts w:cs="Times New Roman"/>
          <w:szCs w:val="24"/>
        </w:rPr>
        <w:t>implementación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control</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000211C4">
        <w:rPr>
          <w:rFonts w:cs="Times New Roman"/>
          <w:szCs w:val="24"/>
        </w:rPr>
        <w:t>de</w:t>
      </w:r>
      <w:r w:rsidR="00D136BB">
        <w:rPr>
          <w:rFonts w:cs="Times New Roman"/>
          <w:szCs w:val="24"/>
        </w:rPr>
        <w:t xml:space="preserve"> </w:t>
      </w:r>
      <w:r w:rsidR="000211C4">
        <w:rPr>
          <w:rFonts w:cs="Times New Roman"/>
          <w:szCs w:val="24"/>
        </w:rPr>
        <w:t>evaluación</w:t>
      </w:r>
      <w:r w:rsidR="00D136BB">
        <w:rPr>
          <w:rFonts w:cs="Times New Roman"/>
          <w:szCs w:val="24"/>
        </w:rPr>
        <w:t xml:space="preserve"> </w:t>
      </w:r>
      <w:r w:rsidR="000211C4">
        <w:rPr>
          <w:rFonts w:cs="Times New Roman"/>
          <w:szCs w:val="24"/>
        </w:rPr>
        <w:t>de</w:t>
      </w:r>
      <w:r w:rsidR="00D136BB">
        <w:rPr>
          <w:rFonts w:cs="Times New Roman"/>
          <w:szCs w:val="24"/>
        </w:rPr>
        <w:t xml:space="preserve"> </w:t>
      </w:r>
      <w:r w:rsidR="000211C4">
        <w:rPr>
          <w:rFonts w:cs="Times New Roman"/>
          <w:szCs w:val="24"/>
        </w:rPr>
        <w:t>seguridad,</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optimización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misma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instalaciones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actividades.</w:t>
      </w:r>
      <w:r w:rsidR="00D136BB">
        <w:rPr>
          <w:rFonts w:cs="Times New Roman"/>
          <w:szCs w:val="24"/>
        </w:rPr>
        <w:t xml:space="preserve"> </w:t>
      </w:r>
    </w:p>
    <w:p w14:paraId="779397E7" w14:textId="30B64CAF"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una</w:t>
      </w:r>
      <w:r w:rsidR="00D136BB">
        <w:rPr>
          <w:rFonts w:cs="Times New Roman"/>
          <w:szCs w:val="24"/>
        </w:rPr>
        <w:t xml:space="preserve"> </w:t>
      </w:r>
      <w:r w:rsidRPr="00AE1E0D">
        <w:rPr>
          <w:rFonts w:cs="Times New Roman"/>
          <w:szCs w:val="24"/>
        </w:rPr>
        <w:t>gestión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conocimiento</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permita</w:t>
      </w:r>
      <w:r w:rsidR="00D136BB">
        <w:rPr>
          <w:rFonts w:cs="Times New Roman"/>
          <w:szCs w:val="24"/>
        </w:rPr>
        <w:t xml:space="preserve"> </w:t>
      </w:r>
      <w:r w:rsidRPr="00AE1E0D">
        <w:rPr>
          <w:rFonts w:cs="Times New Roman"/>
          <w:szCs w:val="24"/>
        </w:rPr>
        <w:t>mantener</w:t>
      </w:r>
      <w:r w:rsidR="00D136BB">
        <w:rPr>
          <w:rFonts w:cs="Times New Roman"/>
          <w:szCs w:val="24"/>
        </w:rPr>
        <w:t xml:space="preserve"> </w:t>
      </w:r>
      <w:r w:rsidRPr="00AE1E0D">
        <w:rPr>
          <w:rFonts w:cs="Times New Roman"/>
          <w:szCs w:val="24"/>
        </w:rPr>
        <w:t>una</w:t>
      </w:r>
      <w:r w:rsidR="00D136BB">
        <w:rPr>
          <w:rFonts w:cs="Times New Roman"/>
          <w:szCs w:val="24"/>
        </w:rPr>
        <w:t xml:space="preserve"> </w:t>
      </w:r>
      <w:r w:rsidRPr="00AE1E0D">
        <w:rPr>
          <w:rFonts w:cs="Times New Roman"/>
          <w:szCs w:val="24"/>
        </w:rPr>
        <w:t>memoria</w:t>
      </w:r>
      <w:r w:rsidR="00D136BB">
        <w:rPr>
          <w:rFonts w:cs="Times New Roman"/>
          <w:szCs w:val="24"/>
        </w:rPr>
        <w:t xml:space="preserve"> </w:t>
      </w:r>
      <w:r w:rsidRPr="00AE1E0D">
        <w:rPr>
          <w:rFonts w:cs="Times New Roman"/>
          <w:szCs w:val="24"/>
        </w:rPr>
        <w:t>corporativa</w:t>
      </w:r>
      <w:r w:rsidR="00D136BB">
        <w:rPr>
          <w:rFonts w:cs="Times New Roman"/>
          <w:szCs w:val="24"/>
        </w:rPr>
        <w:t xml:space="preserve"> </w:t>
      </w:r>
      <w:r w:rsidRPr="00AE1E0D">
        <w:rPr>
          <w:rFonts w:cs="Times New Roman"/>
          <w:szCs w:val="24"/>
        </w:rPr>
        <w:t>sobre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p>
    <w:p w14:paraId="74377E23" w14:textId="7313928A"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Envejecimiento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recursos</w:t>
      </w:r>
      <w:r w:rsidR="00D136BB">
        <w:rPr>
          <w:rFonts w:cs="Times New Roman"/>
          <w:szCs w:val="24"/>
        </w:rPr>
        <w:t xml:space="preserve"> </w:t>
      </w:r>
      <w:r w:rsidRPr="00AE1E0D">
        <w:rPr>
          <w:rFonts w:cs="Times New Roman"/>
          <w:szCs w:val="24"/>
        </w:rPr>
        <w:t>humanos</w:t>
      </w:r>
      <w:r w:rsidR="00D136BB">
        <w:rPr>
          <w:rFonts w:cs="Times New Roman"/>
          <w:szCs w:val="24"/>
        </w:rPr>
        <w:t xml:space="preserve"> </w:t>
      </w:r>
      <w:r w:rsidRPr="00AE1E0D">
        <w:rPr>
          <w:rFonts w:cs="Times New Roman"/>
          <w:szCs w:val="24"/>
        </w:rPr>
        <w:t>especialistas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renovación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mismos.</w:t>
      </w:r>
    </w:p>
    <w:p w14:paraId="0FEF036C" w14:textId="476FED79"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Los</w:t>
      </w:r>
      <w:r w:rsidR="00D136BB">
        <w:rPr>
          <w:rFonts w:cs="Times New Roman"/>
          <w:szCs w:val="24"/>
        </w:rPr>
        <w:t xml:space="preserve"> </w:t>
      </w:r>
      <w:r w:rsidRPr="00AE1E0D">
        <w:rPr>
          <w:rFonts w:cs="Times New Roman"/>
          <w:szCs w:val="24"/>
        </w:rPr>
        <w:t>conocimientos</w:t>
      </w:r>
      <w:r w:rsidR="00D136BB">
        <w:rPr>
          <w:rFonts w:cs="Times New Roman"/>
          <w:szCs w:val="24"/>
        </w:rPr>
        <w:t xml:space="preserve"> </w:t>
      </w:r>
      <w:r w:rsidRPr="00AE1E0D">
        <w:rPr>
          <w:rFonts w:cs="Times New Roman"/>
          <w:szCs w:val="24"/>
        </w:rPr>
        <w:t>adquiridos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cursos</w:t>
      </w:r>
      <w:r w:rsidR="00D136BB">
        <w:rPr>
          <w:rFonts w:cs="Times New Roman"/>
          <w:szCs w:val="24"/>
        </w:rPr>
        <w:t xml:space="preserve"> </w:t>
      </w:r>
      <w:r w:rsidRPr="00AE1E0D">
        <w:rPr>
          <w:rFonts w:cs="Times New Roman"/>
          <w:szCs w:val="24"/>
        </w:rPr>
        <w:t>específicos</w:t>
      </w:r>
      <w:r w:rsidR="00D136BB">
        <w:rPr>
          <w:rFonts w:cs="Times New Roman"/>
          <w:szCs w:val="24"/>
        </w:rPr>
        <w:t xml:space="preserve"> </w:t>
      </w:r>
      <w:r w:rsidRPr="00AE1E0D">
        <w:rPr>
          <w:rFonts w:cs="Times New Roman"/>
          <w:szCs w:val="24"/>
        </w:rPr>
        <w:t>impartidos</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organizaciones</w:t>
      </w:r>
      <w:r w:rsidR="00D136BB">
        <w:rPr>
          <w:rFonts w:cs="Times New Roman"/>
          <w:szCs w:val="24"/>
          <w:lang w:val="es-ES"/>
        </w:rPr>
        <w:t xml:space="preserve"> </w:t>
      </w:r>
      <w:r w:rsidRPr="00AE1E0D">
        <w:rPr>
          <w:rFonts w:cs="Times New Roman"/>
          <w:szCs w:val="24"/>
          <w:lang w:val="es-ES"/>
        </w:rPr>
        <w:t>internacionales,</w:t>
      </w:r>
      <w:r w:rsidR="00D136BB">
        <w:rPr>
          <w:rFonts w:cs="Times New Roman"/>
          <w:szCs w:val="24"/>
          <w:lang w:val="es-ES"/>
        </w:rPr>
        <w:t xml:space="preserve"> </w:t>
      </w:r>
      <w:r w:rsidRPr="00AE1E0D">
        <w:rPr>
          <w:rFonts w:cs="Times New Roman"/>
          <w:szCs w:val="24"/>
          <w:lang w:val="es-ES"/>
        </w:rPr>
        <w:t>en</w:t>
      </w:r>
      <w:r w:rsidR="00D136BB">
        <w:rPr>
          <w:rFonts w:cs="Times New Roman"/>
          <w:szCs w:val="24"/>
          <w:lang w:val="es-ES"/>
        </w:rPr>
        <w:t xml:space="preserve"> </w:t>
      </w:r>
      <w:r w:rsidRPr="00AE1E0D">
        <w:rPr>
          <w:rFonts w:cs="Times New Roman"/>
          <w:szCs w:val="24"/>
          <w:lang w:val="es-ES"/>
        </w:rPr>
        <w:t>algunos</w:t>
      </w:r>
      <w:r w:rsidR="00D136BB">
        <w:rPr>
          <w:rFonts w:cs="Times New Roman"/>
          <w:szCs w:val="24"/>
          <w:lang w:val="es-ES"/>
        </w:rPr>
        <w:t xml:space="preserve"> </w:t>
      </w:r>
      <w:r w:rsidRPr="00AE1E0D">
        <w:rPr>
          <w:rFonts w:cs="Times New Roman"/>
          <w:szCs w:val="24"/>
          <w:lang w:val="es-ES"/>
        </w:rPr>
        <w:t>casos,</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difunden</w:t>
      </w:r>
      <w:r w:rsidR="00D136BB">
        <w:rPr>
          <w:rFonts w:cs="Times New Roman"/>
          <w:szCs w:val="24"/>
        </w:rPr>
        <w:t xml:space="preserve"> </w:t>
      </w:r>
      <w:r w:rsidRPr="00AE1E0D">
        <w:rPr>
          <w:rFonts w:cs="Times New Roman"/>
          <w:szCs w:val="24"/>
        </w:rPr>
        <w:t>internamente</w:t>
      </w:r>
      <w:r w:rsidR="00D136BB">
        <w:rPr>
          <w:rFonts w:cs="Times New Roman"/>
          <w:szCs w:val="24"/>
        </w:rPr>
        <w:t xml:space="preserve"> </w:t>
      </w:r>
      <w:r w:rsidRPr="00AE1E0D">
        <w:rPr>
          <w:rFonts w:cs="Times New Roman"/>
          <w:szCs w:val="24"/>
        </w:rPr>
        <w:t>ni</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utilizan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capacitación</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nivel</w:t>
      </w:r>
      <w:r w:rsidR="00D136BB">
        <w:rPr>
          <w:rFonts w:cs="Times New Roman"/>
          <w:szCs w:val="24"/>
        </w:rPr>
        <w:t xml:space="preserve"> </w:t>
      </w:r>
      <w:r w:rsidRPr="00AE1E0D">
        <w:rPr>
          <w:rFonts w:cs="Times New Roman"/>
          <w:szCs w:val="24"/>
        </w:rPr>
        <w:t>nacional</w:t>
      </w:r>
      <w:r w:rsidRPr="00AE1E0D">
        <w:rPr>
          <w:rFonts w:cs="Times New Roman"/>
          <w:szCs w:val="24"/>
          <w:lang w:val="es-ES"/>
        </w:rPr>
        <w:t>.</w:t>
      </w:r>
    </w:p>
    <w:p w14:paraId="5F62FFB4" w14:textId="36BE33AF" w:rsidR="005D0292" w:rsidRPr="00AE1E0D" w:rsidRDefault="00E96B3A" w:rsidP="00BE3BCB">
      <w:pPr>
        <w:pStyle w:val="ListNumber"/>
        <w:numPr>
          <w:ilvl w:val="0"/>
          <w:numId w:val="41"/>
        </w:numPr>
        <w:ind w:left="567" w:hanging="425"/>
        <w:rPr>
          <w:rFonts w:cs="Times New Roman"/>
          <w:szCs w:val="24"/>
        </w:rPr>
      </w:pPr>
      <w:r>
        <w:rPr>
          <w:rFonts w:cs="Times New Roman"/>
          <w:szCs w:val="24"/>
        </w:rPr>
        <w:t>Insuficiente</w:t>
      </w:r>
      <w:r w:rsidR="00D136BB">
        <w:rPr>
          <w:rFonts w:cs="Times New Roman"/>
          <w:szCs w:val="24"/>
        </w:rPr>
        <w:t xml:space="preserve"> </w:t>
      </w:r>
      <w:r w:rsidR="005D0292" w:rsidRPr="00AE1E0D">
        <w:rPr>
          <w:rFonts w:cs="Times New Roman"/>
          <w:szCs w:val="24"/>
        </w:rPr>
        <w:t>concientización</w:t>
      </w:r>
      <w:r w:rsidR="00D136BB">
        <w:rPr>
          <w:rFonts w:cs="Times New Roman"/>
          <w:szCs w:val="24"/>
        </w:rPr>
        <w:t xml:space="preserve"> </w:t>
      </w:r>
      <w:r w:rsidR="005D0292" w:rsidRPr="00AE1E0D">
        <w:rPr>
          <w:rFonts w:cs="Times New Roman"/>
          <w:szCs w:val="24"/>
        </w:rPr>
        <w:t>para</w:t>
      </w:r>
      <w:r w:rsidR="00D136BB">
        <w:rPr>
          <w:rFonts w:cs="Times New Roman"/>
          <w:szCs w:val="24"/>
        </w:rPr>
        <w:t xml:space="preserve"> </w:t>
      </w:r>
      <w:r w:rsidR="005D0292" w:rsidRPr="00AE1E0D">
        <w:rPr>
          <w:rFonts w:cs="Times New Roman"/>
          <w:szCs w:val="24"/>
        </w:rPr>
        <w:t>los</w:t>
      </w:r>
      <w:r w:rsidR="00D136BB">
        <w:rPr>
          <w:rFonts w:cs="Times New Roman"/>
          <w:szCs w:val="24"/>
        </w:rPr>
        <w:t xml:space="preserve"> </w:t>
      </w:r>
      <w:r w:rsidR="005D0292" w:rsidRPr="00AE1E0D">
        <w:rPr>
          <w:rFonts w:cs="Times New Roman"/>
          <w:szCs w:val="24"/>
        </w:rPr>
        <w:t>temas</w:t>
      </w:r>
      <w:r w:rsidR="00D136BB">
        <w:rPr>
          <w:rFonts w:cs="Times New Roman"/>
          <w:szCs w:val="24"/>
        </w:rPr>
        <w:t xml:space="preserve"> </w:t>
      </w:r>
      <w:r w:rsidR="005D0292" w:rsidRPr="00AE1E0D">
        <w:rPr>
          <w:rFonts w:cs="Times New Roman"/>
          <w:szCs w:val="24"/>
        </w:rPr>
        <w:t>de</w:t>
      </w:r>
      <w:r w:rsidR="00D136BB">
        <w:rPr>
          <w:rFonts w:cs="Times New Roman"/>
          <w:szCs w:val="24"/>
        </w:rPr>
        <w:t xml:space="preserve"> </w:t>
      </w:r>
      <w:r w:rsidR="005D0292" w:rsidRPr="00AE1E0D">
        <w:rPr>
          <w:rFonts w:cs="Times New Roman"/>
          <w:szCs w:val="24"/>
        </w:rPr>
        <w:t>la</w:t>
      </w:r>
      <w:r w:rsidR="00D136BB">
        <w:rPr>
          <w:rFonts w:cs="Times New Roman"/>
          <w:szCs w:val="24"/>
        </w:rPr>
        <w:t xml:space="preserve"> </w:t>
      </w:r>
      <w:r w:rsidR="005D0292" w:rsidRPr="00AE1E0D">
        <w:rPr>
          <w:rFonts w:cs="Times New Roman"/>
          <w:szCs w:val="24"/>
        </w:rPr>
        <w:t>protección</w:t>
      </w:r>
      <w:r w:rsidR="00D136BB">
        <w:rPr>
          <w:rFonts w:cs="Times New Roman"/>
          <w:szCs w:val="24"/>
        </w:rPr>
        <w:t xml:space="preserve"> </w:t>
      </w:r>
      <w:r w:rsidR="005D0292" w:rsidRPr="00AE1E0D">
        <w:rPr>
          <w:rFonts w:cs="Times New Roman"/>
          <w:szCs w:val="24"/>
        </w:rPr>
        <w:t>radiológica</w:t>
      </w:r>
      <w:r w:rsidR="00D136BB">
        <w:rPr>
          <w:rFonts w:cs="Times New Roman"/>
          <w:szCs w:val="24"/>
        </w:rPr>
        <w:t xml:space="preserve"> </w:t>
      </w:r>
      <w:r w:rsidR="005D0292" w:rsidRPr="00AE1E0D">
        <w:rPr>
          <w:rFonts w:cs="Times New Roman"/>
          <w:szCs w:val="24"/>
        </w:rPr>
        <w:t>entre</w:t>
      </w:r>
      <w:r w:rsidR="00D136BB">
        <w:rPr>
          <w:rFonts w:cs="Times New Roman"/>
          <w:szCs w:val="24"/>
        </w:rPr>
        <w:t xml:space="preserve"> </w:t>
      </w:r>
      <w:r w:rsidR="005D0292" w:rsidRPr="00AE1E0D">
        <w:rPr>
          <w:rFonts w:cs="Times New Roman"/>
          <w:szCs w:val="24"/>
        </w:rPr>
        <w:t>los</w:t>
      </w:r>
      <w:r w:rsidR="00D136BB">
        <w:rPr>
          <w:rFonts w:cs="Times New Roman"/>
          <w:szCs w:val="24"/>
        </w:rPr>
        <w:t xml:space="preserve"> </w:t>
      </w:r>
      <w:r w:rsidR="005D0292" w:rsidRPr="00AE1E0D">
        <w:rPr>
          <w:rFonts w:cs="Times New Roman"/>
          <w:szCs w:val="24"/>
        </w:rPr>
        <w:t>profesionales</w:t>
      </w:r>
      <w:r w:rsidR="00D136BB">
        <w:rPr>
          <w:rFonts w:cs="Times New Roman"/>
          <w:szCs w:val="24"/>
        </w:rPr>
        <w:t xml:space="preserve"> </w:t>
      </w:r>
      <w:r w:rsidR="005D0292" w:rsidRPr="00AE1E0D">
        <w:rPr>
          <w:rFonts w:cs="Times New Roman"/>
          <w:szCs w:val="24"/>
        </w:rPr>
        <w:t>que</w:t>
      </w:r>
      <w:r w:rsidR="00D136BB">
        <w:rPr>
          <w:rFonts w:cs="Times New Roman"/>
          <w:szCs w:val="24"/>
        </w:rPr>
        <w:t xml:space="preserve"> </w:t>
      </w:r>
      <w:r w:rsidR="005D0292" w:rsidRPr="00AE1E0D">
        <w:rPr>
          <w:rFonts w:cs="Times New Roman"/>
          <w:szCs w:val="24"/>
        </w:rPr>
        <w:t>trabajan</w:t>
      </w:r>
      <w:r w:rsidR="00D136BB">
        <w:rPr>
          <w:rFonts w:cs="Times New Roman"/>
          <w:szCs w:val="24"/>
        </w:rPr>
        <w:t xml:space="preserve"> </w:t>
      </w:r>
      <w:r w:rsidR="005D0292" w:rsidRPr="00AE1E0D">
        <w:rPr>
          <w:rFonts w:cs="Times New Roman"/>
          <w:szCs w:val="24"/>
        </w:rPr>
        <w:t>con</w:t>
      </w:r>
      <w:r w:rsidR="00D136BB">
        <w:rPr>
          <w:rFonts w:cs="Times New Roman"/>
          <w:szCs w:val="24"/>
        </w:rPr>
        <w:t xml:space="preserve"> </w:t>
      </w:r>
      <w:r w:rsidR="005D0292" w:rsidRPr="00AE1E0D">
        <w:rPr>
          <w:rFonts w:cs="Times New Roman"/>
          <w:szCs w:val="24"/>
        </w:rPr>
        <w:t>radiaciones</w:t>
      </w:r>
      <w:r w:rsidR="00D136BB">
        <w:rPr>
          <w:rFonts w:cs="Times New Roman"/>
          <w:szCs w:val="24"/>
        </w:rPr>
        <w:t xml:space="preserve"> </w:t>
      </w:r>
      <w:r w:rsidR="005D0292" w:rsidRPr="00AE1E0D">
        <w:rPr>
          <w:rFonts w:cs="Times New Roman"/>
          <w:szCs w:val="24"/>
        </w:rPr>
        <w:t>ionizantes</w:t>
      </w:r>
      <w:r w:rsidR="00D136BB">
        <w:rPr>
          <w:rFonts w:cs="Times New Roman"/>
          <w:szCs w:val="24"/>
        </w:rPr>
        <w:t xml:space="preserve"> </w:t>
      </w:r>
      <w:r w:rsidR="005D0292" w:rsidRPr="00AE1E0D">
        <w:rPr>
          <w:rFonts w:cs="Times New Roman"/>
          <w:szCs w:val="24"/>
        </w:rPr>
        <w:t>y</w:t>
      </w:r>
      <w:r w:rsidR="00D136BB">
        <w:rPr>
          <w:rFonts w:cs="Times New Roman"/>
          <w:szCs w:val="24"/>
        </w:rPr>
        <w:t xml:space="preserve"> </w:t>
      </w:r>
      <w:r>
        <w:rPr>
          <w:rFonts w:cs="Times New Roman"/>
          <w:szCs w:val="24"/>
        </w:rPr>
        <w:t>falta</w:t>
      </w:r>
      <w:r w:rsidR="00D136BB">
        <w:rPr>
          <w:rFonts w:cs="Times New Roman"/>
          <w:szCs w:val="24"/>
        </w:rPr>
        <w:t xml:space="preserve"> </w:t>
      </w:r>
      <w:r>
        <w:rPr>
          <w:rFonts w:cs="Times New Roman"/>
          <w:szCs w:val="24"/>
        </w:rPr>
        <w:t>de</w:t>
      </w:r>
      <w:r w:rsidR="00D136BB">
        <w:rPr>
          <w:rFonts w:cs="Times New Roman"/>
          <w:szCs w:val="24"/>
        </w:rPr>
        <w:t xml:space="preserve"> </w:t>
      </w:r>
      <w:r>
        <w:rPr>
          <w:rFonts w:cs="Times New Roman"/>
          <w:szCs w:val="24"/>
        </w:rPr>
        <w:t>información</w:t>
      </w:r>
      <w:r w:rsidR="00D136BB">
        <w:rPr>
          <w:rFonts w:cs="Times New Roman"/>
          <w:szCs w:val="24"/>
        </w:rPr>
        <w:t xml:space="preserve"> </w:t>
      </w:r>
      <w:r>
        <w:rPr>
          <w:rFonts w:cs="Times New Roman"/>
          <w:szCs w:val="24"/>
        </w:rPr>
        <w:t>al</w:t>
      </w:r>
      <w:r w:rsidR="00D136BB">
        <w:rPr>
          <w:rFonts w:cs="Times New Roman"/>
          <w:szCs w:val="24"/>
        </w:rPr>
        <w:t xml:space="preserve"> </w:t>
      </w:r>
      <w:r w:rsidR="005D0292" w:rsidRPr="00AE1E0D">
        <w:rPr>
          <w:rFonts w:cs="Times New Roman"/>
          <w:szCs w:val="24"/>
        </w:rPr>
        <w:t>público</w:t>
      </w:r>
      <w:r w:rsidR="00D136BB">
        <w:rPr>
          <w:rFonts w:cs="Times New Roman"/>
          <w:szCs w:val="24"/>
        </w:rPr>
        <w:t xml:space="preserve"> </w:t>
      </w:r>
      <w:r w:rsidR="005D0292" w:rsidRPr="00AE1E0D">
        <w:rPr>
          <w:rFonts w:cs="Times New Roman"/>
          <w:szCs w:val="24"/>
        </w:rPr>
        <w:t>en</w:t>
      </w:r>
      <w:r w:rsidR="00D136BB">
        <w:rPr>
          <w:rFonts w:cs="Times New Roman"/>
          <w:szCs w:val="24"/>
        </w:rPr>
        <w:t xml:space="preserve"> </w:t>
      </w:r>
      <w:r w:rsidR="005D0292" w:rsidRPr="00AE1E0D">
        <w:rPr>
          <w:rFonts w:cs="Times New Roman"/>
          <w:szCs w:val="24"/>
        </w:rPr>
        <w:t>general.</w:t>
      </w:r>
    </w:p>
    <w:p w14:paraId="73F88271" w14:textId="5F803E3B"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Inexistencia</w:t>
      </w:r>
      <w:r w:rsidR="00D136BB">
        <w:rPr>
          <w:rFonts w:cs="Times New Roman"/>
          <w:szCs w:val="24"/>
        </w:rPr>
        <w:t xml:space="preserve"> </w:t>
      </w:r>
      <w:r w:rsidRPr="00AE1E0D">
        <w:rPr>
          <w:rFonts w:cs="Times New Roman"/>
          <w:szCs w:val="24"/>
        </w:rPr>
        <w:t>o</w:t>
      </w:r>
      <w:r w:rsidR="00D136BB">
        <w:rPr>
          <w:rFonts w:cs="Times New Roman"/>
          <w:szCs w:val="24"/>
        </w:rPr>
        <w:t xml:space="preserve"> </w:t>
      </w:r>
      <w:r w:rsidRPr="00AE1E0D">
        <w:rPr>
          <w:rFonts w:cs="Times New Roman"/>
          <w:szCs w:val="24"/>
        </w:rPr>
        <w:t>poca</w:t>
      </w:r>
      <w:r w:rsidR="00D136BB">
        <w:rPr>
          <w:rFonts w:cs="Times New Roman"/>
          <w:szCs w:val="24"/>
        </w:rPr>
        <w:t xml:space="preserve"> </w:t>
      </w:r>
      <w:r w:rsidRPr="00AE1E0D">
        <w:rPr>
          <w:rFonts w:cs="Times New Roman"/>
          <w:szCs w:val="24"/>
        </w:rPr>
        <w:t>difusión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Pr="00AE1E0D">
        <w:rPr>
          <w:rFonts w:cs="Times New Roman"/>
          <w:szCs w:val="24"/>
        </w:rPr>
        <w:t>formales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desarrollo</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fomento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cultura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parte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usuarios</w:t>
      </w:r>
      <w:r w:rsidR="00E96B3A">
        <w:rPr>
          <w:rFonts w:cs="Times New Roman"/>
          <w:szCs w:val="24"/>
        </w:rPr>
        <w:t>,</w:t>
      </w:r>
      <w:r w:rsidR="00D136BB">
        <w:rPr>
          <w:rFonts w:cs="Times New Roman"/>
          <w:szCs w:val="24"/>
        </w:rPr>
        <w:t xml:space="preserve"> </w:t>
      </w:r>
      <w:r w:rsidR="00E96B3A">
        <w:rPr>
          <w:rFonts w:cs="Times New Roman"/>
          <w:szCs w:val="24"/>
        </w:rPr>
        <w:t>servicios</w:t>
      </w:r>
      <w:r w:rsidR="00D136BB">
        <w:rPr>
          <w:rFonts w:cs="Times New Roman"/>
          <w:szCs w:val="24"/>
        </w:rPr>
        <w:t xml:space="preserve"> </w:t>
      </w:r>
      <w:r w:rsidR="00E96B3A">
        <w:rPr>
          <w:rFonts w:cs="Times New Roman"/>
          <w:szCs w:val="24"/>
        </w:rPr>
        <w:t>de</w:t>
      </w:r>
      <w:r w:rsidR="00D136BB">
        <w:rPr>
          <w:rFonts w:cs="Times New Roman"/>
          <w:szCs w:val="24"/>
        </w:rPr>
        <w:t xml:space="preserve"> </w:t>
      </w:r>
      <w:r w:rsidR="00E96B3A">
        <w:rPr>
          <w:rFonts w:cs="Times New Roman"/>
          <w:szCs w:val="24"/>
        </w:rPr>
        <w:t>apoyo</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reguladores.</w:t>
      </w:r>
    </w:p>
    <w:p w14:paraId="1FB11207" w14:textId="378032FD"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Dependencia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apoyo,</w:t>
      </w:r>
      <w:r w:rsidR="00D136BB">
        <w:rPr>
          <w:rFonts w:cs="Times New Roman"/>
          <w:szCs w:val="24"/>
        </w:rPr>
        <w:t xml:space="preserve"> </w:t>
      </w:r>
      <w:r w:rsidRPr="00AE1E0D">
        <w:rPr>
          <w:rFonts w:cs="Times New Roman"/>
          <w:szCs w:val="24"/>
        </w:rPr>
        <w:t>recursos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organizaciones</w:t>
      </w:r>
      <w:r w:rsidR="00D136BB">
        <w:rPr>
          <w:rFonts w:cs="Times New Roman"/>
          <w:szCs w:val="24"/>
        </w:rPr>
        <w:t xml:space="preserve"> </w:t>
      </w:r>
      <w:r w:rsidRPr="00AE1E0D">
        <w:rPr>
          <w:rFonts w:cs="Times New Roman"/>
          <w:szCs w:val="24"/>
        </w:rPr>
        <w:t>internacionales,</w:t>
      </w:r>
      <w:r w:rsidR="00D136BB">
        <w:rPr>
          <w:rFonts w:cs="Times New Roman"/>
          <w:szCs w:val="24"/>
        </w:rPr>
        <w:t xml:space="preserve"> </w:t>
      </w:r>
      <w:r w:rsidRPr="00AE1E0D">
        <w:rPr>
          <w:rFonts w:cs="Times New Roman"/>
          <w:szCs w:val="24"/>
        </w:rPr>
        <w:t>especialmente</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OIEA,</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formación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adquisición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equipamiento.</w:t>
      </w:r>
    </w:p>
    <w:p w14:paraId="5ED1330E" w14:textId="26DA33F6" w:rsidR="00E96B3A" w:rsidRPr="00E96B3A" w:rsidRDefault="00D136BB" w:rsidP="00E96B3A">
      <w:pPr>
        <w:pStyle w:val="ListParagraph"/>
        <w:numPr>
          <w:ilvl w:val="0"/>
          <w:numId w:val="41"/>
        </w:numPr>
        <w:ind w:left="567" w:hanging="425"/>
        <w:rPr>
          <w:rFonts w:ascii="Times New Roman" w:hAnsi="Times New Roman" w:cs="Times New Roman"/>
          <w:sz w:val="24"/>
          <w:szCs w:val="24"/>
          <w:lang w:val="es-CL"/>
        </w:rPr>
      </w:pP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Limitado</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uso</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las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herramientas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desarrolladas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por</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OIEA</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para</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la</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evaluación</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la</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efectividad</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los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programas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regulatorios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y</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sistemas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monitorización.</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Escasa</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claridad</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a</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nivel</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gubernamental</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respecto</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del</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significado,</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necesidad</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y</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alcance</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las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políticas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y</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estrategias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nacionales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para</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la</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gestión</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los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desechos</w:t>
      </w:r>
      <w:r>
        <w:rPr>
          <w:rFonts w:ascii="Times New Roman" w:hAnsi="Times New Roman" w:cs="Times New Roman"/>
          <w:sz w:val="24"/>
          <w:szCs w:val="24"/>
          <w:lang w:val="es-CL"/>
        </w:rPr>
        <w:t xml:space="preserve"> </w:t>
      </w:r>
      <w:r w:rsidR="00E96B3A" w:rsidRPr="00E96B3A">
        <w:rPr>
          <w:rFonts w:ascii="Times New Roman" w:hAnsi="Times New Roman" w:cs="Times New Roman"/>
          <w:sz w:val="24"/>
          <w:szCs w:val="24"/>
          <w:lang w:val="es-CL"/>
        </w:rPr>
        <w:t>radiactivos.</w:t>
      </w:r>
    </w:p>
    <w:p w14:paraId="06A093AE" w14:textId="1993BE0A"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Insuficiente</w:t>
      </w:r>
      <w:r w:rsidR="00D136BB">
        <w:rPr>
          <w:rFonts w:cs="Times New Roman"/>
          <w:szCs w:val="24"/>
        </w:rPr>
        <w:t xml:space="preserve"> </w:t>
      </w:r>
      <w:r w:rsidRPr="00AE1E0D">
        <w:rPr>
          <w:rFonts w:cs="Times New Roman"/>
          <w:szCs w:val="24"/>
        </w:rPr>
        <w:t>información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consulta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partes</w:t>
      </w:r>
      <w:r w:rsidR="00D136BB">
        <w:rPr>
          <w:rFonts w:cs="Times New Roman"/>
          <w:szCs w:val="24"/>
        </w:rPr>
        <w:t xml:space="preserve"> </w:t>
      </w:r>
      <w:r w:rsidRPr="00AE1E0D">
        <w:rPr>
          <w:rFonts w:cs="Times New Roman"/>
          <w:szCs w:val="24"/>
        </w:rPr>
        <w:t>interesadas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al</w:t>
      </w:r>
      <w:r w:rsidR="00D136BB">
        <w:rPr>
          <w:rFonts w:cs="Times New Roman"/>
          <w:szCs w:val="24"/>
        </w:rPr>
        <w:t xml:space="preserve"> </w:t>
      </w:r>
      <w:r w:rsidRPr="00AE1E0D">
        <w:rPr>
          <w:rFonts w:cs="Times New Roman"/>
          <w:szCs w:val="24"/>
        </w:rPr>
        <w:t>público</w:t>
      </w:r>
      <w:r w:rsidR="00D136BB">
        <w:rPr>
          <w:rFonts w:cs="Times New Roman"/>
          <w:szCs w:val="24"/>
        </w:rPr>
        <w:t xml:space="preserve"> </w:t>
      </w:r>
      <w:r w:rsidRPr="00AE1E0D">
        <w:rPr>
          <w:rFonts w:cs="Times New Roman"/>
          <w:szCs w:val="24"/>
        </w:rPr>
        <w:t>sobre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posibles</w:t>
      </w:r>
      <w:r w:rsidR="00D136BB">
        <w:rPr>
          <w:rFonts w:cs="Times New Roman"/>
          <w:szCs w:val="24"/>
        </w:rPr>
        <w:t xml:space="preserve"> </w:t>
      </w:r>
      <w:r w:rsidRPr="00AE1E0D">
        <w:rPr>
          <w:rFonts w:cs="Times New Roman"/>
          <w:szCs w:val="24"/>
        </w:rPr>
        <w:t>riesgos</w:t>
      </w:r>
      <w:r w:rsidR="00D136BB">
        <w:rPr>
          <w:rFonts w:cs="Times New Roman"/>
          <w:szCs w:val="24"/>
        </w:rPr>
        <w:t xml:space="preserve"> </w:t>
      </w:r>
      <w:r w:rsidRPr="00AE1E0D">
        <w:rPr>
          <w:rFonts w:cs="Times New Roman"/>
          <w:szCs w:val="24"/>
        </w:rPr>
        <w:t>radiológicos</w:t>
      </w:r>
      <w:r w:rsidR="00D136BB">
        <w:rPr>
          <w:rFonts w:cs="Times New Roman"/>
          <w:szCs w:val="24"/>
        </w:rPr>
        <w:t xml:space="preserve"> </w:t>
      </w:r>
      <w:r w:rsidRPr="00AE1E0D">
        <w:rPr>
          <w:rFonts w:cs="Times New Roman"/>
          <w:szCs w:val="24"/>
        </w:rPr>
        <w:t>asociados</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instalaciones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actividades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sobre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procesos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decisiones</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órgano</w:t>
      </w:r>
      <w:r w:rsidR="00D136BB">
        <w:rPr>
          <w:rFonts w:cs="Times New Roman"/>
          <w:szCs w:val="24"/>
        </w:rPr>
        <w:t xml:space="preserve"> </w:t>
      </w:r>
      <w:r w:rsidRPr="00AE1E0D">
        <w:rPr>
          <w:rFonts w:cs="Times New Roman"/>
          <w:szCs w:val="24"/>
        </w:rPr>
        <w:t>regulador.</w:t>
      </w:r>
    </w:p>
    <w:p w14:paraId="594E1CE7" w14:textId="2B8F2658"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Insuficiente</w:t>
      </w:r>
      <w:r w:rsidR="00D136BB">
        <w:rPr>
          <w:rFonts w:cs="Times New Roman"/>
          <w:szCs w:val="24"/>
        </w:rPr>
        <w:t xml:space="preserve"> </w:t>
      </w:r>
      <w:r w:rsidRPr="00AE1E0D">
        <w:rPr>
          <w:rFonts w:cs="Times New Roman"/>
          <w:szCs w:val="24"/>
        </w:rPr>
        <w:t>cobertura</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control</w:t>
      </w:r>
      <w:r w:rsidR="00D136BB">
        <w:rPr>
          <w:rFonts w:cs="Times New Roman"/>
          <w:szCs w:val="24"/>
        </w:rPr>
        <w:t xml:space="preserve"> </w:t>
      </w:r>
      <w:r w:rsidRPr="00AE1E0D">
        <w:rPr>
          <w:rFonts w:cs="Times New Roman"/>
          <w:szCs w:val="24"/>
        </w:rPr>
        <w:t>regulatorio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transporte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material</w:t>
      </w:r>
      <w:r w:rsidR="00D136BB">
        <w:rPr>
          <w:rFonts w:cs="Times New Roman"/>
          <w:szCs w:val="24"/>
        </w:rPr>
        <w:t xml:space="preserve"> </w:t>
      </w:r>
      <w:r w:rsidRPr="00AE1E0D">
        <w:rPr>
          <w:rFonts w:cs="Times New Roman"/>
          <w:szCs w:val="24"/>
        </w:rPr>
        <w:t>radiactivo,</w:t>
      </w:r>
      <w:r w:rsidR="00D136BB">
        <w:rPr>
          <w:rFonts w:cs="Times New Roman"/>
          <w:szCs w:val="24"/>
        </w:rPr>
        <w:t xml:space="preserve"> </w:t>
      </w:r>
      <w:r w:rsidRPr="00AE1E0D">
        <w:rPr>
          <w:rFonts w:cs="Times New Roman"/>
          <w:szCs w:val="24"/>
        </w:rPr>
        <w:t>cuando</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material</w:t>
      </w:r>
      <w:r w:rsidR="00D136BB">
        <w:rPr>
          <w:rFonts w:cs="Times New Roman"/>
          <w:szCs w:val="24"/>
        </w:rPr>
        <w:t xml:space="preserve"> </w:t>
      </w:r>
      <w:r w:rsidRPr="00AE1E0D">
        <w:rPr>
          <w:rFonts w:cs="Times New Roman"/>
          <w:szCs w:val="24"/>
        </w:rPr>
        <w:t>radiactivo</w:t>
      </w:r>
      <w:r w:rsidR="00D136BB">
        <w:rPr>
          <w:rFonts w:cs="Times New Roman"/>
          <w:szCs w:val="24"/>
        </w:rPr>
        <w:t xml:space="preserve"> </w:t>
      </w:r>
      <w:r w:rsidRPr="00AE1E0D">
        <w:rPr>
          <w:rFonts w:cs="Times New Roman"/>
          <w:szCs w:val="24"/>
        </w:rPr>
        <w:t>es</w:t>
      </w:r>
      <w:r w:rsidR="00D136BB">
        <w:rPr>
          <w:rFonts w:cs="Times New Roman"/>
          <w:szCs w:val="24"/>
        </w:rPr>
        <w:t xml:space="preserve"> </w:t>
      </w:r>
      <w:r w:rsidRPr="00AE1E0D">
        <w:rPr>
          <w:rFonts w:cs="Times New Roman"/>
          <w:szCs w:val="24"/>
        </w:rPr>
        <w:t>más</w:t>
      </w:r>
      <w:r w:rsidR="00D136BB">
        <w:rPr>
          <w:rFonts w:cs="Times New Roman"/>
          <w:szCs w:val="24"/>
        </w:rPr>
        <w:t xml:space="preserve"> </w:t>
      </w:r>
      <w:r w:rsidRPr="00AE1E0D">
        <w:rPr>
          <w:rFonts w:cs="Times New Roman"/>
          <w:szCs w:val="24"/>
        </w:rPr>
        <w:t>vulnerable</w:t>
      </w:r>
      <w:r w:rsidR="00D136BB">
        <w:rPr>
          <w:rFonts w:cs="Times New Roman"/>
          <w:szCs w:val="24"/>
        </w:rPr>
        <w:t xml:space="preserve"> </w:t>
      </w:r>
      <w:r w:rsidRPr="00AE1E0D">
        <w:rPr>
          <w:rFonts w:cs="Times New Roman"/>
          <w:szCs w:val="24"/>
        </w:rPr>
        <w:t>porque</w:t>
      </w:r>
      <w:r w:rsidR="00D136BB">
        <w:rPr>
          <w:rFonts w:cs="Times New Roman"/>
          <w:szCs w:val="24"/>
        </w:rPr>
        <w:t xml:space="preserve"> </w:t>
      </w:r>
      <w:r w:rsidRPr="00AE1E0D">
        <w:rPr>
          <w:rFonts w:cs="Times New Roman"/>
          <w:szCs w:val="24"/>
        </w:rPr>
        <w:t>se</w:t>
      </w:r>
      <w:r w:rsidR="00D136BB">
        <w:rPr>
          <w:rFonts w:cs="Times New Roman"/>
          <w:szCs w:val="24"/>
        </w:rPr>
        <w:t xml:space="preserve"> </w:t>
      </w:r>
      <w:r w:rsidRPr="00AE1E0D">
        <w:rPr>
          <w:rFonts w:cs="Times New Roman"/>
          <w:szCs w:val="24"/>
        </w:rPr>
        <w:t>encuentra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dominio</w:t>
      </w:r>
      <w:r w:rsidR="00D136BB">
        <w:rPr>
          <w:rFonts w:cs="Times New Roman"/>
          <w:szCs w:val="24"/>
        </w:rPr>
        <w:t xml:space="preserve"> </w:t>
      </w:r>
      <w:r w:rsidRPr="00AE1E0D">
        <w:rPr>
          <w:rFonts w:cs="Times New Roman"/>
          <w:szCs w:val="24"/>
        </w:rPr>
        <w:t>público,</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incumplimiento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requisitos</w:t>
      </w:r>
      <w:r w:rsidR="00D136BB">
        <w:rPr>
          <w:rFonts w:cs="Times New Roman"/>
          <w:szCs w:val="24"/>
        </w:rPr>
        <w:t xml:space="preserve"> </w:t>
      </w:r>
      <w:r w:rsidRPr="00AE1E0D">
        <w:rPr>
          <w:rFonts w:cs="Times New Roman"/>
          <w:szCs w:val="24"/>
        </w:rPr>
        <w:t>afectaría</w:t>
      </w:r>
      <w:r w:rsidR="00D136BB">
        <w:rPr>
          <w:rFonts w:cs="Times New Roman"/>
          <w:szCs w:val="24"/>
        </w:rPr>
        <w:t xml:space="preserve"> </w:t>
      </w:r>
      <w:r w:rsidRPr="00AE1E0D">
        <w:rPr>
          <w:rFonts w:cs="Times New Roman"/>
          <w:szCs w:val="24"/>
        </w:rPr>
        <w:t>tanto</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trabajadores</w:t>
      </w:r>
      <w:r w:rsidR="00D136BB">
        <w:rPr>
          <w:rFonts w:cs="Times New Roman"/>
          <w:szCs w:val="24"/>
        </w:rPr>
        <w:t xml:space="preserve"> </w:t>
      </w:r>
      <w:r w:rsidRPr="00AE1E0D">
        <w:rPr>
          <w:rFonts w:cs="Times New Roman"/>
          <w:szCs w:val="24"/>
        </w:rPr>
        <w:t>como</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público.</w:t>
      </w:r>
    </w:p>
    <w:p w14:paraId="24B7A795" w14:textId="224C8F94"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Deficiente</w:t>
      </w:r>
      <w:r w:rsidR="00D136BB">
        <w:rPr>
          <w:rFonts w:cs="Times New Roman"/>
          <w:szCs w:val="24"/>
        </w:rPr>
        <w:t xml:space="preserve"> </w:t>
      </w:r>
      <w:r w:rsidRPr="00AE1E0D">
        <w:rPr>
          <w:rFonts w:cs="Times New Roman"/>
          <w:szCs w:val="24"/>
        </w:rPr>
        <w:t>información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existencia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NORM</w:t>
      </w:r>
      <w:r w:rsidR="00D136BB">
        <w:rPr>
          <w:rFonts w:cs="Times New Roman"/>
          <w:szCs w:val="24"/>
        </w:rPr>
        <w:t xml:space="preserve"> </w:t>
      </w:r>
      <w:r w:rsidRPr="00AE1E0D">
        <w:rPr>
          <w:rFonts w:cs="Times New Roman"/>
          <w:szCs w:val="24"/>
        </w:rPr>
        <w:t>e</w:t>
      </w:r>
      <w:r w:rsidR="00D136BB">
        <w:rPr>
          <w:rFonts w:cs="Times New Roman"/>
          <w:szCs w:val="24"/>
        </w:rPr>
        <w:t xml:space="preserve"> </w:t>
      </w:r>
      <w:r w:rsidRPr="00AE1E0D">
        <w:rPr>
          <w:rFonts w:cs="Times New Roman"/>
          <w:szCs w:val="24"/>
        </w:rPr>
        <w:t>identificación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situaciones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exposición</w:t>
      </w:r>
      <w:r w:rsidR="00D136BB">
        <w:rPr>
          <w:rFonts w:cs="Times New Roman"/>
          <w:szCs w:val="24"/>
        </w:rPr>
        <w:t xml:space="preserve"> </w:t>
      </w:r>
      <w:r w:rsidRPr="00AE1E0D">
        <w:rPr>
          <w:rFonts w:cs="Times New Roman"/>
          <w:szCs w:val="24"/>
        </w:rPr>
        <w:t>existentes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p>
    <w:p w14:paraId="34A4B48E" w14:textId="3F687128"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Insuficientes</w:t>
      </w:r>
      <w:r w:rsidR="00D136BB">
        <w:rPr>
          <w:rFonts w:cs="Times New Roman"/>
          <w:szCs w:val="24"/>
        </w:rPr>
        <w:t xml:space="preserve"> </w:t>
      </w:r>
      <w:r w:rsidRPr="00AE1E0D">
        <w:rPr>
          <w:rFonts w:cs="Times New Roman"/>
          <w:szCs w:val="24"/>
        </w:rPr>
        <w:t>medios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detección</w:t>
      </w:r>
      <w:r w:rsidR="00D136BB">
        <w:rPr>
          <w:rFonts w:cs="Times New Roman"/>
          <w:szCs w:val="24"/>
        </w:rPr>
        <w:t xml:space="preserve"> </w:t>
      </w:r>
      <w:r w:rsidRPr="00AE1E0D">
        <w:rPr>
          <w:rFonts w:cs="Times New Roman"/>
          <w:szCs w:val="24"/>
        </w:rPr>
        <w:t>oportuna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control</w:t>
      </w:r>
      <w:r w:rsidR="00D136BB">
        <w:rPr>
          <w:rFonts w:cs="Times New Roman"/>
          <w:szCs w:val="24"/>
        </w:rPr>
        <w:t xml:space="preserve"> </w:t>
      </w:r>
      <w:r w:rsidRPr="00AE1E0D">
        <w:rPr>
          <w:rFonts w:cs="Times New Roman"/>
          <w:szCs w:val="24"/>
        </w:rPr>
        <w:t>sobre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materiales</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ser</w:t>
      </w:r>
      <w:r w:rsidR="00D136BB">
        <w:rPr>
          <w:rFonts w:cs="Times New Roman"/>
          <w:szCs w:val="24"/>
        </w:rPr>
        <w:t xml:space="preserve"> </w:t>
      </w:r>
      <w:r w:rsidRPr="00AE1E0D">
        <w:rPr>
          <w:rFonts w:cs="Times New Roman"/>
          <w:szCs w:val="24"/>
        </w:rPr>
        <w:t>reciclados</w:t>
      </w:r>
      <w:r w:rsidR="00D136BB">
        <w:rPr>
          <w:rFonts w:cs="Times New Roman"/>
          <w:szCs w:val="24"/>
        </w:rPr>
        <w:t xml:space="preserve"> </w:t>
      </w:r>
      <w:r w:rsidRPr="00AE1E0D">
        <w:rPr>
          <w:rFonts w:cs="Times New Roman"/>
          <w:szCs w:val="24"/>
        </w:rPr>
        <w:t>(fuentes</w:t>
      </w:r>
      <w:r w:rsidR="00D136BB">
        <w:rPr>
          <w:rFonts w:cs="Times New Roman"/>
          <w:szCs w:val="24"/>
        </w:rPr>
        <w:t xml:space="preserve"> </w:t>
      </w:r>
      <w:r w:rsidRPr="00AE1E0D">
        <w:rPr>
          <w:rFonts w:cs="Times New Roman"/>
          <w:szCs w:val="24"/>
        </w:rPr>
        <w:t>huérfanas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chatarra)</w:t>
      </w:r>
    </w:p>
    <w:p w14:paraId="2DAF729F" w14:textId="587BCFB6"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Limitado</w:t>
      </w:r>
      <w:r w:rsidR="00D136BB">
        <w:rPr>
          <w:rFonts w:cs="Times New Roman"/>
          <w:szCs w:val="24"/>
        </w:rPr>
        <w:t xml:space="preserve"> </w:t>
      </w:r>
      <w:r w:rsidRPr="00AE1E0D">
        <w:rPr>
          <w:rFonts w:cs="Times New Roman"/>
          <w:szCs w:val="24"/>
        </w:rPr>
        <w:t>uso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reporte</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incidentes.</w:t>
      </w:r>
    </w:p>
    <w:p w14:paraId="3ECCF8BB" w14:textId="0AD8A7CF"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Escasos</w:t>
      </w:r>
      <w:r w:rsidR="00D136BB">
        <w:rPr>
          <w:rFonts w:cs="Times New Roman"/>
          <w:szCs w:val="24"/>
        </w:rPr>
        <w:t xml:space="preserve"> </w:t>
      </w:r>
      <w:r w:rsidRPr="00AE1E0D">
        <w:rPr>
          <w:rFonts w:cs="Times New Roman"/>
          <w:szCs w:val="24"/>
        </w:rPr>
        <w:t>sistemas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notificación</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coordinación</w:t>
      </w:r>
      <w:r w:rsidR="00D136BB">
        <w:rPr>
          <w:rFonts w:cs="Times New Roman"/>
          <w:szCs w:val="24"/>
        </w:rPr>
        <w:t xml:space="preserve"> </w:t>
      </w:r>
      <w:r w:rsidRPr="00AE1E0D">
        <w:rPr>
          <w:rFonts w:cs="Times New Roman"/>
          <w:szCs w:val="24"/>
        </w:rPr>
        <w:t>protocolizada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organizaciones</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deben</w:t>
      </w:r>
      <w:r w:rsidR="00D136BB">
        <w:rPr>
          <w:rFonts w:cs="Times New Roman"/>
          <w:szCs w:val="24"/>
        </w:rPr>
        <w:t xml:space="preserve"> </w:t>
      </w:r>
      <w:r w:rsidRPr="00AE1E0D">
        <w:rPr>
          <w:rFonts w:cs="Times New Roman"/>
          <w:szCs w:val="24"/>
        </w:rPr>
        <w:t>estar</w:t>
      </w:r>
      <w:r w:rsidR="00D136BB">
        <w:rPr>
          <w:rFonts w:cs="Times New Roman"/>
          <w:szCs w:val="24"/>
        </w:rPr>
        <w:t xml:space="preserve"> </w:t>
      </w:r>
      <w:r w:rsidRPr="00AE1E0D">
        <w:rPr>
          <w:rFonts w:cs="Times New Roman"/>
          <w:szCs w:val="24"/>
        </w:rPr>
        <w:t>involucradas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respuesta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emergencia.</w:t>
      </w:r>
    </w:p>
    <w:p w14:paraId="586EF5E6" w14:textId="633BE13F"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Carencia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evaluación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amenazas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mayoría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planificación</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respuesta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radiológicas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nucleares.</w:t>
      </w:r>
    </w:p>
    <w:p w14:paraId="2A9422ED" w14:textId="5F40A388" w:rsidR="00F9332F" w:rsidRPr="00F9332F" w:rsidRDefault="00D136BB" w:rsidP="00F9332F">
      <w:pPr>
        <w:pStyle w:val="ListParagraph"/>
        <w:numPr>
          <w:ilvl w:val="0"/>
          <w:numId w:val="41"/>
        </w:numPr>
        <w:ind w:left="567" w:hanging="425"/>
        <w:rPr>
          <w:rFonts w:ascii="Times New Roman" w:hAnsi="Times New Roman" w:cs="Times New Roman"/>
          <w:sz w:val="24"/>
          <w:szCs w:val="24"/>
          <w:lang w:val="es-CL"/>
        </w:rPr>
      </w:pP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No</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existe,</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en</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la</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mayoría</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los</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países,</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una</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estrategia</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nacional</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educación</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y</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capacitación</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en</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seguridad</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radiológica</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aprobada</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e</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implementada</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que</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cubra</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las</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diferentes</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categorías</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personal</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y</w:t>
      </w:r>
      <w:r>
        <w:rPr>
          <w:rFonts w:ascii="Times New Roman" w:hAnsi="Times New Roman" w:cs="Times New Roman"/>
          <w:sz w:val="24"/>
          <w:szCs w:val="24"/>
          <w:lang w:val="es-CL"/>
        </w:rPr>
        <w:t xml:space="preserve"> </w:t>
      </w:r>
      <w:r w:rsidR="00F9332F" w:rsidRPr="00F9332F">
        <w:rPr>
          <w:rFonts w:ascii="Times New Roman" w:hAnsi="Times New Roman" w:cs="Times New Roman"/>
          <w:sz w:val="24"/>
          <w:szCs w:val="24"/>
          <w:lang w:val="es-CL"/>
        </w:rPr>
        <w:t>prácticas.</w:t>
      </w:r>
    </w:p>
    <w:p w14:paraId="27BBEE12" w14:textId="428C5028" w:rsidR="005D0292" w:rsidRPr="00AE1E0D" w:rsidRDefault="005D0292" w:rsidP="00BE3BCB">
      <w:pPr>
        <w:pStyle w:val="ListNumber"/>
        <w:numPr>
          <w:ilvl w:val="0"/>
          <w:numId w:val="41"/>
        </w:numPr>
        <w:ind w:left="567" w:hanging="425"/>
        <w:rPr>
          <w:rFonts w:cs="Times New Roman"/>
          <w:szCs w:val="24"/>
        </w:rPr>
      </w:pPr>
      <w:r w:rsidRPr="00AE1E0D">
        <w:rPr>
          <w:rFonts w:cs="Times New Roman"/>
          <w:szCs w:val="24"/>
        </w:rPr>
        <w:t>Falta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coordinación</w:t>
      </w:r>
      <w:r w:rsidR="00D136BB">
        <w:rPr>
          <w:rFonts w:cs="Times New Roman"/>
          <w:szCs w:val="24"/>
        </w:rPr>
        <w:t xml:space="preserve"> </w:t>
      </w:r>
      <w:r w:rsidRPr="00AE1E0D">
        <w:rPr>
          <w:rFonts w:cs="Times New Roman"/>
          <w:szCs w:val="24"/>
        </w:rPr>
        <w:t>entre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reguladores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envíos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internacionales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material</w:t>
      </w:r>
      <w:r w:rsidR="00D136BB">
        <w:rPr>
          <w:rFonts w:cs="Times New Roman"/>
          <w:szCs w:val="24"/>
        </w:rPr>
        <w:t xml:space="preserve"> </w:t>
      </w:r>
      <w:r w:rsidRPr="00AE1E0D">
        <w:rPr>
          <w:rFonts w:cs="Times New Roman"/>
          <w:szCs w:val="24"/>
        </w:rPr>
        <w:t>radiactivo.</w:t>
      </w:r>
    </w:p>
    <w:p w14:paraId="6FA8ED65" w14:textId="43F9594A" w:rsidR="005D0292" w:rsidRPr="0075034E" w:rsidRDefault="0075034E" w:rsidP="0075034E">
      <w:pPr>
        <w:pStyle w:val="Heading2"/>
        <w:numPr>
          <w:ilvl w:val="0"/>
          <w:numId w:val="0"/>
        </w:numPr>
        <w:rPr>
          <w:rFonts w:ascii="Times New Roman" w:hAnsi="Times New Roman"/>
          <w:color w:val="auto"/>
          <w:sz w:val="24"/>
          <w:szCs w:val="24"/>
        </w:rPr>
      </w:pPr>
      <w:r>
        <w:rPr>
          <w:rFonts w:ascii="Times New Roman" w:hAnsi="Times New Roman"/>
          <w:color w:val="auto"/>
          <w:sz w:val="24"/>
          <w:szCs w:val="24"/>
        </w:rPr>
        <w:lastRenderedPageBreak/>
        <w:t>3</w:t>
      </w:r>
      <w:r w:rsidR="00050AB2">
        <w:rPr>
          <w:rFonts w:ascii="Times New Roman" w:hAnsi="Times New Roman"/>
          <w:color w:val="auto"/>
          <w:sz w:val="24"/>
          <w:szCs w:val="24"/>
        </w:rPr>
        <w:t>.</w:t>
      </w:r>
      <w:r w:rsidR="00D136BB">
        <w:rPr>
          <w:rFonts w:ascii="Times New Roman" w:hAnsi="Times New Roman"/>
          <w:color w:val="auto"/>
          <w:sz w:val="24"/>
          <w:szCs w:val="24"/>
        </w:rPr>
        <w:t xml:space="preserve"> </w:t>
      </w:r>
      <w:r>
        <w:rPr>
          <w:rFonts w:ascii="Times New Roman" w:hAnsi="Times New Roman"/>
          <w:color w:val="auto"/>
          <w:sz w:val="24"/>
          <w:szCs w:val="24"/>
        </w:rPr>
        <w:t>Amenazas</w:t>
      </w:r>
    </w:p>
    <w:p w14:paraId="3EA8391F" w14:textId="5F8D6BBB" w:rsidR="005D0292" w:rsidRPr="00AE1E0D" w:rsidRDefault="005D0292" w:rsidP="00BE3BCB">
      <w:pPr>
        <w:pStyle w:val="ListNumber"/>
        <w:numPr>
          <w:ilvl w:val="0"/>
          <w:numId w:val="42"/>
        </w:numPr>
        <w:ind w:left="567" w:hanging="425"/>
        <w:rPr>
          <w:rFonts w:cs="Times New Roman"/>
          <w:szCs w:val="24"/>
        </w:rPr>
      </w:pPr>
      <w:r w:rsidRPr="00AE1E0D">
        <w:rPr>
          <w:rFonts w:cs="Times New Roman"/>
          <w:szCs w:val="24"/>
        </w:rPr>
        <w:t>Débil</w:t>
      </w:r>
      <w:r w:rsidR="00D136BB">
        <w:rPr>
          <w:rFonts w:cs="Times New Roman"/>
          <w:szCs w:val="24"/>
        </w:rPr>
        <w:t xml:space="preserve"> </w:t>
      </w:r>
      <w:r w:rsidR="00F9332F">
        <w:rPr>
          <w:rFonts w:cs="Times New Roman"/>
          <w:szCs w:val="24"/>
        </w:rPr>
        <w:t>concientización</w:t>
      </w:r>
      <w:r w:rsidR="00D136BB">
        <w:rPr>
          <w:rFonts w:cs="Times New Roman"/>
          <w:szCs w:val="24"/>
        </w:rPr>
        <w:t xml:space="preserve"> </w:t>
      </w:r>
      <w:r w:rsidR="00F9332F">
        <w:rPr>
          <w:rFonts w:cs="Times New Roman"/>
          <w:szCs w:val="24"/>
        </w:rPr>
        <w:t>y</w:t>
      </w:r>
      <w:r w:rsidR="00D136BB">
        <w:rPr>
          <w:rFonts w:cs="Times New Roman"/>
          <w:szCs w:val="24"/>
        </w:rPr>
        <w:t xml:space="preserve"> </w:t>
      </w:r>
      <w:r w:rsidRPr="00AE1E0D">
        <w:rPr>
          <w:rFonts w:cs="Times New Roman"/>
          <w:szCs w:val="24"/>
        </w:rPr>
        <w:t>compromiso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gobiernos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apoyar,</w:t>
      </w:r>
      <w:r w:rsidR="00D136BB">
        <w:rPr>
          <w:rFonts w:cs="Times New Roman"/>
          <w:szCs w:val="24"/>
        </w:rPr>
        <w:t xml:space="preserve"> </w:t>
      </w:r>
      <w:r w:rsidRPr="00AE1E0D">
        <w:rPr>
          <w:rFonts w:cs="Times New Roman"/>
          <w:szCs w:val="24"/>
        </w:rPr>
        <w:t>fortalecer</w:t>
      </w:r>
      <w:r w:rsidR="00D136BB">
        <w:rPr>
          <w:rFonts w:cs="Times New Roman"/>
          <w:szCs w:val="24"/>
        </w:rPr>
        <w:t xml:space="preserve"> </w:t>
      </w:r>
      <w:r w:rsidRPr="00AE1E0D">
        <w:rPr>
          <w:rFonts w:cs="Times New Roman"/>
          <w:szCs w:val="24"/>
        </w:rPr>
        <w:t>e</w:t>
      </w:r>
      <w:r w:rsidR="00D136BB">
        <w:rPr>
          <w:rFonts w:cs="Times New Roman"/>
          <w:szCs w:val="24"/>
        </w:rPr>
        <w:t xml:space="preserve"> </w:t>
      </w:r>
      <w:r w:rsidRPr="00AE1E0D">
        <w:rPr>
          <w:rFonts w:cs="Times New Roman"/>
          <w:szCs w:val="24"/>
        </w:rPr>
        <w:t>implementar</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infraestructuras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Pr="00AE1E0D">
        <w:rPr>
          <w:rFonts w:cs="Times New Roman"/>
          <w:szCs w:val="24"/>
        </w:rPr>
        <w:t>regulatorios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p>
    <w:p w14:paraId="3D0EFD14" w14:textId="137F0213" w:rsidR="00F9332F" w:rsidRPr="00F9332F" w:rsidRDefault="00F9332F" w:rsidP="00F9332F">
      <w:pPr>
        <w:pStyle w:val="ListParagraph"/>
        <w:numPr>
          <w:ilvl w:val="0"/>
          <w:numId w:val="42"/>
        </w:numPr>
        <w:ind w:left="567" w:hanging="425"/>
        <w:rPr>
          <w:rFonts w:ascii="Times New Roman" w:hAnsi="Times New Roman" w:cs="Times New Roman"/>
          <w:sz w:val="24"/>
          <w:szCs w:val="24"/>
          <w:lang w:val="es-CL"/>
        </w:rPr>
      </w:pPr>
      <w:r w:rsidRPr="00F9332F">
        <w:rPr>
          <w:rFonts w:ascii="Times New Roman" w:hAnsi="Times New Roman" w:cs="Times New Roman"/>
          <w:sz w:val="24"/>
          <w:szCs w:val="24"/>
          <w:lang w:val="es-CL"/>
        </w:rPr>
        <w:t>Poca</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atención</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por</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parte</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los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gobiernos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para</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fortalecimiento</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los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órganos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reguladores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en</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materia</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control</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en</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algunas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las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áreas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en</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la</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práctica</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médica,</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especialmente</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con</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Rayos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X</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diagnóstico</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médico</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y</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equipos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emisores</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F9332F">
        <w:rPr>
          <w:rFonts w:ascii="Times New Roman" w:hAnsi="Times New Roman" w:cs="Times New Roman"/>
          <w:sz w:val="24"/>
          <w:szCs w:val="24"/>
          <w:lang w:val="es-CL"/>
        </w:rPr>
        <w:t>radiación.</w:t>
      </w:r>
    </w:p>
    <w:p w14:paraId="74D71675" w14:textId="20A124AA" w:rsidR="005D0292" w:rsidRPr="00AE1E0D" w:rsidRDefault="005D0292" w:rsidP="00BE3BCB">
      <w:pPr>
        <w:pStyle w:val="ListNumber"/>
        <w:numPr>
          <w:ilvl w:val="0"/>
          <w:numId w:val="42"/>
        </w:numPr>
        <w:ind w:left="567" w:hanging="425"/>
        <w:rPr>
          <w:rFonts w:cs="Times New Roman"/>
          <w:szCs w:val="24"/>
        </w:rPr>
      </w:pPr>
      <w:r w:rsidRPr="00AE1E0D">
        <w:rPr>
          <w:rFonts w:cs="Times New Roman"/>
          <w:szCs w:val="24"/>
        </w:rPr>
        <w:t>Cambios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autoridades</w:t>
      </w:r>
      <w:r w:rsidR="00D136BB">
        <w:rPr>
          <w:rFonts w:cs="Times New Roman"/>
          <w:szCs w:val="24"/>
        </w:rPr>
        <w:t xml:space="preserve"> </w:t>
      </w:r>
      <w:r w:rsidRPr="00AE1E0D">
        <w:rPr>
          <w:rFonts w:cs="Times New Roman"/>
          <w:szCs w:val="24"/>
        </w:rPr>
        <w:t>nacionales</w:t>
      </w:r>
      <w:r w:rsidR="00D136BB">
        <w:rPr>
          <w:rFonts w:cs="Times New Roman"/>
          <w:szCs w:val="24"/>
        </w:rPr>
        <w:t xml:space="preserve"> </w:t>
      </w:r>
      <w:r w:rsidRPr="00AE1E0D">
        <w:rPr>
          <w:rFonts w:cs="Times New Roman"/>
          <w:szCs w:val="24"/>
        </w:rPr>
        <w:t>(cambios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gobiernos)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cuales,</w:t>
      </w:r>
      <w:r w:rsidR="00D136BB">
        <w:rPr>
          <w:rFonts w:cs="Times New Roman"/>
          <w:szCs w:val="24"/>
        </w:rPr>
        <w:t xml:space="preserve"> </w:t>
      </w:r>
      <w:r w:rsidRPr="00AE1E0D">
        <w:rPr>
          <w:rFonts w:cs="Times New Roman"/>
          <w:szCs w:val="24"/>
        </w:rPr>
        <w:t>al</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disponer</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adecuada</w:t>
      </w:r>
      <w:r w:rsidR="00D136BB">
        <w:rPr>
          <w:rFonts w:cs="Times New Roman"/>
          <w:szCs w:val="24"/>
        </w:rPr>
        <w:t xml:space="preserve"> </w:t>
      </w:r>
      <w:r w:rsidRPr="00AE1E0D">
        <w:rPr>
          <w:rFonts w:cs="Times New Roman"/>
          <w:szCs w:val="24"/>
        </w:rPr>
        <w:t>información</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formación,</w:t>
      </w:r>
      <w:r w:rsidR="00D136BB">
        <w:rPr>
          <w:rFonts w:cs="Times New Roman"/>
          <w:szCs w:val="24"/>
        </w:rPr>
        <w:t xml:space="preserve"> </w:t>
      </w:r>
      <w:r w:rsidRPr="00AE1E0D">
        <w:rPr>
          <w:rFonts w:cs="Times New Roman"/>
          <w:szCs w:val="24"/>
        </w:rPr>
        <w:t>comprometen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infraestructura</w:t>
      </w:r>
      <w:r w:rsidR="00D136BB">
        <w:rPr>
          <w:rFonts w:cs="Times New Roman"/>
          <w:szCs w:val="24"/>
        </w:rPr>
        <w:t xml:space="preserve"> </w:t>
      </w:r>
      <w:r w:rsidRPr="00AE1E0D">
        <w:rPr>
          <w:rFonts w:cs="Times New Roman"/>
          <w:szCs w:val="24"/>
        </w:rPr>
        <w:t>instalada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continuidad</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personal</w:t>
      </w:r>
      <w:r w:rsidR="00D136BB">
        <w:rPr>
          <w:rFonts w:cs="Times New Roman"/>
          <w:szCs w:val="24"/>
        </w:rPr>
        <w:t xml:space="preserve"> </w:t>
      </w:r>
      <w:r w:rsidRPr="00AE1E0D">
        <w:rPr>
          <w:rFonts w:cs="Times New Roman"/>
          <w:szCs w:val="24"/>
        </w:rPr>
        <w:t>capacitado,</w:t>
      </w:r>
      <w:r w:rsidR="00D136BB">
        <w:rPr>
          <w:rFonts w:cs="Times New Roman"/>
          <w:szCs w:val="24"/>
        </w:rPr>
        <w:t xml:space="preserve"> </w:t>
      </w:r>
      <w:r w:rsidRPr="00AE1E0D">
        <w:rPr>
          <w:rFonts w:cs="Times New Roman"/>
          <w:szCs w:val="24"/>
        </w:rPr>
        <w:t>proyectos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programas</w:t>
      </w:r>
      <w:r w:rsidR="00D136BB">
        <w:rPr>
          <w:rFonts w:cs="Times New Roman"/>
          <w:szCs w:val="24"/>
        </w:rPr>
        <w:t xml:space="preserve"> </w:t>
      </w:r>
      <w:r w:rsidRPr="00AE1E0D">
        <w:rPr>
          <w:rFonts w:cs="Times New Roman"/>
          <w:szCs w:val="24"/>
        </w:rPr>
        <w:t>regulatorios</w:t>
      </w:r>
      <w:r w:rsidR="00D136BB">
        <w:rPr>
          <w:rFonts w:cs="Times New Roman"/>
          <w:szCs w:val="24"/>
        </w:rPr>
        <w:t xml:space="preserve"> </w:t>
      </w:r>
      <w:r w:rsidRPr="00AE1E0D">
        <w:rPr>
          <w:rFonts w:cs="Times New Roman"/>
          <w:szCs w:val="24"/>
        </w:rPr>
        <w:t>nacionales.</w:t>
      </w:r>
    </w:p>
    <w:p w14:paraId="6AB30A2C" w14:textId="304223C2" w:rsidR="00926E19" w:rsidRPr="00926E19" w:rsidRDefault="00926E19" w:rsidP="00926E19">
      <w:pPr>
        <w:pStyle w:val="ListParagraph"/>
        <w:numPr>
          <w:ilvl w:val="0"/>
          <w:numId w:val="42"/>
        </w:numPr>
        <w:ind w:left="567" w:hanging="425"/>
        <w:rPr>
          <w:rFonts w:ascii="Times New Roman" w:hAnsi="Times New Roman" w:cs="Times New Roman"/>
          <w:sz w:val="24"/>
          <w:szCs w:val="24"/>
          <w:lang w:val="es-CL"/>
        </w:rPr>
      </w:pPr>
      <w:r w:rsidRPr="00926E19">
        <w:rPr>
          <w:rFonts w:ascii="Times New Roman" w:hAnsi="Times New Roman" w:cs="Times New Roman"/>
          <w:sz w:val="24"/>
          <w:szCs w:val="24"/>
          <w:lang w:val="es-CL"/>
        </w:rPr>
        <w:t>Dificultades</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económicas</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en</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los</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países</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para</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priorizar</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la</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seguridad</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radiológica</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en</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función</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otros</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riesgos</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y</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planes</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desarrollo</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de</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los</w:t>
      </w:r>
      <w:r w:rsidR="00D136BB">
        <w:rPr>
          <w:rFonts w:ascii="Times New Roman" w:hAnsi="Times New Roman" w:cs="Times New Roman"/>
          <w:sz w:val="24"/>
          <w:szCs w:val="24"/>
          <w:lang w:val="es-CL"/>
        </w:rPr>
        <w:t xml:space="preserve"> </w:t>
      </w:r>
      <w:r w:rsidRPr="00926E19">
        <w:rPr>
          <w:rFonts w:ascii="Times New Roman" w:hAnsi="Times New Roman" w:cs="Times New Roman"/>
          <w:sz w:val="24"/>
          <w:szCs w:val="24"/>
          <w:lang w:val="es-CL"/>
        </w:rPr>
        <w:t>gobiernos</w:t>
      </w:r>
      <w:r>
        <w:rPr>
          <w:rFonts w:ascii="Times New Roman" w:hAnsi="Times New Roman" w:cs="Times New Roman"/>
          <w:sz w:val="24"/>
          <w:szCs w:val="24"/>
          <w:lang w:val="es-CL"/>
        </w:rPr>
        <w:t>.</w:t>
      </w:r>
    </w:p>
    <w:p w14:paraId="703FD77B" w14:textId="1A051E56" w:rsidR="005D0292" w:rsidRPr="00AE1E0D" w:rsidRDefault="005D0292" w:rsidP="00BE3BCB">
      <w:pPr>
        <w:pStyle w:val="ListNumber"/>
        <w:numPr>
          <w:ilvl w:val="0"/>
          <w:numId w:val="42"/>
        </w:numPr>
        <w:ind w:left="567" w:hanging="425"/>
        <w:rPr>
          <w:rFonts w:cs="Times New Roman"/>
          <w:szCs w:val="24"/>
        </w:rPr>
      </w:pPr>
      <w:r w:rsidRPr="00AE1E0D">
        <w:rPr>
          <w:rFonts w:cs="Times New Roman"/>
          <w:szCs w:val="24"/>
        </w:rPr>
        <w:t>Reducción</w:t>
      </w:r>
      <w:r w:rsidR="00D136BB">
        <w:rPr>
          <w:rFonts w:cs="Times New Roman"/>
          <w:szCs w:val="24"/>
        </w:rPr>
        <w:t xml:space="preserve"> </w:t>
      </w:r>
      <w:r w:rsidRPr="00AE1E0D">
        <w:rPr>
          <w:rFonts w:cs="Times New Roman"/>
          <w:szCs w:val="24"/>
        </w:rPr>
        <w:t>o</w:t>
      </w:r>
      <w:r w:rsidR="00D136BB">
        <w:rPr>
          <w:rFonts w:cs="Times New Roman"/>
          <w:szCs w:val="24"/>
        </w:rPr>
        <w:t xml:space="preserve"> </w:t>
      </w:r>
      <w:r w:rsidRPr="00AE1E0D">
        <w:rPr>
          <w:rFonts w:cs="Times New Roman"/>
          <w:szCs w:val="24"/>
        </w:rPr>
        <w:t>término</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financiamiento</w:t>
      </w:r>
      <w:r w:rsidR="00D136BB">
        <w:rPr>
          <w:rFonts w:cs="Times New Roman"/>
          <w:szCs w:val="24"/>
        </w:rPr>
        <w:t xml:space="preserve"> </w:t>
      </w:r>
      <w:r w:rsidRPr="00AE1E0D">
        <w:rPr>
          <w:rFonts w:cs="Times New Roman"/>
          <w:szCs w:val="24"/>
        </w:rPr>
        <w:t>externo</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desarrollo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actividades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tales</w:t>
      </w:r>
      <w:r w:rsidR="00D136BB">
        <w:rPr>
          <w:rFonts w:cs="Times New Roman"/>
          <w:szCs w:val="24"/>
        </w:rPr>
        <w:t xml:space="preserve"> </w:t>
      </w:r>
      <w:r w:rsidRPr="00AE1E0D">
        <w:rPr>
          <w:rFonts w:cs="Times New Roman"/>
          <w:szCs w:val="24"/>
        </w:rPr>
        <w:t>como</w:t>
      </w:r>
      <w:r w:rsidR="00D136BB">
        <w:rPr>
          <w:rFonts w:cs="Times New Roman"/>
          <w:szCs w:val="24"/>
        </w:rPr>
        <w:t xml:space="preserve"> </w:t>
      </w:r>
      <w:r w:rsidRPr="00AE1E0D">
        <w:rPr>
          <w:rFonts w:cs="Times New Roman"/>
          <w:szCs w:val="24"/>
        </w:rPr>
        <w:t>respuesta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radiológicas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nucleares.</w:t>
      </w:r>
    </w:p>
    <w:p w14:paraId="5C3A7727" w14:textId="2A8803BD" w:rsidR="005D0292" w:rsidRPr="00AE1E0D" w:rsidRDefault="005D0292" w:rsidP="00BE3BCB">
      <w:pPr>
        <w:pStyle w:val="ListNumber"/>
        <w:numPr>
          <w:ilvl w:val="0"/>
          <w:numId w:val="42"/>
        </w:numPr>
        <w:ind w:left="567" w:hanging="425"/>
        <w:rPr>
          <w:rFonts w:cs="Times New Roman"/>
          <w:szCs w:val="24"/>
        </w:rPr>
      </w:pPr>
      <w:r w:rsidRPr="00AE1E0D">
        <w:rPr>
          <w:rFonts w:cs="Times New Roman"/>
          <w:szCs w:val="24"/>
        </w:rPr>
        <w:t>Limitada</w:t>
      </w:r>
      <w:r w:rsidR="00D136BB">
        <w:rPr>
          <w:rFonts w:cs="Times New Roman"/>
          <w:szCs w:val="24"/>
        </w:rPr>
        <w:t xml:space="preserve"> </w:t>
      </w:r>
      <w:r w:rsidRPr="00AE1E0D">
        <w:rPr>
          <w:rFonts w:cs="Times New Roman"/>
          <w:szCs w:val="24"/>
        </w:rPr>
        <w:t>posibilidad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comunicación</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idioma</w:t>
      </w:r>
      <w:r w:rsidR="00D136BB">
        <w:rPr>
          <w:rFonts w:cs="Times New Roman"/>
          <w:szCs w:val="24"/>
        </w:rPr>
        <w:t xml:space="preserve"> </w:t>
      </w:r>
      <w:r w:rsidRPr="00AE1E0D">
        <w:rPr>
          <w:rFonts w:cs="Times New Roman"/>
          <w:szCs w:val="24"/>
        </w:rPr>
        <w:t>inglés,</w:t>
      </w:r>
      <w:r w:rsidR="00D136BB">
        <w:rPr>
          <w:rFonts w:cs="Times New Roman"/>
          <w:szCs w:val="24"/>
        </w:rPr>
        <w:t xml:space="preserve"> </w:t>
      </w:r>
      <w:r w:rsidRPr="00AE1E0D">
        <w:rPr>
          <w:rFonts w:cs="Times New Roman"/>
          <w:szCs w:val="24"/>
        </w:rPr>
        <w:t>lo</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disminuye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oportunidades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intercambio</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asistencia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nivel</w:t>
      </w:r>
      <w:r w:rsidR="00D136BB">
        <w:rPr>
          <w:rFonts w:cs="Times New Roman"/>
          <w:szCs w:val="24"/>
        </w:rPr>
        <w:t xml:space="preserve"> </w:t>
      </w:r>
      <w:r w:rsidRPr="00AE1E0D">
        <w:rPr>
          <w:rFonts w:cs="Times New Roman"/>
          <w:szCs w:val="24"/>
        </w:rPr>
        <w:t>global,</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refuerza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necesidad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formación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expertos</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nivel</w:t>
      </w:r>
      <w:r w:rsidR="00D136BB">
        <w:rPr>
          <w:rFonts w:cs="Times New Roman"/>
          <w:szCs w:val="24"/>
        </w:rPr>
        <w:t xml:space="preserve"> </w:t>
      </w:r>
      <w:r w:rsidRPr="00AE1E0D">
        <w:rPr>
          <w:rFonts w:cs="Times New Roman"/>
          <w:szCs w:val="24"/>
        </w:rPr>
        <w:t>regional</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todas</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áreas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p>
    <w:p w14:paraId="49F9FB8B" w14:textId="686AB8E8" w:rsidR="005D0292" w:rsidRPr="00AE1E0D" w:rsidRDefault="005D0292" w:rsidP="00BE3BCB">
      <w:pPr>
        <w:pStyle w:val="ListNumber"/>
        <w:numPr>
          <w:ilvl w:val="0"/>
          <w:numId w:val="42"/>
        </w:numPr>
        <w:ind w:left="567" w:hanging="425"/>
        <w:rPr>
          <w:rFonts w:cs="Times New Roman"/>
          <w:szCs w:val="24"/>
        </w:rPr>
      </w:pPr>
      <w:r w:rsidRPr="00AE1E0D">
        <w:rPr>
          <w:rFonts w:cs="Times New Roman"/>
          <w:szCs w:val="24"/>
        </w:rPr>
        <w:t>Los</w:t>
      </w:r>
      <w:r w:rsidR="00D136BB">
        <w:rPr>
          <w:rFonts w:cs="Times New Roman"/>
          <w:szCs w:val="24"/>
        </w:rPr>
        <w:t xml:space="preserve"> </w:t>
      </w:r>
      <w:r w:rsidRPr="00AE1E0D">
        <w:rPr>
          <w:rFonts w:cs="Times New Roman"/>
          <w:szCs w:val="24"/>
        </w:rPr>
        <w:t>recursos</w:t>
      </w:r>
      <w:r w:rsidR="00D136BB">
        <w:rPr>
          <w:rFonts w:cs="Times New Roman"/>
          <w:szCs w:val="24"/>
        </w:rPr>
        <w:t xml:space="preserve"> </w:t>
      </w:r>
      <w:r w:rsidRPr="00AE1E0D">
        <w:rPr>
          <w:rFonts w:cs="Times New Roman"/>
          <w:szCs w:val="24"/>
        </w:rPr>
        <w:t>asistenciales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atención</w:t>
      </w:r>
      <w:r w:rsidR="00D136BB">
        <w:rPr>
          <w:rFonts w:cs="Times New Roman"/>
          <w:szCs w:val="24"/>
        </w:rPr>
        <w:t xml:space="preserve"> </w:t>
      </w:r>
      <w:r w:rsidRPr="00AE1E0D">
        <w:rPr>
          <w:rFonts w:cs="Times New Roman"/>
          <w:szCs w:val="24"/>
        </w:rPr>
        <w:t>médica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casos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lesionados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situaciones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están</w:t>
      </w:r>
      <w:r w:rsidR="00D136BB">
        <w:rPr>
          <w:rFonts w:cs="Times New Roman"/>
          <w:szCs w:val="24"/>
        </w:rPr>
        <w:t xml:space="preserve"> </w:t>
      </w:r>
      <w:r w:rsidRPr="00AE1E0D">
        <w:rPr>
          <w:rFonts w:cs="Times New Roman"/>
          <w:szCs w:val="24"/>
        </w:rPr>
        <w:t>adecuadamente</w:t>
      </w:r>
      <w:r w:rsidR="00D136BB">
        <w:rPr>
          <w:rFonts w:cs="Times New Roman"/>
          <w:szCs w:val="24"/>
        </w:rPr>
        <w:t xml:space="preserve"> </w:t>
      </w:r>
      <w:r w:rsidRPr="00AE1E0D">
        <w:rPr>
          <w:rFonts w:cs="Times New Roman"/>
          <w:szCs w:val="24"/>
        </w:rPr>
        <w:t>identificados.</w:t>
      </w:r>
    </w:p>
    <w:p w14:paraId="1633DE50" w14:textId="006ADDF6" w:rsidR="005D0292" w:rsidRPr="00AE1E0D" w:rsidRDefault="005D0292" w:rsidP="00BE3BCB">
      <w:pPr>
        <w:pStyle w:val="ListNumber"/>
        <w:numPr>
          <w:ilvl w:val="0"/>
          <w:numId w:val="42"/>
        </w:numPr>
        <w:ind w:left="567" w:hanging="425"/>
        <w:rPr>
          <w:rFonts w:cs="Times New Roman"/>
          <w:szCs w:val="24"/>
        </w:rPr>
      </w:pPr>
      <w:r w:rsidRPr="00AE1E0D">
        <w:rPr>
          <w:rFonts w:cs="Times New Roman"/>
          <w:szCs w:val="24"/>
        </w:rPr>
        <w:t>No</w:t>
      </w:r>
      <w:r w:rsidR="00D136BB">
        <w:rPr>
          <w:rFonts w:cs="Times New Roman"/>
          <w:szCs w:val="24"/>
        </w:rPr>
        <w:t xml:space="preserve"> </w:t>
      </w:r>
      <w:r w:rsidRPr="00AE1E0D">
        <w:rPr>
          <w:rFonts w:cs="Times New Roman"/>
          <w:szCs w:val="24"/>
        </w:rPr>
        <w:t>existe</w:t>
      </w:r>
      <w:r w:rsidR="00D136BB">
        <w:rPr>
          <w:rFonts w:cs="Times New Roman"/>
          <w:szCs w:val="24"/>
        </w:rPr>
        <w:t xml:space="preserve"> </w:t>
      </w:r>
      <w:r w:rsidRPr="00AE1E0D">
        <w:rPr>
          <w:rFonts w:cs="Times New Roman"/>
          <w:szCs w:val="24"/>
        </w:rPr>
        <w:t>un</w:t>
      </w:r>
      <w:r w:rsidR="00D136BB">
        <w:rPr>
          <w:rFonts w:cs="Times New Roman"/>
          <w:szCs w:val="24"/>
        </w:rPr>
        <w:t xml:space="preserve"> </w:t>
      </w:r>
      <w:r w:rsidRPr="00AE1E0D">
        <w:rPr>
          <w:rFonts w:cs="Times New Roman"/>
          <w:szCs w:val="24"/>
        </w:rPr>
        <w:t>análisis</w:t>
      </w:r>
      <w:r w:rsidR="00D136BB">
        <w:rPr>
          <w:rFonts w:cs="Times New Roman"/>
          <w:szCs w:val="24"/>
        </w:rPr>
        <w:t xml:space="preserve"> </w:t>
      </w:r>
      <w:r w:rsidRPr="00AE1E0D">
        <w:rPr>
          <w:rFonts w:cs="Times New Roman"/>
          <w:szCs w:val="24"/>
        </w:rPr>
        <w:t>sistemático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accidentes</w:t>
      </w:r>
      <w:r w:rsidR="00D136BB">
        <w:rPr>
          <w:rFonts w:cs="Times New Roman"/>
          <w:szCs w:val="24"/>
        </w:rPr>
        <w:t xml:space="preserve"> </w:t>
      </w:r>
      <w:r w:rsidRPr="00AE1E0D">
        <w:rPr>
          <w:rFonts w:cs="Times New Roman"/>
          <w:szCs w:val="24"/>
        </w:rPr>
        <w:t>ocurridos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ni</w:t>
      </w:r>
      <w:r w:rsidR="00D136BB">
        <w:rPr>
          <w:rFonts w:cs="Times New Roman"/>
          <w:szCs w:val="24"/>
        </w:rPr>
        <w:t xml:space="preserve"> </w:t>
      </w:r>
      <w:r w:rsidRPr="00AE1E0D">
        <w:rPr>
          <w:rFonts w:cs="Times New Roman"/>
          <w:szCs w:val="24"/>
        </w:rPr>
        <w:t>todos</w:t>
      </w:r>
      <w:r w:rsidR="00D136BB">
        <w:rPr>
          <w:rFonts w:cs="Times New Roman"/>
          <w:szCs w:val="24"/>
        </w:rPr>
        <w:t xml:space="preserve"> </w:t>
      </w:r>
      <w:r w:rsidRPr="00AE1E0D">
        <w:rPr>
          <w:rFonts w:cs="Times New Roman"/>
          <w:szCs w:val="24"/>
        </w:rPr>
        <w:t>son</w:t>
      </w:r>
      <w:r w:rsidR="00D136BB">
        <w:rPr>
          <w:rFonts w:cs="Times New Roman"/>
          <w:szCs w:val="24"/>
        </w:rPr>
        <w:t xml:space="preserve"> </w:t>
      </w:r>
      <w:r w:rsidRPr="00AE1E0D">
        <w:rPr>
          <w:rFonts w:cs="Times New Roman"/>
          <w:szCs w:val="24"/>
        </w:rPr>
        <w:t>informados</w:t>
      </w:r>
      <w:r w:rsidR="00D136BB">
        <w:rPr>
          <w:rFonts w:cs="Times New Roman"/>
          <w:szCs w:val="24"/>
        </w:rPr>
        <w:t xml:space="preserve"> </w:t>
      </w:r>
      <w:r w:rsidRPr="00AE1E0D">
        <w:rPr>
          <w:rFonts w:cs="Times New Roman"/>
          <w:szCs w:val="24"/>
        </w:rPr>
        <w:t>oficialmente.</w:t>
      </w:r>
    </w:p>
    <w:p w14:paraId="5EE45C3B" w14:textId="23C362B5" w:rsidR="005D0292" w:rsidRPr="00AE1E0D" w:rsidRDefault="005D0292" w:rsidP="00BE3BCB">
      <w:pPr>
        <w:pStyle w:val="ListNumber"/>
        <w:numPr>
          <w:ilvl w:val="0"/>
          <w:numId w:val="42"/>
        </w:numPr>
        <w:ind w:left="567" w:hanging="425"/>
        <w:rPr>
          <w:rFonts w:cs="Times New Roman"/>
          <w:szCs w:val="24"/>
        </w:rPr>
      </w:pP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no</w:t>
      </w:r>
      <w:r w:rsidR="00D136BB">
        <w:rPr>
          <w:rFonts w:cs="Times New Roman"/>
          <w:szCs w:val="24"/>
        </w:rPr>
        <w:t xml:space="preserve"> </w:t>
      </w:r>
      <w:r w:rsidRPr="00AE1E0D">
        <w:rPr>
          <w:rFonts w:cs="Times New Roman"/>
          <w:szCs w:val="24"/>
        </w:rPr>
        <w:t>cuenta</w:t>
      </w:r>
      <w:r w:rsidR="00D136BB">
        <w:rPr>
          <w:rFonts w:cs="Times New Roman"/>
          <w:szCs w:val="24"/>
        </w:rPr>
        <w:t xml:space="preserve"> </w:t>
      </w:r>
      <w:r w:rsidRPr="00AE1E0D">
        <w:rPr>
          <w:rFonts w:cs="Times New Roman"/>
          <w:szCs w:val="24"/>
        </w:rPr>
        <w:t>con</w:t>
      </w:r>
      <w:r w:rsidR="00D136BB">
        <w:rPr>
          <w:rFonts w:cs="Times New Roman"/>
          <w:szCs w:val="24"/>
        </w:rPr>
        <w:t xml:space="preserve"> </w:t>
      </w:r>
      <w:r w:rsidRPr="00AE1E0D">
        <w:rPr>
          <w:rFonts w:cs="Times New Roman"/>
          <w:szCs w:val="24"/>
        </w:rPr>
        <w:t>suficientes</w:t>
      </w:r>
      <w:r w:rsidR="00D136BB">
        <w:rPr>
          <w:rFonts w:cs="Times New Roman"/>
          <w:szCs w:val="24"/>
        </w:rPr>
        <w:t xml:space="preserve"> </w:t>
      </w:r>
      <w:r w:rsidRPr="00AE1E0D">
        <w:rPr>
          <w:rFonts w:cs="Times New Roman"/>
          <w:szCs w:val="24"/>
        </w:rPr>
        <w:t>expertos</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asesoramiento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respuesta</w:t>
      </w:r>
      <w:r w:rsidR="00D136BB">
        <w:rPr>
          <w:rFonts w:cs="Times New Roman"/>
          <w:szCs w:val="24"/>
        </w:rPr>
        <w:t xml:space="preserve"> </w:t>
      </w:r>
      <w:r w:rsidRPr="00AE1E0D">
        <w:rPr>
          <w:rFonts w:cs="Times New Roman"/>
          <w:szCs w:val="24"/>
        </w:rPr>
        <w:t>médica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caso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nucleares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radiológicas,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00926E19">
        <w:rPr>
          <w:rFonts w:cs="Times New Roman"/>
          <w:szCs w:val="24"/>
        </w:rPr>
        <w:t>asesoramiento</w:t>
      </w:r>
      <w:r w:rsidR="00D136BB">
        <w:rPr>
          <w:rFonts w:cs="Times New Roman"/>
          <w:szCs w:val="24"/>
        </w:rPr>
        <w:t xml:space="preserve"> </w:t>
      </w:r>
      <w:r w:rsidR="00926E19">
        <w:rPr>
          <w:rFonts w:cs="Times New Roman"/>
          <w:szCs w:val="24"/>
        </w:rPr>
        <w:t>en</w:t>
      </w:r>
      <w:r w:rsidR="00D136BB">
        <w:rPr>
          <w:rFonts w:cs="Times New Roman"/>
          <w:szCs w:val="24"/>
        </w:rPr>
        <w:t xml:space="preserve"> </w:t>
      </w:r>
      <w:r w:rsidRPr="00AE1E0D">
        <w:rPr>
          <w:rFonts w:cs="Times New Roman"/>
          <w:szCs w:val="24"/>
        </w:rPr>
        <w:t>transporte</w:t>
      </w:r>
      <w:r w:rsidR="00D136BB">
        <w:rPr>
          <w:rFonts w:cs="Times New Roman"/>
          <w:szCs w:val="24"/>
        </w:rPr>
        <w:t xml:space="preserve"> </w:t>
      </w:r>
      <w:r w:rsidRPr="00AE1E0D">
        <w:rPr>
          <w:rFonts w:cs="Times New Roman"/>
          <w:szCs w:val="24"/>
        </w:rPr>
        <w:t>seguro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materiales</w:t>
      </w:r>
      <w:r w:rsidR="00D136BB">
        <w:rPr>
          <w:rFonts w:cs="Times New Roman"/>
          <w:szCs w:val="24"/>
        </w:rPr>
        <w:t xml:space="preserve"> </w:t>
      </w:r>
      <w:r w:rsidRPr="00AE1E0D">
        <w:rPr>
          <w:rFonts w:cs="Times New Roman"/>
          <w:szCs w:val="24"/>
        </w:rPr>
        <w:t>radiactivos.</w:t>
      </w:r>
    </w:p>
    <w:p w14:paraId="79B333F9" w14:textId="562648EF" w:rsidR="005D0292" w:rsidRPr="00926E19" w:rsidRDefault="00D136BB" w:rsidP="00926E19">
      <w:pPr>
        <w:pStyle w:val="ListParagraph"/>
        <w:numPr>
          <w:ilvl w:val="0"/>
          <w:numId w:val="42"/>
        </w:numPr>
        <w:ind w:left="567" w:hanging="425"/>
        <w:jc w:val="both"/>
        <w:rPr>
          <w:rFonts w:ascii="Times New Roman" w:hAnsi="Times New Roman" w:cs="Times New Roman"/>
          <w:sz w:val="24"/>
          <w:szCs w:val="24"/>
          <w:lang w:val="es-CL"/>
        </w:rPr>
      </w:pPr>
      <w:r>
        <w:rPr>
          <w:rFonts w:cs="Times New Roman"/>
          <w:szCs w:val="24"/>
        </w:rPr>
        <w:t xml:space="preserve"> </w:t>
      </w:r>
      <w:r w:rsidR="005D0292" w:rsidRPr="00926E19">
        <w:rPr>
          <w:rFonts w:cs="Times New Roman"/>
          <w:szCs w:val="24"/>
        </w:rPr>
        <w:t>Insuficiente</w:t>
      </w:r>
      <w:r>
        <w:rPr>
          <w:rFonts w:cs="Times New Roman"/>
          <w:szCs w:val="24"/>
        </w:rPr>
        <w:t xml:space="preserve"> </w:t>
      </w:r>
      <w:r w:rsidR="005D0292" w:rsidRPr="00926E19">
        <w:rPr>
          <w:rFonts w:cs="Times New Roman"/>
          <w:szCs w:val="24"/>
        </w:rPr>
        <w:t>control</w:t>
      </w:r>
      <w:r>
        <w:rPr>
          <w:rFonts w:cs="Times New Roman"/>
          <w:szCs w:val="24"/>
        </w:rPr>
        <w:t xml:space="preserve"> </w:t>
      </w:r>
      <w:r w:rsidR="005D0292" w:rsidRPr="00926E19">
        <w:rPr>
          <w:rFonts w:cs="Times New Roman"/>
          <w:szCs w:val="24"/>
        </w:rPr>
        <w:t>sobre</w:t>
      </w:r>
      <w:r>
        <w:rPr>
          <w:rFonts w:cs="Times New Roman"/>
          <w:szCs w:val="24"/>
        </w:rPr>
        <w:t xml:space="preserve"> </w:t>
      </w:r>
      <w:r w:rsidR="005D0292" w:rsidRPr="00926E19">
        <w:rPr>
          <w:rFonts w:cs="Times New Roman"/>
          <w:szCs w:val="24"/>
        </w:rPr>
        <w:t>las</w:t>
      </w:r>
      <w:r>
        <w:rPr>
          <w:rFonts w:cs="Times New Roman"/>
          <w:szCs w:val="24"/>
        </w:rPr>
        <w:t xml:space="preserve"> </w:t>
      </w:r>
      <w:r w:rsidR="005D0292" w:rsidRPr="00926E19">
        <w:rPr>
          <w:rFonts w:cs="Times New Roman"/>
          <w:szCs w:val="24"/>
        </w:rPr>
        <w:t>condiciones</w:t>
      </w:r>
      <w:r>
        <w:rPr>
          <w:rFonts w:cs="Times New Roman"/>
          <w:szCs w:val="24"/>
        </w:rPr>
        <w:t xml:space="preserve"> </w:t>
      </w:r>
      <w:r w:rsidR="005D0292" w:rsidRPr="00926E19">
        <w:rPr>
          <w:rFonts w:cs="Times New Roman"/>
          <w:szCs w:val="24"/>
        </w:rPr>
        <w:t>en</w:t>
      </w:r>
      <w:r>
        <w:rPr>
          <w:rFonts w:cs="Times New Roman"/>
          <w:szCs w:val="24"/>
        </w:rPr>
        <w:t xml:space="preserve"> </w:t>
      </w:r>
      <w:r w:rsidR="005D0292" w:rsidRPr="00926E19">
        <w:rPr>
          <w:rFonts w:cs="Times New Roman"/>
          <w:szCs w:val="24"/>
        </w:rPr>
        <w:t>que</w:t>
      </w:r>
      <w:r>
        <w:rPr>
          <w:rFonts w:cs="Times New Roman"/>
          <w:szCs w:val="24"/>
        </w:rPr>
        <w:t xml:space="preserve"> </w:t>
      </w:r>
      <w:r w:rsidR="005D0292" w:rsidRPr="00926E19">
        <w:rPr>
          <w:rFonts w:cs="Times New Roman"/>
          <w:szCs w:val="24"/>
        </w:rPr>
        <w:t>se</w:t>
      </w:r>
      <w:r>
        <w:rPr>
          <w:rFonts w:cs="Times New Roman"/>
          <w:szCs w:val="24"/>
        </w:rPr>
        <w:t xml:space="preserve"> </w:t>
      </w:r>
      <w:r w:rsidR="005D0292" w:rsidRPr="00926E19">
        <w:rPr>
          <w:rFonts w:cs="Times New Roman"/>
          <w:szCs w:val="24"/>
        </w:rPr>
        <w:t>transporta</w:t>
      </w:r>
      <w:r>
        <w:rPr>
          <w:rFonts w:cs="Times New Roman"/>
          <w:szCs w:val="24"/>
        </w:rPr>
        <w:t xml:space="preserve"> </w:t>
      </w:r>
      <w:r w:rsidR="005D0292" w:rsidRPr="00926E19">
        <w:rPr>
          <w:rFonts w:cs="Times New Roman"/>
          <w:szCs w:val="24"/>
        </w:rPr>
        <w:t>el</w:t>
      </w:r>
      <w:r>
        <w:rPr>
          <w:rFonts w:cs="Times New Roman"/>
          <w:szCs w:val="24"/>
        </w:rPr>
        <w:t xml:space="preserve"> </w:t>
      </w:r>
      <w:r w:rsidR="005D0292" w:rsidRPr="00926E19">
        <w:rPr>
          <w:rFonts w:cs="Times New Roman"/>
          <w:szCs w:val="24"/>
        </w:rPr>
        <w:t>material</w:t>
      </w:r>
      <w:r>
        <w:rPr>
          <w:rFonts w:cs="Times New Roman"/>
          <w:szCs w:val="24"/>
        </w:rPr>
        <w:t xml:space="preserve"> </w:t>
      </w:r>
      <w:r w:rsidR="005D0292" w:rsidRPr="00926E19">
        <w:rPr>
          <w:rFonts w:cs="Times New Roman"/>
          <w:szCs w:val="24"/>
        </w:rPr>
        <w:t>radiactivo,</w:t>
      </w:r>
      <w:r>
        <w:rPr>
          <w:rFonts w:cs="Times New Roman"/>
          <w:szCs w:val="24"/>
        </w:rPr>
        <w:t xml:space="preserve"> </w:t>
      </w:r>
      <w:r w:rsidR="005D0292" w:rsidRPr="00926E19">
        <w:rPr>
          <w:rFonts w:cs="Times New Roman"/>
          <w:szCs w:val="24"/>
        </w:rPr>
        <w:t>lo</w:t>
      </w:r>
      <w:r>
        <w:rPr>
          <w:rFonts w:cs="Times New Roman"/>
          <w:szCs w:val="24"/>
        </w:rPr>
        <w:t xml:space="preserve"> </w:t>
      </w:r>
      <w:r w:rsidR="005D0292" w:rsidRPr="00926E19">
        <w:rPr>
          <w:rFonts w:cs="Times New Roman"/>
          <w:szCs w:val="24"/>
        </w:rPr>
        <w:t>que</w:t>
      </w:r>
      <w:r>
        <w:rPr>
          <w:rFonts w:cs="Times New Roman"/>
          <w:szCs w:val="24"/>
        </w:rPr>
        <w:t xml:space="preserve"> </w:t>
      </w:r>
      <w:r w:rsidR="005D0292" w:rsidRPr="00926E19">
        <w:rPr>
          <w:rFonts w:cs="Times New Roman"/>
          <w:szCs w:val="24"/>
        </w:rPr>
        <w:t>puede</w:t>
      </w:r>
      <w:r>
        <w:rPr>
          <w:rFonts w:cs="Times New Roman"/>
          <w:szCs w:val="24"/>
        </w:rPr>
        <w:t xml:space="preserve"> </w:t>
      </w:r>
      <w:r w:rsidR="005D0292" w:rsidRPr="00926E19">
        <w:rPr>
          <w:rFonts w:cs="Times New Roman"/>
          <w:szCs w:val="24"/>
        </w:rPr>
        <w:t>incrementar</w:t>
      </w:r>
      <w:r>
        <w:rPr>
          <w:rFonts w:cs="Times New Roman"/>
          <w:szCs w:val="24"/>
        </w:rPr>
        <w:t xml:space="preserve"> </w:t>
      </w:r>
      <w:r w:rsidR="005D0292" w:rsidRPr="00926E19">
        <w:rPr>
          <w:rFonts w:cs="Times New Roman"/>
          <w:szCs w:val="24"/>
        </w:rPr>
        <w:t>el</w:t>
      </w:r>
      <w:r>
        <w:rPr>
          <w:rFonts w:cs="Times New Roman"/>
          <w:szCs w:val="24"/>
        </w:rPr>
        <w:t xml:space="preserve"> </w:t>
      </w:r>
      <w:r w:rsidR="005D0292" w:rsidRPr="00926E19">
        <w:rPr>
          <w:rFonts w:cs="Times New Roman"/>
          <w:szCs w:val="24"/>
        </w:rPr>
        <w:t>riesgo</w:t>
      </w:r>
      <w:r>
        <w:rPr>
          <w:rFonts w:cs="Times New Roman"/>
          <w:szCs w:val="24"/>
        </w:rPr>
        <w:t xml:space="preserve"> </w:t>
      </w:r>
      <w:r w:rsidR="005D0292" w:rsidRPr="00926E19">
        <w:rPr>
          <w:rFonts w:cs="Times New Roman"/>
          <w:szCs w:val="24"/>
        </w:rPr>
        <w:t>de</w:t>
      </w:r>
      <w:r>
        <w:rPr>
          <w:rFonts w:cs="Times New Roman"/>
          <w:szCs w:val="24"/>
        </w:rPr>
        <w:t xml:space="preserve"> </w:t>
      </w:r>
      <w:r w:rsidR="005D0292" w:rsidRPr="00926E19">
        <w:rPr>
          <w:rFonts w:cs="Times New Roman"/>
          <w:szCs w:val="24"/>
        </w:rPr>
        <w:t>robo</w:t>
      </w:r>
      <w:r>
        <w:rPr>
          <w:rFonts w:cs="Times New Roman"/>
          <w:szCs w:val="24"/>
        </w:rPr>
        <w:t xml:space="preserve"> </w:t>
      </w:r>
      <w:r w:rsidR="005D0292" w:rsidRPr="00926E19">
        <w:rPr>
          <w:rFonts w:cs="Times New Roman"/>
          <w:szCs w:val="24"/>
        </w:rPr>
        <w:t>de</w:t>
      </w:r>
      <w:r>
        <w:rPr>
          <w:rFonts w:cs="Times New Roman"/>
          <w:szCs w:val="24"/>
        </w:rPr>
        <w:t xml:space="preserve"> </w:t>
      </w:r>
      <w:r w:rsidR="005D0292" w:rsidRPr="00926E19">
        <w:rPr>
          <w:rFonts w:cs="Times New Roman"/>
          <w:szCs w:val="24"/>
        </w:rPr>
        <w:t>fuentes</w:t>
      </w:r>
      <w:r w:rsidR="00926E19" w:rsidRPr="00926E19">
        <w:rPr>
          <w:rFonts w:ascii="Times New Roman" w:hAnsi="Times New Roman" w:cs="Times New Roman"/>
          <w:sz w:val="24"/>
          <w:szCs w:val="24"/>
          <w:lang w:val="es-CL"/>
        </w:rPr>
        <w:t>,</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o</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limitar</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la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capacidad</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respuesta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en</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caso</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una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emergencia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radiológica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en</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la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vía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pública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por</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falta</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de</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señalización</w:t>
      </w:r>
      <w:r>
        <w:rPr>
          <w:rFonts w:ascii="Times New Roman" w:hAnsi="Times New Roman" w:cs="Times New Roman"/>
          <w:sz w:val="24"/>
          <w:szCs w:val="24"/>
          <w:lang w:val="es-CL"/>
        </w:rPr>
        <w:t xml:space="preserve"> </w:t>
      </w:r>
      <w:r w:rsidR="00926E19" w:rsidRPr="00926E19">
        <w:rPr>
          <w:rFonts w:ascii="Times New Roman" w:hAnsi="Times New Roman" w:cs="Times New Roman"/>
          <w:sz w:val="24"/>
          <w:szCs w:val="24"/>
          <w:lang w:val="es-CL"/>
        </w:rPr>
        <w:t>adecuada.</w:t>
      </w:r>
    </w:p>
    <w:p w14:paraId="6ADDD0EA" w14:textId="77777777" w:rsidR="005D0292" w:rsidRPr="00AE1E0D" w:rsidRDefault="005D0292" w:rsidP="005D0292">
      <w:pPr>
        <w:pStyle w:val="ListNumber"/>
        <w:numPr>
          <w:ilvl w:val="0"/>
          <w:numId w:val="0"/>
        </w:numPr>
        <w:ind w:left="567"/>
        <w:rPr>
          <w:rFonts w:cs="Times New Roman"/>
          <w:szCs w:val="24"/>
        </w:rPr>
      </w:pPr>
    </w:p>
    <w:p w14:paraId="5AA48BC8" w14:textId="55D063B6" w:rsidR="005D0292" w:rsidRPr="00AE1E0D" w:rsidRDefault="005D0292" w:rsidP="005D0292">
      <w:pPr>
        <w:pStyle w:val="Heading3"/>
        <w:numPr>
          <w:ilvl w:val="2"/>
          <w:numId w:val="0"/>
        </w:numPr>
        <w:rPr>
          <w:szCs w:val="24"/>
          <w:lang w:val="es-ES"/>
        </w:rPr>
      </w:pPr>
      <w:bookmarkStart w:id="32" w:name="_Toc385241594"/>
      <w:r w:rsidRPr="00AE1E0D">
        <w:rPr>
          <w:szCs w:val="24"/>
          <w:lang w:val="es-ES"/>
        </w:rPr>
        <w:t>4.</w:t>
      </w:r>
      <w:r w:rsidR="00D136BB">
        <w:rPr>
          <w:szCs w:val="24"/>
          <w:lang w:val="es-ES"/>
        </w:rPr>
        <w:t xml:space="preserve"> </w:t>
      </w:r>
      <w:r w:rsidRPr="00AE1E0D">
        <w:rPr>
          <w:szCs w:val="24"/>
          <w:lang w:val="es-ES"/>
        </w:rPr>
        <w:t>Oportunidades</w:t>
      </w:r>
      <w:bookmarkEnd w:id="32"/>
    </w:p>
    <w:p w14:paraId="75934B59" w14:textId="7F0F0241"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Acceso</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experiencia,</w:t>
      </w:r>
      <w:r w:rsidR="00D136BB">
        <w:rPr>
          <w:rFonts w:cs="Times New Roman"/>
          <w:szCs w:val="24"/>
        </w:rPr>
        <w:t xml:space="preserve"> </w:t>
      </w:r>
      <w:r w:rsidRPr="00AE1E0D">
        <w:rPr>
          <w:rFonts w:cs="Times New Roman"/>
          <w:szCs w:val="24"/>
        </w:rPr>
        <w:t>documentos</w:t>
      </w:r>
      <w:r w:rsidR="00D136BB">
        <w:rPr>
          <w:rFonts w:cs="Times New Roman"/>
          <w:szCs w:val="24"/>
        </w:rPr>
        <w:t xml:space="preserve"> </w:t>
      </w:r>
      <w:r w:rsidRPr="00AE1E0D">
        <w:rPr>
          <w:rFonts w:cs="Times New Roman"/>
          <w:szCs w:val="24"/>
        </w:rPr>
        <w:t>normativos,</w:t>
      </w:r>
      <w:r w:rsidR="00D136BB">
        <w:rPr>
          <w:rFonts w:cs="Times New Roman"/>
          <w:szCs w:val="24"/>
        </w:rPr>
        <w:t xml:space="preserve"> </w:t>
      </w:r>
      <w:r w:rsidRPr="00AE1E0D">
        <w:rPr>
          <w:rFonts w:cs="Times New Roman"/>
          <w:szCs w:val="24"/>
        </w:rPr>
        <w:t>procedimientos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productos</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trabajo</w:t>
      </w:r>
      <w:r w:rsidR="00D136BB">
        <w:rPr>
          <w:rFonts w:cs="Times New Roman"/>
          <w:szCs w:val="24"/>
        </w:rPr>
        <w:t xml:space="preserve"> </w:t>
      </w:r>
      <w:r w:rsidRPr="00AE1E0D">
        <w:rPr>
          <w:rFonts w:cs="Times New Roman"/>
          <w:szCs w:val="24"/>
        </w:rPr>
        <w:t>desarrollados</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través</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Foro</w:t>
      </w:r>
      <w:r w:rsidR="00D136BB">
        <w:rPr>
          <w:rFonts w:cs="Times New Roman"/>
          <w:szCs w:val="24"/>
        </w:rPr>
        <w:t xml:space="preserve"> </w:t>
      </w:r>
      <w:r w:rsidRPr="00AE1E0D">
        <w:rPr>
          <w:rFonts w:cs="Times New Roman"/>
          <w:szCs w:val="24"/>
        </w:rPr>
        <w:t>Iberoamericano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Órganos</w:t>
      </w:r>
      <w:r w:rsidR="00D136BB">
        <w:rPr>
          <w:rFonts w:cs="Times New Roman"/>
          <w:szCs w:val="24"/>
        </w:rPr>
        <w:t xml:space="preserve"> </w:t>
      </w:r>
      <w:r w:rsidRPr="00AE1E0D">
        <w:rPr>
          <w:rFonts w:cs="Times New Roman"/>
          <w:szCs w:val="24"/>
        </w:rPr>
        <w:t>Reguladores</w:t>
      </w:r>
      <w:r w:rsidR="00D136BB">
        <w:rPr>
          <w:rFonts w:cs="Times New Roman"/>
          <w:szCs w:val="24"/>
        </w:rPr>
        <w:t xml:space="preserve"> </w:t>
      </w:r>
      <w:r w:rsidRPr="00AE1E0D">
        <w:rPr>
          <w:rFonts w:cs="Times New Roman"/>
          <w:szCs w:val="24"/>
        </w:rPr>
        <w:t>Radiológicos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Nucleares.</w:t>
      </w:r>
    </w:p>
    <w:p w14:paraId="2EBE916A" w14:textId="13897C49"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técnicos</w:t>
      </w:r>
      <w:r w:rsidR="00D136BB">
        <w:rPr>
          <w:rFonts w:cs="Times New Roman"/>
          <w:szCs w:val="24"/>
        </w:rPr>
        <w:t xml:space="preserve"> </w:t>
      </w:r>
      <w:r w:rsidRPr="00AE1E0D">
        <w:rPr>
          <w:rFonts w:cs="Times New Roman"/>
          <w:szCs w:val="24"/>
        </w:rPr>
        <w:t>esenciales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apoyo</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infraestructura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p>
    <w:p w14:paraId="5FDD618D" w14:textId="3CCF191C"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Disponibilidad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herramientas</w:t>
      </w:r>
      <w:r w:rsidR="00D136BB">
        <w:rPr>
          <w:rFonts w:cs="Times New Roman"/>
          <w:szCs w:val="24"/>
        </w:rPr>
        <w:t xml:space="preserve"> </w:t>
      </w:r>
      <w:r w:rsidRPr="00AE1E0D">
        <w:rPr>
          <w:rFonts w:cs="Times New Roman"/>
          <w:szCs w:val="24"/>
        </w:rPr>
        <w:t>(software)</w:t>
      </w:r>
      <w:r w:rsidR="00D136BB">
        <w:rPr>
          <w:rFonts w:cs="Times New Roman"/>
          <w:szCs w:val="24"/>
        </w:rPr>
        <w:t xml:space="preserve"> </w:t>
      </w:r>
      <w:r w:rsidRPr="00AE1E0D">
        <w:rPr>
          <w:rFonts w:cs="Times New Roman"/>
          <w:szCs w:val="24"/>
        </w:rPr>
        <w:t>que</w:t>
      </w:r>
      <w:r w:rsidR="00D136BB">
        <w:rPr>
          <w:rFonts w:cs="Times New Roman"/>
          <w:szCs w:val="24"/>
        </w:rPr>
        <w:t xml:space="preserve"> </w:t>
      </w:r>
      <w:r w:rsidRPr="00AE1E0D">
        <w:rPr>
          <w:rFonts w:cs="Times New Roman"/>
          <w:szCs w:val="24"/>
        </w:rPr>
        <w:t>sirven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base</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materia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preparación</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personal</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otras</w:t>
      </w:r>
      <w:r w:rsidR="00D136BB">
        <w:rPr>
          <w:rFonts w:cs="Times New Roman"/>
          <w:szCs w:val="24"/>
        </w:rPr>
        <w:t xml:space="preserve"> </w:t>
      </w:r>
      <w:r w:rsidRPr="00AE1E0D">
        <w:rPr>
          <w:rFonts w:cs="Times New Roman"/>
          <w:szCs w:val="24"/>
        </w:rPr>
        <w:t>actividades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área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p>
    <w:p w14:paraId="4AF45A74" w14:textId="73737CF7"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Oferta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cooperación</w:t>
      </w:r>
      <w:r w:rsidR="00D136BB">
        <w:rPr>
          <w:rFonts w:cs="Times New Roman"/>
          <w:szCs w:val="24"/>
        </w:rPr>
        <w:t xml:space="preserve"> </w:t>
      </w:r>
      <w:r w:rsidRPr="00AE1E0D">
        <w:rPr>
          <w:rFonts w:cs="Times New Roman"/>
          <w:szCs w:val="24"/>
        </w:rPr>
        <w:t>internacional</w:t>
      </w:r>
      <w:r w:rsidR="00D136BB">
        <w:rPr>
          <w:rFonts w:cs="Times New Roman"/>
          <w:szCs w:val="24"/>
        </w:rPr>
        <w:t xml:space="preserve"> </w:t>
      </w:r>
      <w:r w:rsidR="00250698" w:rsidRPr="00250698">
        <w:rPr>
          <w:rFonts w:cs="Times New Roman"/>
          <w:szCs w:val="24"/>
        </w:rPr>
        <w:t>(OIEA,</w:t>
      </w:r>
      <w:r w:rsidR="00D136BB">
        <w:rPr>
          <w:rFonts w:cs="Times New Roman"/>
          <w:szCs w:val="24"/>
        </w:rPr>
        <w:t xml:space="preserve"> </w:t>
      </w:r>
      <w:r w:rsidR="00250698" w:rsidRPr="00250698">
        <w:rPr>
          <w:rFonts w:cs="Times New Roman"/>
          <w:szCs w:val="24"/>
        </w:rPr>
        <w:t>OPS,</w:t>
      </w:r>
      <w:r w:rsidR="00D136BB">
        <w:rPr>
          <w:rFonts w:cs="Times New Roman"/>
          <w:szCs w:val="24"/>
        </w:rPr>
        <w:t xml:space="preserve"> </w:t>
      </w:r>
      <w:r w:rsidR="00250698" w:rsidRPr="00250698">
        <w:rPr>
          <w:rFonts w:cs="Times New Roman"/>
          <w:szCs w:val="24"/>
        </w:rPr>
        <w:t>OIT)</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bilateral,</w:t>
      </w:r>
      <w:r w:rsidR="00D136BB">
        <w:rPr>
          <w:rFonts w:cs="Times New Roman"/>
          <w:szCs w:val="24"/>
        </w:rPr>
        <w:t xml:space="preserve"> </w:t>
      </w:r>
      <w:r w:rsidRPr="00AE1E0D">
        <w:rPr>
          <w:rFonts w:cs="Times New Roman"/>
          <w:szCs w:val="24"/>
        </w:rPr>
        <w:t>especializada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temas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dedicada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apoyar</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desarrollo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infraestructuras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p>
    <w:p w14:paraId="1B3EF420" w14:textId="7D95E46D"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lastRenderedPageBreak/>
        <w:t>Capacidad</w:t>
      </w:r>
      <w:r w:rsidR="00D136BB">
        <w:rPr>
          <w:rFonts w:cs="Times New Roman"/>
          <w:szCs w:val="24"/>
        </w:rPr>
        <w:t xml:space="preserve"> </w:t>
      </w:r>
      <w:r w:rsidRPr="00AE1E0D">
        <w:rPr>
          <w:rFonts w:cs="Times New Roman"/>
          <w:szCs w:val="24"/>
        </w:rPr>
        <w:t>desarrollada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algunos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capacitar</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entrenadores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producir</w:t>
      </w:r>
      <w:r w:rsidR="00D136BB">
        <w:rPr>
          <w:rFonts w:cs="Times New Roman"/>
          <w:szCs w:val="24"/>
        </w:rPr>
        <w:t xml:space="preserve"> </w:t>
      </w:r>
      <w:r w:rsidRPr="00AE1E0D">
        <w:rPr>
          <w:rFonts w:cs="Times New Roman"/>
          <w:szCs w:val="24"/>
        </w:rPr>
        <w:t>efectos</w:t>
      </w:r>
      <w:r w:rsidR="00D136BB">
        <w:rPr>
          <w:rFonts w:cs="Times New Roman"/>
          <w:szCs w:val="24"/>
        </w:rPr>
        <w:t xml:space="preserve"> </w:t>
      </w:r>
      <w:r w:rsidRPr="00AE1E0D">
        <w:rPr>
          <w:rFonts w:cs="Times New Roman"/>
          <w:szCs w:val="24"/>
        </w:rPr>
        <w:t>multiplicativos.</w:t>
      </w:r>
      <w:r w:rsidR="00D136BB">
        <w:rPr>
          <w:rFonts w:cs="Times New Roman"/>
          <w:szCs w:val="24"/>
        </w:rPr>
        <w:t xml:space="preserve"> </w:t>
      </w:r>
    </w:p>
    <w:p w14:paraId="59283D40" w14:textId="4D6C9B82"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un</w:t>
      </w:r>
      <w:r w:rsidR="00D136BB">
        <w:rPr>
          <w:rFonts w:cs="Times New Roman"/>
          <w:szCs w:val="24"/>
        </w:rPr>
        <w:t xml:space="preserve"> </w:t>
      </w:r>
      <w:r w:rsidRPr="00AE1E0D">
        <w:rPr>
          <w:rFonts w:cs="Times New Roman"/>
          <w:szCs w:val="24"/>
        </w:rPr>
        <w:t>grupo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expertos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acceso</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servicios</w:t>
      </w:r>
      <w:r w:rsidR="00D136BB">
        <w:rPr>
          <w:rFonts w:cs="Times New Roman"/>
          <w:szCs w:val="24"/>
        </w:rPr>
        <w:t xml:space="preserve"> </w:t>
      </w:r>
      <w:r w:rsidRPr="00AE1E0D">
        <w:rPr>
          <w:rFonts w:cs="Times New Roman"/>
          <w:szCs w:val="24"/>
        </w:rPr>
        <w:t>(LBDNET)</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atención</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radiológicas.</w:t>
      </w:r>
    </w:p>
    <w:p w14:paraId="77C2A0FB" w14:textId="70DCD95C"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dos</w:t>
      </w:r>
      <w:r w:rsidR="00D136BB">
        <w:rPr>
          <w:rFonts w:cs="Times New Roman"/>
          <w:szCs w:val="24"/>
        </w:rPr>
        <w:t xml:space="preserve"> </w:t>
      </w:r>
      <w:r w:rsidRPr="00AE1E0D">
        <w:rPr>
          <w:rFonts w:cs="Times New Roman"/>
          <w:szCs w:val="24"/>
        </w:rPr>
        <w:t>centros</w:t>
      </w:r>
      <w:r w:rsidR="00D136BB">
        <w:rPr>
          <w:rFonts w:cs="Times New Roman"/>
          <w:szCs w:val="24"/>
        </w:rPr>
        <w:t xml:space="preserve"> </w:t>
      </w:r>
      <w:r w:rsidRPr="00AE1E0D">
        <w:rPr>
          <w:rFonts w:cs="Times New Roman"/>
          <w:szCs w:val="24"/>
        </w:rPr>
        <w:t>regionales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capacitación</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cursos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postgrado</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protección</w:t>
      </w:r>
      <w:r w:rsidR="00D136BB">
        <w:rPr>
          <w:rFonts w:cs="Times New Roman"/>
          <w:szCs w:val="24"/>
        </w:rPr>
        <w:t xml:space="preserve"> </w:t>
      </w:r>
      <w:r w:rsidRPr="00AE1E0D">
        <w:rPr>
          <w:rFonts w:cs="Times New Roman"/>
          <w:szCs w:val="24"/>
        </w:rPr>
        <w:t>radiológica</w:t>
      </w:r>
      <w:r w:rsidR="00D136BB">
        <w:rPr>
          <w:rFonts w:cs="Times New Roman"/>
          <w:szCs w:val="24"/>
        </w:rPr>
        <w:t xml:space="preserve"> </w:t>
      </w:r>
      <w:r w:rsidRPr="00AE1E0D">
        <w:rPr>
          <w:rFonts w:cs="Times New Roman"/>
          <w:szCs w:val="24"/>
        </w:rPr>
        <w:t>reconocidos</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OIEA.</w:t>
      </w:r>
    </w:p>
    <w:p w14:paraId="00A6AA22" w14:textId="46150A6F"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Disponibilidad</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paquetes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capacitación</w:t>
      </w:r>
      <w:r w:rsidR="00D136BB">
        <w:rPr>
          <w:rFonts w:cs="Times New Roman"/>
          <w:szCs w:val="24"/>
        </w:rPr>
        <w:t xml:space="preserve"> </w:t>
      </w:r>
      <w:r w:rsidRPr="00AE1E0D">
        <w:rPr>
          <w:rFonts w:cs="Times New Roman"/>
          <w:szCs w:val="24"/>
        </w:rPr>
        <w:t>desarrollados</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OIEA,</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ejemplo,</w:t>
      </w:r>
      <w:r w:rsidR="00D136BB">
        <w:rPr>
          <w:rFonts w:cs="Times New Roman"/>
          <w:szCs w:val="24"/>
        </w:rPr>
        <w:t xml:space="preserve"> </w:t>
      </w:r>
      <w:r w:rsidRPr="00AE1E0D">
        <w:rPr>
          <w:rFonts w:cs="Times New Roman"/>
          <w:szCs w:val="24"/>
        </w:rPr>
        <w:t>cursos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línea,</w:t>
      </w:r>
      <w:r w:rsidR="00D136BB">
        <w:rPr>
          <w:rFonts w:cs="Times New Roman"/>
          <w:szCs w:val="24"/>
        </w:rPr>
        <w:t xml:space="preserve"> </w:t>
      </w:r>
      <w:r w:rsidRPr="00AE1E0D">
        <w:rPr>
          <w:rFonts w:cs="Times New Roman"/>
          <w:szCs w:val="24"/>
        </w:rPr>
        <w:t>los</w:t>
      </w:r>
      <w:r w:rsidR="00D136BB">
        <w:rPr>
          <w:rFonts w:cs="Times New Roman"/>
          <w:szCs w:val="24"/>
        </w:rPr>
        <w:t xml:space="preserve"> </w:t>
      </w:r>
      <w:r w:rsidRPr="00AE1E0D">
        <w:rPr>
          <w:rFonts w:cs="Times New Roman"/>
          <w:szCs w:val="24"/>
        </w:rPr>
        <w:t>cuales</w:t>
      </w:r>
      <w:r w:rsidR="00D136BB">
        <w:rPr>
          <w:rFonts w:cs="Times New Roman"/>
          <w:szCs w:val="24"/>
        </w:rPr>
        <w:t xml:space="preserve"> </w:t>
      </w:r>
      <w:r w:rsidRPr="00AE1E0D">
        <w:rPr>
          <w:rFonts w:cs="Times New Roman"/>
          <w:szCs w:val="24"/>
        </w:rPr>
        <w:t>permiten</w:t>
      </w:r>
      <w:r w:rsidR="00D136BB">
        <w:rPr>
          <w:rFonts w:cs="Times New Roman"/>
          <w:szCs w:val="24"/>
        </w:rPr>
        <w:t xml:space="preserve"> </w:t>
      </w:r>
      <w:r w:rsidRPr="00AE1E0D">
        <w:rPr>
          <w:rFonts w:cs="Times New Roman"/>
          <w:szCs w:val="24"/>
        </w:rPr>
        <w:t>una</w:t>
      </w:r>
      <w:r w:rsidR="00D136BB">
        <w:rPr>
          <w:rFonts w:cs="Times New Roman"/>
          <w:szCs w:val="24"/>
        </w:rPr>
        <w:t xml:space="preserve"> </w:t>
      </w:r>
      <w:r w:rsidRPr="00AE1E0D">
        <w:rPr>
          <w:rFonts w:cs="Times New Roman"/>
          <w:szCs w:val="24"/>
        </w:rPr>
        <w:t>homogenización</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información</w:t>
      </w:r>
      <w:r w:rsidR="00D136BB">
        <w:rPr>
          <w:rFonts w:cs="Times New Roman"/>
          <w:szCs w:val="24"/>
        </w:rPr>
        <w:t xml:space="preserve"> </w:t>
      </w:r>
      <w:r w:rsidRPr="00AE1E0D">
        <w:rPr>
          <w:rFonts w:cs="Times New Roman"/>
          <w:szCs w:val="24"/>
        </w:rPr>
        <w:t>impartida</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capacitación.</w:t>
      </w:r>
    </w:p>
    <w:p w14:paraId="14D99207" w14:textId="7AFB784E"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Existencia</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Convenciones</w:t>
      </w:r>
      <w:r w:rsidR="00D136BB">
        <w:rPr>
          <w:rFonts w:cs="Times New Roman"/>
          <w:szCs w:val="24"/>
        </w:rPr>
        <w:t xml:space="preserve"> </w:t>
      </w:r>
      <w:r w:rsidRPr="00AE1E0D">
        <w:rPr>
          <w:rFonts w:cs="Times New Roman"/>
          <w:szCs w:val="24"/>
        </w:rPr>
        <w:t>Internacionales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Seguridad</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Respuesta</w:t>
      </w:r>
      <w:r w:rsidR="00D136BB">
        <w:rPr>
          <w:rFonts w:cs="Times New Roman"/>
          <w:szCs w:val="24"/>
        </w:rPr>
        <w:t xml:space="preserve"> </w:t>
      </w:r>
      <w:r w:rsidRPr="00AE1E0D">
        <w:rPr>
          <w:rFonts w:cs="Times New Roman"/>
          <w:szCs w:val="24"/>
        </w:rPr>
        <w:t>a</w:t>
      </w:r>
      <w:r w:rsidR="00D136BB">
        <w:rPr>
          <w:rFonts w:cs="Times New Roman"/>
          <w:szCs w:val="24"/>
        </w:rPr>
        <w:t xml:space="preserve"> </w:t>
      </w:r>
      <w:r w:rsidRPr="00AE1E0D">
        <w:rPr>
          <w:rFonts w:cs="Times New Roman"/>
          <w:szCs w:val="24"/>
        </w:rPr>
        <w:t>Emergencias,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Códigos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Conducta.</w:t>
      </w:r>
    </w:p>
    <w:p w14:paraId="79C3C871" w14:textId="4E83B716" w:rsidR="005D0292" w:rsidRPr="00AE1E0D" w:rsidRDefault="005D0292" w:rsidP="00BE3BCB">
      <w:pPr>
        <w:pStyle w:val="ListNumber"/>
        <w:numPr>
          <w:ilvl w:val="0"/>
          <w:numId w:val="43"/>
        </w:numPr>
        <w:ind w:left="567" w:hanging="425"/>
        <w:rPr>
          <w:rFonts w:cs="Times New Roman"/>
          <w:szCs w:val="24"/>
        </w:rPr>
      </w:pPr>
      <w:r w:rsidRPr="00AE1E0D">
        <w:rPr>
          <w:rFonts w:cs="Times New Roman"/>
          <w:szCs w:val="24"/>
        </w:rPr>
        <w:t>Capacidad</w:t>
      </w:r>
      <w:r w:rsidR="00D136BB">
        <w:rPr>
          <w:rFonts w:cs="Times New Roman"/>
          <w:szCs w:val="24"/>
        </w:rPr>
        <w:t xml:space="preserve"> </w:t>
      </w:r>
      <w:r w:rsidRPr="00AE1E0D">
        <w:rPr>
          <w:rFonts w:cs="Times New Roman"/>
          <w:szCs w:val="24"/>
        </w:rPr>
        <w:t>del</w:t>
      </w:r>
      <w:r w:rsidR="00D136BB">
        <w:rPr>
          <w:rFonts w:cs="Times New Roman"/>
          <w:szCs w:val="24"/>
        </w:rPr>
        <w:t xml:space="preserve"> </w:t>
      </w:r>
      <w:r w:rsidRPr="00AE1E0D">
        <w:rPr>
          <w:rFonts w:cs="Times New Roman"/>
          <w:szCs w:val="24"/>
        </w:rPr>
        <w:t>sector</w:t>
      </w:r>
      <w:r w:rsidR="00D136BB">
        <w:rPr>
          <w:rFonts w:cs="Times New Roman"/>
          <w:szCs w:val="24"/>
        </w:rPr>
        <w:t xml:space="preserve"> </w:t>
      </w:r>
      <w:r w:rsidRPr="00AE1E0D">
        <w:rPr>
          <w:rFonts w:cs="Times New Roman"/>
          <w:szCs w:val="24"/>
        </w:rPr>
        <w:t>privado</w:t>
      </w:r>
      <w:r w:rsidR="00D136BB">
        <w:rPr>
          <w:rFonts w:cs="Times New Roman"/>
          <w:szCs w:val="24"/>
        </w:rPr>
        <w:t xml:space="preserve"> </w:t>
      </w:r>
      <w:r w:rsidRPr="00AE1E0D">
        <w:rPr>
          <w:rFonts w:cs="Times New Roman"/>
          <w:szCs w:val="24"/>
        </w:rPr>
        <w:t>para</w:t>
      </w:r>
      <w:r w:rsidR="00D136BB">
        <w:rPr>
          <w:rFonts w:cs="Times New Roman"/>
          <w:szCs w:val="24"/>
        </w:rPr>
        <w:t xml:space="preserve"> </w:t>
      </w:r>
      <w:r w:rsidRPr="00AE1E0D">
        <w:rPr>
          <w:rFonts w:cs="Times New Roman"/>
          <w:szCs w:val="24"/>
        </w:rPr>
        <w:t>colaborar,</w:t>
      </w:r>
      <w:r w:rsidR="00D136BB">
        <w:rPr>
          <w:rFonts w:cs="Times New Roman"/>
          <w:szCs w:val="24"/>
        </w:rPr>
        <w:t xml:space="preserve"> </w:t>
      </w:r>
      <w:r w:rsidRPr="00AE1E0D">
        <w:rPr>
          <w:rFonts w:cs="Times New Roman"/>
          <w:szCs w:val="24"/>
        </w:rPr>
        <w:t>apoyar,</w:t>
      </w:r>
      <w:r w:rsidR="00D136BB">
        <w:rPr>
          <w:rFonts w:cs="Times New Roman"/>
          <w:szCs w:val="24"/>
        </w:rPr>
        <w:t xml:space="preserve"> </w:t>
      </w:r>
      <w:r w:rsidRPr="00AE1E0D">
        <w:rPr>
          <w:rFonts w:cs="Times New Roman"/>
          <w:szCs w:val="24"/>
        </w:rPr>
        <w:t>fomentar</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financiar</w:t>
      </w:r>
      <w:r w:rsidR="00D136BB">
        <w:rPr>
          <w:rFonts w:cs="Times New Roman"/>
          <w:szCs w:val="24"/>
        </w:rPr>
        <w:t xml:space="preserve"> </w:t>
      </w:r>
      <w:r w:rsidRPr="00AE1E0D">
        <w:rPr>
          <w:rFonts w:cs="Times New Roman"/>
          <w:szCs w:val="24"/>
        </w:rPr>
        <w:t>nuevas</w:t>
      </w:r>
      <w:r w:rsidR="00D136BB">
        <w:rPr>
          <w:rFonts w:cs="Times New Roman"/>
          <w:szCs w:val="24"/>
        </w:rPr>
        <w:t xml:space="preserve"> </w:t>
      </w:r>
      <w:r w:rsidRPr="00AE1E0D">
        <w:rPr>
          <w:rFonts w:cs="Times New Roman"/>
          <w:szCs w:val="24"/>
        </w:rPr>
        <w:t>iniciativas</w:t>
      </w:r>
      <w:r w:rsidR="00D136BB">
        <w:rPr>
          <w:rFonts w:cs="Times New Roman"/>
          <w:szCs w:val="24"/>
        </w:rPr>
        <w:t xml:space="preserve"> </w:t>
      </w:r>
      <w:r w:rsidRPr="00AE1E0D">
        <w:rPr>
          <w:rFonts w:cs="Times New Roman"/>
          <w:szCs w:val="24"/>
        </w:rPr>
        <w:t>y</w:t>
      </w:r>
      <w:r w:rsidR="00D136BB">
        <w:rPr>
          <w:rFonts w:cs="Times New Roman"/>
          <w:szCs w:val="24"/>
        </w:rPr>
        <w:t xml:space="preserve"> </w:t>
      </w:r>
      <w:r w:rsidRPr="00AE1E0D">
        <w:rPr>
          <w:rFonts w:cs="Times New Roman"/>
          <w:szCs w:val="24"/>
        </w:rPr>
        <w:t>el</w:t>
      </w:r>
      <w:r w:rsidR="00D136BB">
        <w:rPr>
          <w:rFonts w:cs="Times New Roman"/>
          <w:szCs w:val="24"/>
        </w:rPr>
        <w:t xml:space="preserve"> </w:t>
      </w:r>
      <w:r w:rsidRPr="00AE1E0D">
        <w:rPr>
          <w:rFonts w:cs="Times New Roman"/>
          <w:szCs w:val="24"/>
        </w:rPr>
        <w:t>fortalecimiento</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las</w:t>
      </w:r>
      <w:r w:rsidR="00D136BB">
        <w:rPr>
          <w:rFonts w:cs="Times New Roman"/>
          <w:szCs w:val="24"/>
        </w:rPr>
        <w:t xml:space="preserve"> </w:t>
      </w:r>
      <w:r w:rsidRPr="00AE1E0D">
        <w:rPr>
          <w:rFonts w:cs="Times New Roman"/>
          <w:szCs w:val="24"/>
        </w:rPr>
        <w:t>existentes.</w:t>
      </w:r>
    </w:p>
    <w:p w14:paraId="4561685B" w14:textId="22B0037A" w:rsidR="005D0292" w:rsidRPr="00050AB2" w:rsidRDefault="005D0292" w:rsidP="00050AB2">
      <w:pPr>
        <w:pStyle w:val="ListNumber"/>
        <w:numPr>
          <w:ilvl w:val="0"/>
          <w:numId w:val="43"/>
        </w:numPr>
        <w:ind w:left="567" w:hanging="425"/>
        <w:rPr>
          <w:rFonts w:cs="Times New Roman"/>
          <w:szCs w:val="24"/>
        </w:rPr>
      </w:pPr>
      <w:r w:rsidRPr="00AE1E0D">
        <w:rPr>
          <w:rFonts w:cs="Times New Roman"/>
          <w:szCs w:val="24"/>
        </w:rPr>
        <w:t>Interés</w:t>
      </w:r>
      <w:r w:rsidR="00D136BB">
        <w:rPr>
          <w:rFonts w:cs="Times New Roman"/>
          <w:szCs w:val="24"/>
        </w:rPr>
        <w:t xml:space="preserve"> </w:t>
      </w:r>
      <w:r w:rsidRPr="00AE1E0D">
        <w:rPr>
          <w:rFonts w:cs="Times New Roman"/>
          <w:szCs w:val="24"/>
        </w:rPr>
        <w:t>en</w:t>
      </w:r>
      <w:r w:rsidR="00D136BB">
        <w:rPr>
          <w:rFonts w:cs="Times New Roman"/>
          <w:szCs w:val="24"/>
        </w:rPr>
        <w:t xml:space="preserve"> </w:t>
      </w:r>
      <w:r w:rsidRPr="00AE1E0D">
        <w:rPr>
          <w:rFonts w:cs="Times New Roman"/>
          <w:szCs w:val="24"/>
        </w:rPr>
        <w:t>algunos</w:t>
      </w:r>
      <w:r w:rsidR="00D136BB">
        <w:rPr>
          <w:rFonts w:cs="Times New Roman"/>
          <w:szCs w:val="24"/>
        </w:rPr>
        <w:t xml:space="preserve"> </w:t>
      </w:r>
      <w:r w:rsidRPr="00AE1E0D">
        <w:rPr>
          <w:rFonts w:cs="Times New Roman"/>
          <w:szCs w:val="24"/>
        </w:rPr>
        <w:t>países</w:t>
      </w:r>
      <w:r w:rsidR="00D136BB">
        <w:rPr>
          <w:rFonts w:cs="Times New Roman"/>
          <w:szCs w:val="24"/>
        </w:rPr>
        <w:t xml:space="preserve"> </w:t>
      </w:r>
      <w:r w:rsidRPr="00AE1E0D">
        <w:rPr>
          <w:rFonts w:cs="Times New Roman"/>
          <w:szCs w:val="24"/>
        </w:rPr>
        <w:t>de</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región</w:t>
      </w:r>
      <w:r w:rsidR="00D136BB">
        <w:rPr>
          <w:rFonts w:cs="Times New Roman"/>
          <w:szCs w:val="24"/>
        </w:rPr>
        <w:t xml:space="preserve"> </w:t>
      </w:r>
      <w:r w:rsidRPr="00AE1E0D">
        <w:rPr>
          <w:rFonts w:cs="Times New Roman"/>
          <w:szCs w:val="24"/>
        </w:rPr>
        <w:t>por</w:t>
      </w:r>
      <w:r w:rsidR="00D136BB">
        <w:rPr>
          <w:rFonts w:cs="Times New Roman"/>
          <w:szCs w:val="24"/>
        </w:rPr>
        <w:t xml:space="preserve"> </w:t>
      </w:r>
      <w:r w:rsidRPr="00AE1E0D">
        <w:rPr>
          <w:rFonts w:cs="Times New Roman"/>
          <w:szCs w:val="24"/>
        </w:rPr>
        <w:t>la</w:t>
      </w:r>
      <w:r w:rsidR="00D136BB">
        <w:rPr>
          <w:rFonts w:cs="Times New Roman"/>
          <w:szCs w:val="24"/>
        </w:rPr>
        <w:t xml:space="preserve"> </w:t>
      </w:r>
      <w:r w:rsidRPr="00AE1E0D">
        <w:rPr>
          <w:rFonts w:cs="Times New Roman"/>
          <w:szCs w:val="24"/>
        </w:rPr>
        <w:t>generación</w:t>
      </w:r>
      <w:r w:rsidR="00D136BB">
        <w:rPr>
          <w:rFonts w:cs="Times New Roman"/>
          <w:szCs w:val="24"/>
        </w:rPr>
        <w:t xml:space="preserve"> </w:t>
      </w:r>
      <w:r w:rsidRPr="00AE1E0D">
        <w:rPr>
          <w:rFonts w:cs="Times New Roman"/>
          <w:szCs w:val="24"/>
        </w:rPr>
        <w:t>nucleoeléctrica.</w:t>
      </w:r>
      <w:r w:rsidR="00D136BB">
        <w:rPr>
          <w:rFonts w:cs="Times New Roman"/>
          <w:szCs w:val="24"/>
        </w:rPr>
        <w:t xml:space="preserve"> </w:t>
      </w:r>
    </w:p>
    <w:p w14:paraId="5F0E4AFD" w14:textId="32F46C66" w:rsidR="005D0292" w:rsidRPr="00050AB2" w:rsidRDefault="00395ED6" w:rsidP="00050AB2">
      <w:pPr>
        <w:pStyle w:val="Heading1"/>
        <w:numPr>
          <w:ilvl w:val="0"/>
          <w:numId w:val="0"/>
        </w:numPr>
        <w:spacing w:before="480" w:after="240" w:line="240" w:lineRule="auto"/>
        <w:rPr>
          <w:rFonts w:ascii="Times New Roman" w:hAnsi="Times New Roman" w:cs="Times New Roman"/>
          <w:b/>
          <w:bCs/>
          <w:color w:val="auto"/>
          <w:sz w:val="24"/>
          <w:szCs w:val="24"/>
          <w:lang w:val="es-ES"/>
        </w:rPr>
      </w:pPr>
      <w:r w:rsidRPr="00AE1E0D">
        <w:rPr>
          <w:rFonts w:ascii="Times New Roman" w:hAnsi="Times New Roman" w:cs="Times New Roman"/>
          <w:b/>
          <w:bCs/>
          <w:color w:val="auto"/>
          <w:sz w:val="24"/>
          <w:szCs w:val="24"/>
        </w:rPr>
        <w:t>III.</w:t>
      </w:r>
      <w:r w:rsidR="00D136BB">
        <w:rPr>
          <w:rFonts w:ascii="Times New Roman" w:hAnsi="Times New Roman" w:cs="Times New Roman"/>
          <w:b/>
          <w:bCs/>
          <w:color w:val="auto"/>
          <w:sz w:val="24"/>
          <w:szCs w:val="24"/>
        </w:rPr>
        <w:t xml:space="preserve"> </w:t>
      </w:r>
      <w:r w:rsidR="005D0292" w:rsidRPr="00AE1E0D">
        <w:rPr>
          <w:rFonts w:ascii="Times New Roman" w:hAnsi="Times New Roman" w:cs="Times New Roman"/>
          <w:b/>
          <w:bCs/>
          <w:color w:val="auto"/>
          <w:sz w:val="24"/>
          <w:szCs w:val="24"/>
        </w:rPr>
        <w:t>Necesidades</w:t>
      </w:r>
      <w:r w:rsidR="00D136BB">
        <w:rPr>
          <w:rFonts w:ascii="Times New Roman" w:hAnsi="Times New Roman" w:cs="Times New Roman"/>
          <w:b/>
          <w:bCs/>
          <w:color w:val="auto"/>
          <w:sz w:val="24"/>
          <w:szCs w:val="24"/>
        </w:rPr>
        <w:t xml:space="preserve"> </w:t>
      </w:r>
      <w:r w:rsidRPr="00AE1E0D">
        <w:rPr>
          <w:rFonts w:ascii="Times New Roman" w:hAnsi="Times New Roman" w:cs="Times New Roman"/>
          <w:b/>
          <w:bCs/>
          <w:color w:val="auto"/>
          <w:sz w:val="24"/>
          <w:szCs w:val="24"/>
        </w:rPr>
        <w:t>o</w:t>
      </w:r>
      <w:r w:rsidR="00D136BB">
        <w:rPr>
          <w:rFonts w:ascii="Times New Roman" w:hAnsi="Times New Roman" w:cs="Times New Roman"/>
          <w:b/>
          <w:bCs/>
          <w:color w:val="auto"/>
          <w:sz w:val="24"/>
          <w:szCs w:val="24"/>
        </w:rPr>
        <w:t xml:space="preserve"> </w:t>
      </w:r>
      <w:r w:rsidRPr="00AE1E0D">
        <w:rPr>
          <w:rFonts w:ascii="Times New Roman" w:hAnsi="Times New Roman" w:cs="Times New Roman"/>
          <w:b/>
          <w:bCs/>
          <w:color w:val="auto"/>
          <w:sz w:val="24"/>
          <w:szCs w:val="24"/>
        </w:rPr>
        <w:t>P</w:t>
      </w:r>
      <w:r w:rsidR="005D0292" w:rsidRPr="00AE1E0D">
        <w:rPr>
          <w:rFonts w:ascii="Times New Roman" w:hAnsi="Times New Roman" w:cs="Times New Roman"/>
          <w:b/>
          <w:bCs/>
          <w:color w:val="auto"/>
          <w:sz w:val="24"/>
          <w:szCs w:val="24"/>
        </w:rPr>
        <w:t>roblemas</w:t>
      </w:r>
      <w:bookmarkStart w:id="33" w:name="_Toc385241596"/>
    </w:p>
    <w:p w14:paraId="425FC60B" w14:textId="6B9BA4FC" w:rsidR="005D0292" w:rsidRPr="00AE1E0D" w:rsidRDefault="005D0292" w:rsidP="00395ED6">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R1</w:t>
      </w:r>
      <w:r w:rsidR="00395ED6" w:rsidRPr="00AE1E0D">
        <w:rPr>
          <w:rFonts w:ascii="Times New Roman" w:eastAsia="Times New Roman" w:hAnsi="Times New Roman" w:cs="Times New Roman"/>
          <w:b/>
          <w:bCs/>
          <w:sz w:val="24"/>
          <w:szCs w:val="24"/>
          <w:lang w:val="es-ES" w:eastAsia="es-ES"/>
        </w:rPr>
        <w:t>.</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Limitaciones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algunos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reguladores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control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instalaciones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actividades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(rayos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X</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uso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médico,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nuevas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tecnologías,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etc.)</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algunos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gobiernos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establecer</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mantener</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un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apropiado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marco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gubernamental,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jurídico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regulador</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seguridad.</w:t>
      </w:r>
    </w:p>
    <w:p w14:paraId="6F3D70AE" w14:textId="77C06589"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Justificación: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Todos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Miembros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disponen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órgano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regulador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legalmente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establecido.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obstante,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todos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casos,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garantiza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sistema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regulatorio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sostenible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eastAsia="es-ES"/>
        </w:rPr>
        <w:t>protección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radiológica,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órgano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regulador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recursos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suficientes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efectuar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responsabilidades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autorización,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inspección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coerción.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Adicionalmente,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nivel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compromiso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gobiernos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apoyar,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fortalecer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programas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regulatorios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seguridad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radiológica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mejorable.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mayoría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cuentan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escasos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recursos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humanos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financieros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cumplimiento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todas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responsabilidades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asignadas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marco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legal.</w:t>
      </w:r>
    </w:p>
    <w:p w14:paraId="2318B780" w14:textId="7559CFC4"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Objetivo: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Lograr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nivel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eastAsia="es-ES"/>
        </w:rPr>
        <w:t>priorización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sostenibilidad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marco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gubernamental,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legal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regulatorio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eficaz</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seguridad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radiológica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transporte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seguro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material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radiactivo.</w:t>
      </w:r>
    </w:p>
    <w:p w14:paraId="06447FBF" w14:textId="3A7467B0"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Indicador: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Número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demuestran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forma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documentada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incrementado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indicadores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desempeño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RASIMS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relacionados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un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marco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legal,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presupuesto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recursos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humanos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permita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garantizar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estabilidad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sostenibilidad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programa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regulatorio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eastAsia="Times New Roman" w:hAnsi="Times New Roman" w:cs="Times New Roman"/>
          <w:sz w:val="24"/>
          <w:szCs w:val="24"/>
          <w:lang w:val="es-ES" w:eastAsia="es-ES"/>
        </w:rPr>
        <w:t>seguridad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radiológica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transporte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seguro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material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radiactivo.</w:t>
      </w:r>
      <w:r w:rsidR="00D136BB">
        <w:rPr>
          <w:rFonts w:ascii="Times New Roman" w:hAnsi="Times New Roman" w:cs="Times New Roman"/>
          <w:sz w:val="24"/>
          <w:szCs w:val="24"/>
          <w:lang w:val="es-ES"/>
        </w:rPr>
        <w:t xml:space="preserve"> </w:t>
      </w:r>
    </w:p>
    <w:p w14:paraId="0CE5787D" w14:textId="77777777" w:rsidR="005D0292" w:rsidRPr="00AE1E0D" w:rsidRDefault="005D0292" w:rsidP="005D0292">
      <w:pPr>
        <w:ind w:left="284"/>
        <w:jc w:val="both"/>
        <w:rPr>
          <w:rFonts w:ascii="Times New Roman" w:eastAsia="Times New Roman" w:hAnsi="Times New Roman" w:cs="Times New Roman"/>
          <w:sz w:val="24"/>
          <w:szCs w:val="24"/>
          <w:lang w:val="es-ES" w:eastAsia="es-ES"/>
        </w:rPr>
      </w:pPr>
    </w:p>
    <w:p w14:paraId="5A4C0C6E" w14:textId="1C859629" w:rsidR="005D0292" w:rsidRPr="00AE1E0D" w:rsidRDefault="005D0292" w:rsidP="00395ED6">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R2</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Insuficiente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implementación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requisitos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recomendaciones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internacionales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seguridad</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control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exposición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ocupacional,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énfasis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dosimetría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extremidades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cristalino,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lastRenderedPageBreak/>
        <w:t>dosimetría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interna,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monitorización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puestos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trabajo,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sistemas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calidad</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laboratorios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registros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nacionales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dosis.</w:t>
      </w:r>
    </w:p>
    <w:p w14:paraId="3285BA91" w14:textId="7CC9DF56"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Justificación: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Aunque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número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técnicos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dosimetría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externa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incrementado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todavía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identifica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falta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cobertura,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sobre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todo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áreas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dosimetría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neutrones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beta.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falta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dosimetría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interna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mayoría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permite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evaluar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exposición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trabajadores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trabajan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áreas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medicina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nuclear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producción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radionúclidos.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Asimismo,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equipamiento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disponibles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monitoreo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haces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contaminación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superficies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puestos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trabajo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aun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limitado.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sistemas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calidad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sido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todos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así</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como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tampoco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reconocimiento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competencias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técnicas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organismo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respectivo.</w:t>
      </w:r>
      <w:r w:rsidR="00DA332B">
        <w:rPr>
          <w:rFonts w:ascii="Times New Roman" w:hAnsi="Times New Roman" w:cs="Times New Roman"/>
          <w:sz w:val="24"/>
          <w:szCs w:val="24"/>
          <w:lang w:val="es-ES"/>
        </w:rPr>
        <w:t xml:space="preserve"> N</w:t>
      </w:r>
      <w:r w:rsidRPr="00AE1E0D">
        <w:rPr>
          <w:rFonts w:ascii="Times New Roman" w:hAnsi="Times New Roman" w:cs="Times New Roman"/>
          <w:sz w:val="24"/>
          <w:szCs w:val="24"/>
          <w:lang w:val="es-ES"/>
        </w:rPr>
        <w:t>ecesidad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participación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ejercicios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comparación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laboratorios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hace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necesario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fortalecer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optimización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protección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radiológica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ocupacional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Latino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América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(REPROLAM).</w:t>
      </w:r>
    </w:p>
    <w:p w14:paraId="4F532803" w14:textId="10E73C7C"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Objetivo: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Aumentar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cobertura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control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dosis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reciben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trabajadores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ocupacionalmente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expuestos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técnicos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reconocidos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sistemas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calidad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existentes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(monitoreo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individual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interno,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externo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puestos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trabajo).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También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debería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establecer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mantener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actualizados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registros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dosis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ocupacionales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región.</w:t>
      </w:r>
    </w:p>
    <w:p w14:paraId="4432E50A" w14:textId="14274636"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Indicador: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Número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demuestran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forma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aumentado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indicadores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desempeño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RASIMS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relacionadas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monitorización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ocupacional,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considerando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reportes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misiones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ORPAS.</w:t>
      </w:r>
    </w:p>
    <w:p w14:paraId="6F898453" w14:textId="77777777" w:rsidR="005D0292" w:rsidRPr="00AE1E0D" w:rsidRDefault="005D0292" w:rsidP="005D0292">
      <w:pPr>
        <w:ind w:left="284"/>
        <w:jc w:val="both"/>
        <w:rPr>
          <w:rFonts w:ascii="Times New Roman" w:eastAsia="Times New Roman" w:hAnsi="Times New Roman" w:cs="Times New Roman"/>
          <w:sz w:val="24"/>
          <w:szCs w:val="24"/>
          <w:lang w:val="es-ES" w:eastAsia="es-ES"/>
        </w:rPr>
      </w:pPr>
    </w:p>
    <w:p w14:paraId="09A6603D" w14:textId="091DBF36" w:rsidR="005D0292" w:rsidRPr="00AE1E0D" w:rsidRDefault="005D0292" w:rsidP="00395ED6">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R3</w:t>
      </w:r>
      <w:r w:rsidR="00395ED6" w:rsidRPr="006C45C9">
        <w:rPr>
          <w:rFonts w:ascii="Times New Roman" w:eastAsia="Times New Roman" w:hAnsi="Times New Roman" w:cs="Times New Roman"/>
          <w:b/>
          <w:bCs/>
          <w:sz w:val="24"/>
          <w:szCs w:val="24"/>
          <w:lang w:val="es-419" w:eastAsia="es-ES"/>
        </w:rPr>
        <w:t>.</w:t>
      </w:r>
      <w:r w:rsidR="00D136BB">
        <w:rPr>
          <w:rFonts w:ascii="Times New Roman" w:eastAsia="Times New Roman" w:hAnsi="Times New Roman" w:cs="Times New Roman"/>
          <w:b/>
          <w:bCs/>
          <w:sz w:val="24"/>
          <w:szCs w:val="24"/>
          <w:lang w:val="es-419" w:eastAsia="es-ES"/>
        </w:rPr>
        <w:t xml:space="preserve"> </w:t>
      </w:r>
      <w:r w:rsidRPr="00AE1E0D">
        <w:rPr>
          <w:rFonts w:ascii="Times New Roman" w:eastAsia="Times New Roman" w:hAnsi="Times New Roman" w:cs="Times New Roman"/>
          <w:b/>
          <w:bCs/>
          <w:sz w:val="24"/>
          <w:szCs w:val="24"/>
          <w:lang w:val="es-ES" w:eastAsia="es-ES"/>
        </w:rPr>
        <w:t>Limitaciones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capacidades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calibración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protección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radiológica,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radiodiagnóstico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radioterapia,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por</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Laboratorios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Calibración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Dosimétrica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región.</w:t>
      </w:r>
    </w:p>
    <w:p w14:paraId="4EC6AFD8" w14:textId="55F21570"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Justificación: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calibración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verificación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equipamiento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laboratorios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calibración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dosimétrica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suficientes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cubrir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necesidades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usuarios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finales,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niveles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protección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radiológica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(extremidades,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cristalino,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contaminación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superficial),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radiodiagnóstico,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medicina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nuclear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(medición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actividad)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radioterapia.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debe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fundamentalmente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falta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infraestructura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equipamiento,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obsolescencia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equipo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falta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personal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técnico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entrenado.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Asimismo,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identifican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problemas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frecuentes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aduanas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respecto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traslado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equipos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entre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p>
    <w:p w14:paraId="3754C756" w14:textId="4286FEE3" w:rsidR="005D0292" w:rsidRPr="00AE1E0D" w:rsidRDefault="005D0292" w:rsidP="005D0292">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Objetivo: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Identificar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propuestas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solución,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iniciar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corto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mediano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plazo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garantizar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actualización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cobertura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servicios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calibración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dosimétrica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requieren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calibración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equipos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dosímetros.</w:t>
      </w:r>
    </w:p>
    <w:p w14:paraId="4A700E3A" w14:textId="2E62A5B2" w:rsidR="005D0292" w:rsidRPr="00AE1E0D" w:rsidRDefault="005D0292" w:rsidP="005D0292">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Indicador: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Número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demuestran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forma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aumentado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indicadores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desempeño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RASIMS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2</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relacionadas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calibración,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considerando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reportes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misiones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ORPAS.</w:t>
      </w:r>
    </w:p>
    <w:p w14:paraId="40FB5166" w14:textId="77777777" w:rsidR="005D0292" w:rsidRPr="00AE1E0D" w:rsidRDefault="005D0292" w:rsidP="005D0292">
      <w:pPr>
        <w:jc w:val="both"/>
        <w:rPr>
          <w:rFonts w:ascii="Times New Roman" w:eastAsia="Times New Roman" w:hAnsi="Times New Roman" w:cs="Times New Roman"/>
          <w:sz w:val="24"/>
          <w:szCs w:val="24"/>
          <w:lang w:val="es-ES" w:eastAsia="es-ES"/>
        </w:rPr>
      </w:pPr>
    </w:p>
    <w:p w14:paraId="1DB0571A" w14:textId="7E20FACA" w:rsidR="005D0292" w:rsidRPr="00050AB2" w:rsidRDefault="005D0292" w:rsidP="005D0292">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R4</w:t>
      </w:r>
      <w:r w:rsidR="00395ED6" w:rsidRPr="00AE1E0D">
        <w:rPr>
          <w:rFonts w:ascii="Times New Roman" w:eastAsia="Times New Roman" w:hAnsi="Times New Roman" w:cs="Times New Roman"/>
          <w:b/>
          <w:bCs/>
          <w:sz w:val="24"/>
          <w:szCs w:val="24"/>
          <w:lang w:val="es-ES" w:eastAsia="es-ES"/>
        </w:rPr>
        <w:t>.</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Insuficiente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implementación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requisitos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recomendaciones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internacionales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seguridad</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10</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acciones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Convocatoria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Bonn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control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exposición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médica,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énfasis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tecnologías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avanzadas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radioterapia,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procedimientos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intervencionistas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fluoroscópicos,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radiología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digital,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tomosíntesis,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CBCT</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odontológico,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tomografía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computada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multicortes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sistemas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híbridos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(SPECT/CT</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PET/CT).</w:t>
      </w:r>
    </w:p>
    <w:p w14:paraId="110A4AC7" w14:textId="6AD0D140" w:rsidR="005D0292" w:rsidRPr="00AE1E0D" w:rsidRDefault="005D0292" w:rsidP="005D0292">
      <w:pPr>
        <w:pStyle w:val="m8353342046445052423msobodytext2"/>
        <w:jc w:val="both"/>
      </w:pPr>
      <w:r w:rsidRPr="00AE1E0D">
        <w:rPr>
          <w:b/>
          <w:bCs/>
          <w:lang w:val="es-ES"/>
        </w:rPr>
        <w:t>Justificación:</w:t>
      </w:r>
      <w:r w:rsidR="00D136BB">
        <w:rPr>
          <w:lang w:val="es-ES"/>
        </w:rPr>
        <w:t xml:space="preserve"> </w:t>
      </w:r>
      <w:r w:rsidRPr="00AE1E0D">
        <w:rPr>
          <w:lang w:val="es-ES"/>
        </w:rPr>
        <w:t>La</w:t>
      </w:r>
      <w:r w:rsidR="00D136BB">
        <w:rPr>
          <w:lang w:val="es-ES"/>
        </w:rPr>
        <w:t xml:space="preserve"> </w:t>
      </w:r>
      <w:r w:rsidRPr="00AE1E0D">
        <w:rPr>
          <w:lang w:val="es-ES"/>
        </w:rPr>
        <w:t>universalidad</w:t>
      </w:r>
      <w:r w:rsidR="00D136BB">
        <w:rPr>
          <w:lang w:val="es-ES"/>
        </w:rPr>
        <w:t xml:space="preserve"> </w:t>
      </w:r>
      <w:r w:rsidRPr="00AE1E0D">
        <w:rPr>
          <w:lang w:val="es-ES"/>
        </w:rPr>
        <w:t>y</w:t>
      </w:r>
      <w:r w:rsidR="00D136BB">
        <w:rPr>
          <w:lang w:val="es-ES"/>
        </w:rPr>
        <w:t xml:space="preserve"> </w:t>
      </w:r>
      <w:r w:rsidRPr="00AE1E0D">
        <w:rPr>
          <w:lang w:val="es-ES"/>
        </w:rPr>
        <w:t>magnitud</w:t>
      </w:r>
      <w:r w:rsidR="00D136BB">
        <w:rPr>
          <w:lang w:val="es-ES"/>
        </w:rPr>
        <w:t xml:space="preserve"> </w:t>
      </w:r>
      <w:r w:rsidRPr="00AE1E0D">
        <w:rPr>
          <w:lang w:val="es-ES"/>
        </w:rPr>
        <w:t>de</w:t>
      </w:r>
      <w:r w:rsidR="00D136BB">
        <w:rPr>
          <w:lang w:val="es-ES"/>
        </w:rPr>
        <w:t xml:space="preserve"> </w:t>
      </w:r>
      <w:r w:rsidRPr="00AE1E0D">
        <w:rPr>
          <w:lang w:val="es-ES"/>
        </w:rPr>
        <w:t>la</w:t>
      </w:r>
      <w:r w:rsidR="00D136BB">
        <w:rPr>
          <w:lang w:val="es-ES"/>
        </w:rPr>
        <w:t xml:space="preserve"> </w:t>
      </w:r>
      <w:r w:rsidRPr="00AE1E0D">
        <w:rPr>
          <w:lang w:val="es-ES"/>
        </w:rPr>
        <w:t>población</w:t>
      </w:r>
      <w:r w:rsidR="00D136BB">
        <w:rPr>
          <w:lang w:val="es-ES"/>
        </w:rPr>
        <w:t xml:space="preserve"> </w:t>
      </w:r>
      <w:r w:rsidRPr="00AE1E0D">
        <w:rPr>
          <w:lang w:val="es-ES"/>
        </w:rPr>
        <w:t>expuesta</w:t>
      </w:r>
      <w:r w:rsidR="00D136BB">
        <w:rPr>
          <w:lang w:val="es-ES"/>
        </w:rPr>
        <w:t xml:space="preserve"> </w:t>
      </w:r>
      <w:r w:rsidRPr="00AE1E0D">
        <w:rPr>
          <w:lang w:val="es-ES"/>
        </w:rPr>
        <w:t>en</w:t>
      </w:r>
      <w:r w:rsidR="00D136BB">
        <w:rPr>
          <w:lang w:val="es-ES"/>
        </w:rPr>
        <w:t xml:space="preserve"> </w:t>
      </w:r>
      <w:r w:rsidRPr="00AE1E0D">
        <w:rPr>
          <w:lang w:val="es-ES"/>
        </w:rPr>
        <w:t>las</w:t>
      </w:r>
      <w:r w:rsidR="00D136BB">
        <w:rPr>
          <w:lang w:val="es-ES"/>
        </w:rPr>
        <w:t xml:space="preserve"> </w:t>
      </w:r>
      <w:r w:rsidRPr="00AE1E0D">
        <w:rPr>
          <w:lang w:val="es-ES"/>
        </w:rPr>
        <w:t>prácticas</w:t>
      </w:r>
      <w:r w:rsidR="00D136BB">
        <w:rPr>
          <w:lang w:val="es-ES"/>
        </w:rPr>
        <w:t xml:space="preserve"> </w:t>
      </w:r>
      <w:r w:rsidRPr="00AE1E0D">
        <w:rPr>
          <w:lang w:val="es-ES"/>
        </w:rPr>
        <w:t>médicas</w:t>
      </w:r>
      <w:r w:rsidR="00D136BB">
        <w:rPr>
          <w:lang w:val="es-ES"/>
        </w:rPr>
        <w:t xml:space="preserve"> </w:t>
      </w:r>
      <w:r w:rsidRPr="00AE1E0D">
        <w:rPr>
          <w:lang w:val="es-ES"/>
        </w:rPr>
        <w:t>y</w:t>
      </w:r>
      <w:r w:rsidR="00D136BB">
        <w:rPr>
          <w:lang w:val="es-ES"/>
        </w:rPr>
        <w:t xml:space="preserve"> </w:t>
      </w:r>
      <w:r w:rsidRPr="00AE1E0D">
        <w:rPr>
          <w:lang w:val="es-ES"/>
        </w:rPr>
        <w:t>la</w:t>
      </w:r>
      <w:r w:rsidR="00D136BB">
        <w:rPr>
          <w:lang w:val="es-ES"/>
        </w:rPr>
        <w:t xml:space="preserve"> </w:t>
      </w:r>
      <w:r w:rsidRPr="00AE1E0D">
        <w:rPr>
          <w:lang w:val="es-ES"/>
        </w:rPr>
        <w:t>implementación</w:t>
      </w:r>
      <w:r w:rsidR="00D136BB">
        <w:rPr>
          <w:lang w:val="es-ES"/>
        </w:rPr>
        <w:t xml:space="preserve"> </w:t>
      </w:r>
      <w:r w:rsidRPr="00AE1E0D">
        <w:rPr>
          <w:lang w:val="es-ES"/>
        </w:rPr>
        <w:t>parcial</w:t>
      </w:r>
      <w:r w:rsidR="00D136BB">
        <w:rPr>
          <w:lang w:val="es-ES"/>
        </w:rPr>
        <w:t xml:space="preserve"> </w:t>
      </w:r>
      <w:r w:rsidRPr="00AE1E0D">
        <w:rPr>
          <w:lang w:val="es-ES"/>
        </w:rPr>
        <w:t>en</w:t>
      </w:r>
      <w:r w:rsidR="00D136BB">
        <w:rPr>
          <w:lang w:val="es-ES"/>
        </w:rPr>
        <w:t xml:space="preserve"> </w:t>
      </w:r>
      <w:r w:rsidRPr="00AE1E0D">
        <w:rPr>
          <w:lang w:val="es-ES"/>
        </w:rPr>
        <w:t>algunos</w:t>
      </w:r>
      <w:r w:rsidR="00D136BB">
        <w:rPr>
          <w:lang w:val="es-ES"/>
        </w:rPr>
        <w:t xml:space="preserve"> </w:t>
      </w:r>
      <w:r w:rsidRPr="00AE1E0D">
        <w:rPr>
          <w:lang w:val="es-ES"/>
        </w:rPr>
        <w:t>casos</w:t>
      </w:r>
      <w:r w:rsidR="00D136BB">
        <w:rPr>
          <w:lang w:val="es-ES"/>
        </w:rPr>
        <w:t xml:space="preserve"> </w:t>
      </w:r>
      <w:r w:rsidRPr="00AE1E0D">
        <w:rPr>
          <w:lang w:val="es-ES"/>
        </w:rPr>
        <w:t>de</w:t>
      </w:r>
      <w:r w:rsidR="00D136BB">
        <w:rPr>
          <w:lang w:val="es-ES"/>
        </w:rPr>
        <w:t xml:space="preserve"> </w:t>
      </w:r>
      <w:r w:rsidRPr="00AE1E0D">
        <w:rPr>
          <w:lang w:val="es-ES"/>
        </w:rPr>
        <w:t>los</w:t>
      </w:r>
      <w:r w:rsidR="00D136BB">
        <w:rPr>
          <w:lang w:val="es-ES"/>
        </w:rPr>
        <w:t xml:space="preserve"> </w:t>
      </w:r>
      <w:r w:rsidRPr="00AE1E0D">
        <w:rPr>
          <w:lang w:val="es-ES"/>
        </w:rPr>
        <w:t>requisitos</w:t>
      </w:r>
      <w:r w:rsidR="00D136BB">
        <w:rPr>
          <w:lang w:val="es-ES"/>
        </w:rPr>
        <w:t xml:space="preserve"> </w:t>
      </w:r>
      <w:r w:rsidRPr="00AE1E0D">
        <w:rPr>
          <w:lang w:val="es-ES"/>
        </w:rPr>
        <w:t>y</w:t>
      </w:r>
      <w:r w:rsidR="00D136BB">
        <w:rPr>
          <w:lang w:val="es-ES"/>
        </w:rPr>
        <w:t xml:space="preserve"> </w:t>
      </w:r>
      <w:r w:rsidRPr="00AE1E0D">
        <w:rPr>
          <w:lang w:val="es-ES"/>
        </w:rPr>
        <w:t>recomendaciones</w:t>
      </w:r>
      <w:r w:rsidR="00D136BB">
        <w:rPr>
          <w:lang w:val="es-ES"/>
        </w:rPr>
        <w:t xml:space="preserve"> </w:t>
      </w:r>
      <w:r w:rsidRPr="00AE1E0D">
        <w:rPr>
          <w:lang w:val="es-ES"/>
        </w:rPr>
        <w:t>de</w:t>
      </w:r>
      <w:r w:rsidR="00D136BB">
        <w:rPr>
          <w:lang w:val="es-ES"/>
        </w:rPr>
        <w:t xml:space="preserve"> </w:t>
      </w:r>
      <w:r w:rsidRPr="00AE1E0D">
        <w:rPr>
          <w:lang w:val="es-ES"/>
        </w:rPr>
        <w:t>protección</w:t>
      </w:r>
      <w:r w:rsidR="00D136BB">
        <w:rPr>
          <w:lang w:val="es-ES"/>
        </w:rPr>
        <w:t xml:space="preserve"> </w:t>
      </w:r>
      <w:r w:rsidRPr="00AE1E0D">
        <w:rPr>
          <w:lang w:val="es-ES"/>
        </w:rPr>
        <w:t>radiológica</w:t>
      </w:r>
      <w:r w:rsidR="00D136BB">
        <w:rPr>
          <w:lang w:val="es-ES"/>
        </w:rPr>
        <w:t xml:space="preserve"> </w:t>
      </w:r>
      <w:r w:rsidRPr="00AE1E0D">
        <w:rPr>
          <w:lang w:val="es-ES"/>
        </w:rPr>
        <w:t>internacionales</w:t>
      </w:r>
      <w:r w:rsidR="00D136BB">
        <w:rPr>
          <w:lang w:val="es-ES"/>
        </w:rPr>
        <w:t xml:space="preserve"> </w:t>
      </w:r>
      <w:r w:rsidRPr="00AE1E0D">
        <w:rPr>
          <w:lang w:val="es-ES"/>
        </w:rPr>
        <w:t>[SR-2]</w:t>
      </w:r>
      <w:r w:rsidR="00D136BB">
        <w:rPr>
          <w:lang w:val="es-ES"/>
        </w:rPr>
        <w:t xml:space="preserve"> </w:t>
      </w:r>
      <w:r w:rsidRPr="00AE1E0D">
        <w:rPr>
          <w:lang w:val="es-ES"/>
        </w:rPr>
        <w:t>[a]</w:t>
      </w:r>
      <w:r w:rsidR="00D136BB">
        <w:rPr>
          <w:lang w:val="es-ES"/>
        </w:rPr>
        <w:t xml:space="preserve"> </w:t>
      </w:r>
      <w:r w:rsidRPr="00AE1E0D">
        <w:rPr>
          <w:lang w:val="es-ES"/>
        </w:rPr>
        <w:t>[b],</w:t>
      </w:r>
      <w:r w:rsidR="00D136BB">
        <w:rPr>
          <w:lang w:val="es-ES"/>
        </w:rPr>
        <w:t xml:space="preserve"> </w:t>
      </w:r>
      <w:r w:rsidRPr="00AE1E0D">
        <w:rPr>
          <w:lang w:val="es-ES"/>
        </w:rPr>
        <w:t>hacen</w:t>
      </w:r>
      <w:r w:rsidR="00D136BB">
        <w:rPr>
          <w:lang w:val="es-ES"/>
        </w:rPr>
        <w:t xml:space="preserve"> </w:t>
      </w:r>
      <w:r w:rsidRPr="00AE1E0D">
        <w:rPr>
          <w:lang w:val="es-ES"/>
        </w:rPr>
        <w:t>que</w:t>
      </w:r>
      <w:r w:rsidR="00D136BB">
        <w:rPr>
          <w:lang w:val="es-ES"/>
        </w:rPr>
        <w:t xml:space="preserve"> </w:t>
      </w:r>
      <w:r w:rsidRPr="00AE1E0D">
        <w:rPr>
          <w:lang w:val="es-ES"/>
        </w:rPr>
        <w:t>estas</w:t>
      </w:r>
      <w:r w:rsidR="00D136BB">
        <w:rPr>
          <w:lang w:val="es-ES"/>
        </w:rPr>
        <w:t xml:space="preserve"> </w:t>
      </w:r>
      <w:r w:rsidRPr="00AE1E0D">
        <w:rPr>
          <w:lang w:val="es-ES"/>
        </w:rPr>
        <w:t>prácticas</w:t>
      </w:r>
      <w:r w:rsidR="00D136BB">
        <w:rPr>
          <w:lang w:val="es-ES"/>
        </w:rPr>
        <w:t xml:space="preserve"> </w:t>
      </w:r>
      <w:r w:rsidRPr="00AE1E0D">
        <w:rPr>
          <w:lang w:val="es-ES"/>
        </w:rPr>
        <w:t>requieran</w:t>
      </w:r>
      <w:r w:rsidR="00D136BB">
        <w:rPr>
          <w:lang w:val="es-ES"/>
        </w:rPr>
        <w:t xml:space="preserve"> </w:t>
      </w:r>
      <w:r w:rsidRPr="00AE1E0D">
        <w:rPr>
          <w:lang w:val="es-ES"/>
        </w:rPr>
        <w:t>aun</w:t>
      </w:r>
      <w:r w:rsidR="00D136BB">
        <w:rPr>
          <w:lang w:val="es-ES"/>
        </w:rPr>
        <w:t xml:space="preserve"> </w:t>
      </w:r>
      <w:r w:rsidRPr="00AE1E0D">
        <w:rPr>
          <w:lang w:val="es-ES"/>
        </w:rPr>
        <w:t>de</w:t>
      </w:r>
      <w:r w:rsidR="00D136BB">
        <w:rPr>
          <w:lang w:val="es-ES"/>
        </w:rPr>
        <w:t xml:space="preserve"> </w:t>
      </w:r>
      <w:r w:rsidRPr="00AE1E0D">
        <w:rPr>
          <w:lang w:val="es-ES"/>
        </w:rPr>
        <w:t>trabajo</w:t>
      </w:r>
      <w:r w:rsidR="00D136BB">
        <w:rPr>
          <w:lang w:val="es-ES"/>
        </w:rPr>
        <w:t xml:space="preserve"> </w:t>
      </w:r>
      <w:r w:rsidRPr="00AE1E0D">
        <w:rPr>
          <w:lang w:val="es-ES"/>
        </w:rPr>
        <w:t>de</w:t>
      </w:r>
      <w:r w:rsidR="00D136BB">
        <w:rPr>
          <w:lang w:val="es-ES"/>
        </w:rPr>
        <w:t xml:space="preserve"> </w:t>
      </w:r>
      <w:r w:rsidRPr="00AE1E0D">
        <w:rPr>
          <w:lang w:val="es-ES"/>
        </w:rPr>
        <w:t>todas</w:t>
      </w:r>
      <w:r w:rsidR="00D136BB">
        <w:rPr>
          <w:lang w:val="es-ES"/>
        </w:rPr>
        <w:t xml:space="preserve"> </w:t>
      </w:r>
      <w:r w:rsidRPr="00AE1E0D">
        <w:rPr>
          <w:lang w:val="es-ES"/>
        </w:rPr>
        <w:t>las</w:t>
      </w:r>
      <w:r w:rsidR="00D136BB">
        <w:rPr>
          <w:lang w:val="es-ES"/>
        </w:rPr>
        <w:t xml:space="preserve"> </w:t>
      </w:r>
      <w:r w:rsidRPr="00AE1E0D">
        <w:rPr>
          <w:lang w:val="es-ES"/>
        </w:rPr>
        <w:t>partes</w:t>
      </w:r>
      <w:r w:rsidR="00D136BB">
        <w:rPr>
          <w:lang w:val="es-ES"/>
        </w:rPr>
        <w:t xml:space="preserve"> </w:t>
      </w:r>
      <w:r w:rsidRPr="00AE1E0D">
        <w:rPr>
          <w:lang w:val="es-ES"/>
        </w:rPr>
        <w:t>involucradas,</w:t>
      </w:r>
      <w:r w:rsidR="00D136BB">
        <w:rPr>
          <w:lang w:val="es-ES"/>
        </w:rPr>
        <w:t xml:space="preserve"> </w:t>
      </w:r>
      <w:r w:rsidRPr="00AE1E0D">
        <w:rPr>
          <w:lang w:val="es-ES"/>
        </w:rPr>
        <w:t>a</w:t>
      </w:r>
      <w:r w:rsidR="00D136BB">
        <w:rPr>
          <w:lang w:val="es-ES"/>
        </w:rPr>
        <w:t xml:space="preserve"> </w:t>
      </w:r>
      <w:r w:rsidRPr="00AE1E0D">
        <w:rPr>
          <w:lang w:val="es-ES"/>
        </w:rPr>
        <w:t>fin</w:t>
      </w:r>
      <w:r w:rsidR="00D136BB">
        <w:rPr>
          <w:lang w:val="es-ES"/>
        </w:rPr>
        <w:t xml:space="preserve"> </w:t>
      </w:r>
      <w:r w:rsidRPr="00AE1E0D">
        <w:rPr>
          <w:lang w:val="es-ES"/>
        </w:rPr>
        <w:t>de</w:t>
      </w:r>
      <w:r w:rsidR="00D136BB">
        <w:rPr>
          <w:lang w:val="es-ES"/>
        </w:rPr>
        <w:t xml:space="preserve"> </w:t>
      </w:r>
      <w:r w:rsidRPr="00AE1E0D">
        <w:rPr>
          <w:lang w:val="es-ES"/>
        </w:rPr>
        <w:t>evitar</w:t>
      </w:r>
      <w:r w:rsidR="00D136BB">
        <w:rPr>
          <w:lang w:val="es-ES"/>
        </w:rPr>
        <w:t xml:space="preserve"> </w:t>
      </w:r>
      <w:r w:rsidRPr="00AE1E0D">
        <w:rPr>
          <w:lang w:val="es-ES"/>
        </w:rPr>
        <w:t>exposiciones</w:t>
      </w:r>
      <w:r w:rsidR="00D136BB">
        <w:rPr>
          <w:lang w:val="es-ES"/>
        </w:rPr>
        <w:t xml:space="preserve"> </w:t>
      </w:r>
      <w:r w:rsidRPr="00AE1E0D">
        <w:rPr>
          <w:lang w:val="es-ES"/>
        </w:rPr>
        <w:t>innecesarias</w:t>
      </w:r>
      <w:r w:rsidR="00D136BB">
        <w:rPr>
          <w:lang w:val="es-ES"/>
        </w:rPr>
        <w:t xml:space="preserve"> </w:t>
      </w:r>
      <w:r w:rsidRPr="00AE1E0D">
        <w:rPr>
          <w:lang w:val="es-ES"/>
        </w:rPr>
        <w:t>a</w:t>
      </w:r>
      <w:r w:rsidR="00D136BB">
        <w:rPr>
          <w:lang w:val="es-ES"/>
        </w:rPr>
        <w:t xml:space="preserve"> </w:t>
      </w:r>
      <w:r w:rsidRPr="00AE1E0D">
        <w:rPr>
          <w:lang w:val="es-ES"/>
        </w:rPr>
        <w:t>los</w:t>
      </w:r>
      <w:r w:rsidR="00D136BB">
        <w:rPr>
          <w:lang w:val="es-ES"/>
        </w:rPr>
        <w:t xml:space="preserve"> </w:t>
      </w:r>
      <w:r w:rsidRPr="00AE1E0D">
        <w:rPr>
          <w:lang w:val="es-ES"/>
        </w:rPr>
        <w:t>pacientes</w:t>
      </w:r>
      <w:r w:rsidR="00D136BB">
        <w:rPr>
          <w:lang w:val="es-ES"/>
        </w:rPr>
        <w:t xml:space="preserve"> </w:t>
      </w:r>
      <w:r w:rsidRPr="00AE1E0D">
        <w:rPr>
          <w:lang w:val="es-ES"/>
        </w:rPr>
        <w:t>y</w:t>
      </w:r>
      <w:r w:rsidR="00D136BB">
        <w:rPr>
          <w:lang w:val="es-ES"/>
        </w:rPr>
        <w:t xml:space="preserve"> </w:t>
      </w:r>
      <w:r w:rsidRPr="00AE1E0D">
        <w:rPr>
          <w:lang w:val="es-ES"/>
        </w:rPr>
        <w:t>en</w:t>
      </w:r>
      <w:r w:rsidR="00D136BB">
        <w:rPr>
          <w:lang w:val="es-ES"/>
        </w:rPr>
        <w:t xml:space="preserve"> </w:t>
      </w:r>
      <w:r w:rsidRPr="00AE1E0D">
        <w:rPr>
          <w:lang w:val="es-ES"/>
        </w:rPr>
        <w:t>ocasiones</w:t>
      </w:r>
      <w:r w:rsidR="00D136BB">
        <w:rPr>
          <w:lang w:val="es-ES"/>
        </w:rPr>
        <w:t xml:space="preserve"> </w:t>
      </w:r>
      <w:r w:rsidRPr="00AE1E0D">
        <w:rPr>
          <w:lang w:val="es-ES"/>
        </w:rPr>
        <w:t>también</w:t>
      </w:r>
      <w:r w:rsidR="00D136BB">
        <w:rPr>
          <w:lang w:val="es-ES"/>
        </w:rPr>
        <w:t xml:space="preserve"> </w:t>
      </w:r>
      <w:r w:rsidRPr="00AE1E0D">
        <w:rPr>
          <w:lang w:val="es-ES"/>
        </w:rPr>
        <w:t>a</w:t>
      </w:r>
      <w:r w:rsidR="00D136BB">
        <w:rPr>
          <w:lang w:val="es-ES"/>
        </w:rPr>
        <w:t xml:space="preserve"> </w:t>
      </w:r>
      <w:r w:rsidRPr="00AE1E0D">
        <w:rPr>
          <w:lang w:val="es-ES"/>
        </w:rPr>
        <w:t>los</w:t>
      </w:r>
      <w:r w:rsidR="00D136BB">
        <w:rPr>
          <w:lang w:val="es-ES"/>
        </w:rPr>
        <w:t xml:space="preserve"> </w:t>
      </w:r>
      <w:r w:rsidRPr="00AE1E0D">
        <w:rPr>
          <w:lang w:val="es-ES"/>
        </w:rPr>
        <w:t>trabajadores</w:t>
      </w:r>
      <w:r w:rsidR="00D136BB">
        <w:rPr>
          <w:lang w:val="es-ES"/>
        </w:rPr>
        <w:t xml:space="preserve"> </w:t>
      </w:r>
      <w:r w:rsidRPr="00AE1E0D">
        <w:rPr>
          <w:lang w:val="es-ES"/>
        </w:rPr>
        <w:t>y</w:t>
      </w:r>
      <w:r w:rsidR="00D136BB">
        <w:rPr>
          <w:lang w:val="es-ES"/>
        </w:rPr>
        <w:t xml:space="preserve"> </w:t>
      </w:r>
      <w:r w:rsidRPr="00AE1E0D">
        <w:rPr>
          <w:lang w:val="es-ES"/>
        </w:rPr>
        <w:t>al</w:t>
      </w:r>
      <w:r w:rsidR="00D136BB">
        <w:rPr>
          <w:lang w:val="es-ES"/>
        </w:rPr>
        <w:t xml:space="preserve"> </w:t>
      </w:r>
      <w:r w:rsidRPr="00AE1E0D">
        <w:rPr>
          <w:lang w:val="es-ES"/>
        </w:rPr>
        <w:t>público.</w:t>
      </w:r>
      <w:r w:rsidR="00D136BB">
        <w:rPr>
          <w:lang w:val="es-ES"/>
        </w:rPr>
        <w:t xml:space="preserve"> </w:t>
      </w:r>
      <w:r w:rsidRPr="00AE1E0D">
        <w:rPr>
          <w:lang w:val="es-ES"/>
        </w:rPr>
        <w:t>Si</w:t>
      </w:r>
      <w:r w:rsidR="00D136BB">
        <w:rPr>
          <w:lang w:val="es-ES"/>
        </w:rPr>
        <w:t xml:space="preserve"> </w:t>
      </w:r>
      <w:r w:rsidRPr="00AE1E0D">
        <w:rPr>
          <w:lang w:val="es-ES"/>
        </w:rPr>
        <w:t>bien</w:t>
      </w:r>
      <w:r w:rsidR="00D136BB">
        <w:rPr>
          <w:lang w:val="es-ES"/>
        </w:rPr>
        <w:t xml:space="preserve"> </w:t>
      </w:r>
      <w:r w:rsidRPr="00AE1E0D">
        <w:rPr>
          <w:lang w:val="es-ES"/>
        </w:rPr>
        <w:t>se</w:t>
      </w:r>
      <w:r w:rsidR="00D136BB">
        <w:rPr>
          <w:lang w:val="es-ES"/>
        </w:rPr>
        <w:t xml:space="preserve"> </w:t>
      </w:r>
      <w:r w:rsidRPr="00AE1E0D">
        <w:rPr>
          <w:lang w:val="es-ES"/>
        </w:rPr>
        <w:t>identifica</w:t>
      </w:r>
      <w:r w:rsidR="00D136BB">
        <w:rPr>
          <w:lang w:val="es-ES"/>
        </w:rPr>
        <w:t xml:space="preserve"> </w:t>
      </w:r>
      <w:r w:rsidRPr="00AE1E0D">
        <w:rPr>
          <w:lang w:val="es-ES"/>
        </w:rPr>
        <w:t>una</w:t>
      </w:r>
      <w:r w:rsidR="00D136BB">
        <w:rPr>
          <w:lang w:val="es-ES"/>
        </w:rPr>
        <w:t xml:space="preserve"> </w:t>
      </w:r>
      <w:r w:rsidRPr="00AE1E0D">
        <w:rPr>
          <w:lang w:val="es-ES"/>
        </w:rPr>
        <w:t>mejora</w:t>
      </w:r>
      <w:r w:rsidR="00D136BB">
        <w:rPr>
          <w:lang w:val="es-ES"/>
        </w:rPr>
        <w:t xml:space="preserve"> </w:t>
      </w:r>
      <w:r w:rsidRPr="00AE1E0D">
        <w:rPr>
          <w:lang w:val="es-ES"/>
        </w:rPr>
        <w:t>de</w:t>
      </w:r>
      <w:r w:rsidR="00D136BB">
        <w:rPr>
          <w:lang w:val="es-ES"/>
        </w:rPr>
        <w:t xml:space="preserve"> </w:t>
      </w:r>
      <w:r w:rsidRPr="00AE1E0D">
        <w:rPr>
          <w:lang w:val="es-ES"/>
        </w:rPr>
        <w:t>conciencia</w:t>
      </w:r>
      <w:r w:rsidR="00D136BB">
        <w:rPr>
          <w:lang w:val="es-ES"/>
        </w:rPr>
        <w:t xml:space="preserve"> </w:t>
      </w:r>
      <w:r w:rsidRPr="00AE1E0D">
        <w:rPr>
          <w:lang w:val="es-ES"/>
        </w:rPr>
        <w:t>del</w:t>
      </w:r>
      <w:r w:rsidR="00D136BB">
        <w:rPr>
          <w:lang w:val="es-ES"/>
        </w:rPr>
        <w:t xml:space="preserve"> </w:t>
      </w:r>
      <w:r w:rsidRPr="00AE1E0D">
        <w:rPr>
          <w:lang w:val="es-ES"/>
        </w:rPr>
        <w:t>riesgo</w:t>
      </w:r>
      <w:r w:rsidR="00D136BB">
        <w:rPr>
          <w:lang w:val="es-ES"/>
        </w:rPr>
        <w:t xml:space="preserve"> </w:t>
      </w:r>
      <w:r w:rsidRPr="00AE1E0D">
        <w:rPr>
          <w:lang w:val="es-ES"/>
        </w:rPr>
        <w:t>radiológico</w:t>
      </w:r>
      <w:r w:rsidR="00D136BB">
        <w:rPr>
          <w:lang w:val="es-ES"/>
        </w:rPr>
        <w:t xml:space="preserve"> </w:t>
      </w:r>
      <w:r w:rsidRPr="00AE1E0D">
        <w:rPr>
          <w:lang w:val="es-ES"/>
        </w:rPr>
        <w:t>y</w:t>
      </w:r>
      <w:r w:rsidR="00D136BB">
        <w:rPr>
          <w:lang w:val="es-ES"/>
        </w:rPr>
        <w:t xml:space="preserve"> </w:t>
      </w:r>
      <w:r w:rsidRPr="00AE1E0D">
        <w:rPr>
          <w:lang w:val="es-ES"/>
        </w:rPr>
        <w:t>de</w:t>
      </w:r>
      <w:r w:rsidR="00D136BB">
        <w:rPr>
          <w:lang w:val="es-ES"/>
        </w:rPr>
        <w:t xml:space="preserve"> </w:t>
      </w:r>
      <w:r w:rsidRPr="00AE1E0D">
        <w:rPr>
          <w:lang w:val="es-ES"/>
        </w:rPr>
        <w:t>cultura</w:t>
      </w:r>
      <w:r w:rsidR="00D136BB">
        <w:rPr>
          <w:lang w:val="es-ES"/>
        </w:rPr>
        <w:t xml:space="preserve"> </w:t>
      </w:r>
      <w:r w:rsidRPr="00AE1E0D">
        <w:rPr>
          <w:lang w:val="es-ES"/>
        </w:rPr>
        <w:t>de</w:t>
      </w:r>
      <w:r w:rsidR="00D136BB">
        <w:rPr>
          <w:lang w:val="es-ES"/>
        </w:rPr>
        <w:t xml:space="preserve"> </w:t>
      </w:r>
      <w:r w:rsidRPr="00AE1E0D">
        <w:rPr>
          <w:lang w:val="es-ES"/>
        </w:rPr>
        <w:t>seguridad,</w:t>
      </w:r>
      <w:r w:rsidR="00D136BB">
        <w:rPr>
          <w:lang w:val="es-ES"/>
        </w:rPr>
        <w:t xml:space="preserve"> </w:t>
      </w:r>
      <w:r w:rsidRPr="00AE1E0D">
        <w:rPr>
          <w:lang w:val="es-ES"/>
        </w:rPr>
        <w:t>aun</w:t>
      </w:r>
      <w:r w:rsidR="00D136BB">
        <w:rPr>
          <w:lang w:val="es-ES"/>
        </w:rPr>
        <w:t xml:space="preserve"> </w:t>
      </w:r>
      <w:r w:rsidRPr="00AE1E0D">
        <w:rPr>
          <w:lang w:val="es-ES"/>
        </w:rPr>
        <w:t>se</w:t>
      </w:r>
      <w:r w:rsidR="00D136BB">
        <w:rPr>
          <w:lang w:val="es-ES"/>
        </w:rPr>
        <w:t xml:space="preserve"> </w:t>
      </w:r>
      <w:r w:rsidRPr="00AE1E0D">
        <w:rPr>
          <w:lang w:val="es-ES"/>
        </w:rPr>
        <w:t>debe</w:t>
      </w:r>
      <w:r w:rsidR="00D136BB">
        <w:rPr>
          <w:lang w:val="es-ES"/>
        </w:rPr>
        <w:t xml:space="preserve"> </w:t>
      </w:r>
      <w:r w:rsidRPr="00AE1E0D">
        <w:rPr>
          <w:lang w:val="es-ES"/>
        </w:rPr>
        <w:t>continuar</w:t>
      </w:r>
      <w:r w:rsidR="00D136BB">
        <w:rPr>
          <w:lang w:val="es-ES"/>
        </w:rPr>
        <w:t xml:space="preserve"> </w:t>
      </w:r>
      <w:r w:rsidRPr="00AE1E0D">
        <w:rPr>
          <w:lang w:val="es-ES"/>
        </w:rPr>
        <w:t>trabajando</w:t>
      </w:r>
      <w:r w:rsidR="00D136BB">
        <w:rPr>
          <w:lang w:val="es-ES"/>
        </w:rPr>
        <w:t xml:space="preserve"> </w:t>
      </w:r>
      <w:r w:rsidRPr="00AE1E0D">
        <w:rPr>
          <w:lang w:val="es-ES"/>
        </w:rPr>
        <w:t>en</w:t>
      </w:r>
      <w:r w:rsidR="00D136BB">
        <w:rPr>
          <w:lang w:val="es-ES"/>
        </w:rPr>
        <w:t xml:space="preserve"> </w:t>
      </w:r>
      <w:r w:rsidRPr="00AE1E0D">
        <w:rPr>
          <w:lang w:val="es-ES"/>
        </w:rPr>
        <w:t>todos</w:t>
      </w:r>
      <w:r w:rsidR="00D136BB">
        <w:rPr>
          <w:lang w:val="es-ES"/>
        </w:rPr>
        <w:t xml:space="preserve"> </w:t>
      </w:r>
      <w:r w:rsidRPr="00AE1E0D">
        <w:rPr>
          <w:lang w:val="es-ES"/>
        </w:rPr>
        <w:t>los</w:t>
      </w:r>
      <w:r w:rsidR="00D136BB">
        <w:rPr>
          <w:lang w:val="es-ES"/>
        </w:rPr>
        <w:t xml:space="preserve"> </w:t>
      </w:r>
      <w:r w:rsidRPr="00AE1E0D">
        <w:rPr>
          <w:lang w:val="es-ES"/>
        </w:rPr>
        <w:t>niveles.</w:t>
      </w:r>
      <w:r w:rsidR="00D136BB">
        <w:rPr>
          <w:lang w:val="es-ES"/>
        </w:rPr>
        <w:t xml:space="preserve"> </w:t>
      </w:r>
      <w:r w:rsidRPr="00AE1E0D">
        <w:rPr>
          <w:lang w:val="es-ES"/>
        </w:rPr>
        <w:t>En</w:t>
      </w:r>
      <w:r w:rsidR="00D136BB">
        <w:rPr>
          <w:lang w:val="es-ES"/>
        </w:rPr>
        <w:t xml:space="preserve"> </w:t>
      </w:r>
      <w:r w:rsidRPr="00AE1E0D">
        <w:rPr>
          <w:lang w:val="es-ES"/>
        </w:rPr>
        <w:t>la</w:t>
      </w:r>
      <w:r w:rsidR="00D136BB">
        <w:rPr>
          <w:lang w:val="es-ES"/>
        </w:rPr>
        <w:t xml:space="preserve"> </w:t>
      </w:r>
      <w:r w:rsidRPr="00AE1E0D">
        <w:rPr>
          <w:lang w:val="es-ES"/>
        </w:rPr>
        <w:t>mayoría</w:t>
      </w:r>
      <w:r w:rsidR="00D136BB">
        <w:rPr>
          <w:lang w:val="es-ES"/>
        </w:rPr>
        <w:t xml:space="preserve"> </w:t>
      </w:r>
      <w:r w:rsidRPr="00AE1E0D">
        <w:rPr>
          <w:lang w:val="es-ES"/>
        </w:rPr>
        <w:t>de</w:t>
      </w:r>
      <w:r w:rsidR="00D136BB">
        <w:rPr>
          <w:lang w:val="es-ES"/>
        </w:rPr>
        <w:t xml:space="preserve"> </w:t>
      </w:r>
      <w:r w:rsidRPr="00AE1E0D">
        <w:rPr>
          <w:lang w:val="es-ES"/>
        </w:rPr>
        <w:t>los</w:t>
      </w:r>
      <w:r w:rsidR="00D136BB">
        <w:rPr>
          <w:lang w:val="es-ES"/>
        </w:rPr>
        <w:t xml:space="preserve"> </w:t>
      </w:r>
      <w:r w:rsidRPr="00AE1E0D">
        <w:rPr>
          <w:lang w:val="es-ES"/>
        </w:rPr>
        <w:t>países</w:t>
      </w:r>
      <w:r w:rsidR="00D136BB">
        <w:rPr>
          <w:lang w:val="es-ES"/>
        </w:rPr>
        <w:t xml:space="preserve"> </w:t>
      </w:r>
      <w:r w:rsidRPr="00AE1E0D">
        <w:rPr>
          <w:lang w:val="es-ES"/>
        </w:rPr>
        <w:t>se</w:t>
      </w:r>
      <w:r w:rsidR="00D136BB">
        <w:rPr>
          <w:lang w:val="es-ES"/>
        </w:rPr>
        <w:t xml:space="preserve"> </w:t>
      </w:r>
      <w:r w:rsidRPr="00AE1E0D">
        <w:rPr>
          <w:lang w:val="es-ES"/>
        </w:rPr>
        <w:t>están</w:t>
      </w:r>
      <w:r w:rsidR="00D136BB">
        <w:rPr>
          <w:lang w:val="es-ES"/>
        </w:rPr>
        <w:t xml:space="preserve"> </w:t>
      </w:r>
      <w:r w:rsidRPr="00AE1E0D">
        <w:rPr>
          <w:lang w:val="es-ES"/>
        </w:rPr>
        <w:t>incorporando</w:t>
      </w:r>
      <w:r w:rsidR="00D136BB">
        <w:rPr>
          <w:lang w:val="es-ES"/>
        </w:rPr>
        <w:t xml:space="preserve"> </w:t>
      </w:r>
      <w:r w:rsidRPr="00AE1E0D">
        <w:rPr>
          <w:lang w:val="es-ES"/>
        </w:rPr>
        <w:t>nuevas</w:t>
      </w:r>
      <w:r w:rsidR="00D136BB">
        <w:rPr>
          <w:lang w:val="es-ES"/>
        </w:rPr>
        <w:t xml:space="preserve"> </w:t>
      </w:r>
      <w:r w:rsidRPr="00AE1E0D">
        <w:rPr>
          <w:lang w:val="es-ES"/>
        </w:rPr>
        <w:t>prácticas</w:t>
      </w:r>
      <w:r w:rsidR="00D136BB">
        <w:rPr>
          <w:lang w:val="es-ES"/>
        </w:rPr>
        <w:t xml:space="preserve"> </w:t>
      </w:r>
      <w:r w:rsidRPr="00AE1E0D">
        <w:rPr>
          <w:lang w:val="es-ES"/>
        </w:rPr>
        <w:t>y</w:t>
      </w:r>
      <w:r w:rsidR="00D136BB">
        <w:rPr>
          <w:lang w:val="es-ES"/>
        </w:rPr>
        <w:t xml:space="preserve"> </w:t>
      </w:r>
      <w:r w:rsidRPr="00AE1E0D">
        <w:rPr>
          <w:lang w:val="es-ES"/>
        </w:rPr>
        <w:t>tecnologías</w:t>
      </w:r>
      <w:r w:rsidR="00D136BB">
        <w:rPr>
          <w:lang w:val="es-ES"/>
        </w:rPr>
        <w:t xml:space="preserve"> </w:t>
      </w:r>
      <w:r w:rsidRPr="00AE1E0D">
        <w:rPr>
          <w:lang w:val="es-ES"/>
        </w:rPr>
        <w:t>avanzadas</w:t>
      </w:r>
      <w:r w:rsidR="00D136BB">
        <w:rPr>
          <w:lang w:val="es-ES"/>
        </w:rPr>
        <w:t xml:space="preserve"> </w:t>
      </w:r>
      <w:r w:rsidRPr="00AE1E0D">
        <w:rPr>
          <w:lang w:val="es-ES"/>
        </w:rPr>
        <w:t>que</w:t>
      </w:r>
      <w:r w:rsidR="00D136BB">
        <w:rPr>
          <w:lang w:val="es-ES"/>
        </w:rPr>
        <w:t xml:space="preserve"> </w:t>
      </w:r>
      <w:r w:rsidRPr="00AE1E0D">
        <w:rPr>
          <w:lang w:val="es-ES"/>
        </w:rPr>
        <w:t>requieren</w:t>
      </w:r>
      <w:r w:rsidR="00D136BB">
        <w:rPr>
          <w:lang w:val="es-ES"/>
        </w:rPr>
        <w:t xml:space="preserve"> </w:t>
      </w:r>
      <w:r w:rsidRPr="00AE1E0D">
        <w:rPr>
          <w:lang w:val="es-ES"/>
        </w:rPr>
        <w:t>particular</w:t>
      </w:r>
      <w:r w:rsidR="00D136BB">
        <w:rPr>
          <w:lang w:val="es-ES"/>
        </w:rPr>
        <w:t xml:space="preserve"> </w:t>
      </w:r>
      <w:r w:rsidRPr="00AE1E0D">
        <w:rPr>
          <w:lang w:val="es-ES"/>
        </w:rPr>
        <w:t>atención.</w:t>
      </w:r>
    </w:p>
    <w:p w14:paraId="52E36EF6" w14:textId="71D288E7" w:rsidR="005D0292" w:rsidRPr="00AE1E0D" w:rsidRDefault="005D0292" w:rsidP="005D0292">
      <w:pPr>
        <w:pStyle w:val="m8353342046445052423msobodytext2"/>
        <w:jc w:val="both"/>
      </w:pPr>
      <w:r w:rsidRPr="00AE1E0D">
        <w:rPr>
          <w:b/>
          <w:bCs/>
          <w:lang w:val="es-ES"/>
        </w:rPr>
        <w:t>Objetivo:</w:t>
      </w:r>
      <w:r w:rsidR="00D136BB">
        <w:rPr>
          <w:lang w:val="es-ES"/>
        </w:rPr>
        <w:t xml:space="preserve"> </w:t>
      </w:r>
      <w:r w:rsidRPr="00AE1E0D">
        <w:rPr>
          <w:lang w:val="es-ES"/>
        </w:rPr>
        <w:t>Elevar</w:t>
      </w:r>
      <w:r w:rsidR="00D136BB">
        <w:rPr>
          <w:lang w:val="es-ES"/>
        </w:rPr>
        <w:t xml:space="preserve"> </w:t>
      </w:r>
      <w:r w:rsidRPr="00AE1E0D">
        <w:rPr>
          <w:lang w:val="es-ES"/>
        </w:rPr>
        <w:t>el</w:t>
      </w:r>
      <w:r w:rsidR="00D136BB">
        <w:rPr>
          <w:lang w:val="es-ES"/>
        </w:rPr>
        <w:t xml:space="preserve"> </w:t>
      </w:r>
      <w:r w:rsidRPr="00AE1E0D">
        <w:rPr>
          <w:lang w:val="es-ES"/>
        </w:rPr>
        <w:t>grado</w:t>
      </w:r>
      <w:r w:rsidR="00D136BB">
        <w:rPr>
          <w:lang w:val="es-ES"/>
        </w:rPr>
        <w:t xml:space="preserve"> </w:t>
      </w:r>
      <w:r w:rsidRPr="00AE1E0D">
        <w:rPr>
          <w:lang w:val="es-ES"/>
        </w:rPr>
        <w:t>de</w:t>
      </w:r>
      <w:r w:rsidR="00D136BB">
        <w:rPr>
          <w:lang w:val="es-ES"/>
        </w:rPr>
        <w:t xml:space="preserve"> </w:t>
      </w:r>
      <w:r w:rsidRPr="00AE1E0D">
        <w:rPr>
          <w:lang w:val="es-ES"/>
        </w:rPr>
        <w:t>implementación</w:t>
      </w:r>
      <w:r w:rsidR="00D136BB">
        <w:rPr>
          <w:lang w:val="es-ES"/>
        </w:rPr>
        <w:t xml:space="preserve"> </w:t>
      </w:r>
      <w:r w:rsidRPr="00AE1E0D">
        <w:rPr>
          <w:lang w:val="es-ES"/>
        </w:rPr>
        <w:t>de</w:t>
      </w:r>
      <w:r w:rsidR="00D136BB">
        <w:rPr>
          <w:lang w:val="es-ES"/>
        </w:rPr>
        <w:t xml:space="preserve"> </w:t>
      </w:r>
      <w:r w:rsidRPr="00AE1E0D">
        <w:rPr>
          <w:lang w:val="es-ES"/>
        </w:rPr>
        <w:t>los</w:t>
      </w:r>
      <w:r w:rsidR="00D136BB">
        <w:rPr>
          <w:lang w:val="es-ES"/>
        </w:rPr>
        <w:t xml:space="preserve"> </w:t>
      </w:r>
      <w:r w:rsidRPr="00AE1E0D">
        <w:rPr>
          <w:lang w:val="es-ES"/>
        </w:rPr>
        <w:t>requisitos</w:t>
      </w:r>
      <w:r w:rsidR="00D136BB">
        <w:rPr>
          <w:lang w:val="es-ES"/>
        </w:rPr>
        <w:t xml:space="preserve"> </w:t>
      </w:r>
      <w:r w:rsidRPr="00AE1E0D">
        <w:rPr>
          <w:lang w:val="es-ES"/>
        </w:rPr>
        <w:t>y</w:t>
      </w:r>
      <w:r w:rsidR="00D136BB">
        <w:rPr>
          <w:lang w:val="es-ES"/>
        </w:rPr>
        <w:t xml:space="preserve"> </w:t>
      </w:r>
      <w:r w:rsidRPr="00AE1E0D">
        <w:rPr>
          <w:lang w:val="es-ES"/>
        </w:rPr>
        <w:t>recomendaciones</w:t>
      </w:r>
      <w:r w:rsidR="00D136BB">
        <w:rPr>
          <w:lang w:val="es-ES"/>
        </w:rPr>
        <w:t xml:space="preserve"> </w:t>
      </w:r>
      <w:r w:rsidRPr="00AE1E0D">
        <w:rPr>
          <w:lang w:val="es-ES"/>
        </w:rPr>
        <w:t>de</w:t>
      </w:r>
      <w:r w:rsidR="00D136BB">
        <w:rPr>
          <w:lang w:val="es-ES"/>
        </w:rPr>
        <w:t xml:space="preserve"> </w:t>
      </w:r>
      <w:r w:rsidRPr="00AE1E0D">
        <w:rPr>
          <w:lang w:val="es-ES"/>
        </w:rPr>
        <w:t>protección</w:t>
      </w:r>
      <w:r w:rsidR="00D136BB">
        <w:rPr>
          <w:lang w:val="es-ES"/>
        </w:rPr>
        <w:t xml:space="preserve"> </w:t>
      </w:r>
      <w:r w:rsidRPr="00AE1E0D">
        <w:rPr>
          <w:lang w:val="es-ES"/>
        </w:rPr>
        <w:t>radiológica</w:t>
      </w:r>
      <w:r w:rsidR="00D136BB">
        <w:rPr>
          <w:lang w:val="es-ES"/>
        </w:rPr>
        <w:t xml:space="preserve"> </w:t>
      </w:r>
      <w:r w:rsidRPr="00AE1E0D">
        <w:rPr>
          <w:lang w:val="es-ES"/>
        </w:rPr>
        <w:t>en</w:t>
      </w:r>
      <w:r w:rsidR="00D136BB">
        <w:rPr>
          <w:lang w:val="es-ES"/>
        </w:rPr>
        <w:t xml:space="preserve"> </w:t>
      </w:r>
      <w:r w:rsidRPr="00AE1E0D">
        <w:rPr>
          <w:lang w:val="es-ES"/>
        </w:rPr>
        <w:t>las</w:t>
      </w:r>
      <w:r w:rsidR="00D136BB">
        <w:rPr>
          <w:lang w:val="es-ES"/>
        </w:rPr>
        <w:t xml:space="preserve"> </w:t>
      </w:r>
      <w:r w:rsidRPr="00AE1E0D">
        <w:rPr>
          <w:lang w:val="es-ES"/>
        </w:rPr>
        <w:t>prácticas</w:t>
      </w:r>
      <w:r w:rsidR="00D136BB">
        <w:rPr>
          <w:lang w:val="es-ES"/>
        </w:rPr>
        <w:t xml:space="preserve"> </w:t>
      </w:r>
      <w:r w:rsidRPr="00AE1E0D">
        <w:rPr>
          <w:lang w:val="es-ES"/>
        </w:rPr>
        <w:t>médicas,</w:t>
      </w:r>
      <w:r w:rsidR="00D136BB">
        <w:rPr>
          <w:lang w:val="es-ES"/>
        </w:rPr>
        <w:t xml:space="preserve"> </w:t>
      </w:r>
      <w:r w:rsidRPr="00AE1E0D">
        <w:rPr>
          <w:lang w:val="es-ES"/>
        </w:rPr>
        <w:t>con</w:t>
      </w:r>
      <w:r w:rsidR="00D136BB">
        <w:rPr>
          <w:lang w:val="es-ES"/>
        </w:rPr>
        <w:t xml:space="preserve"> </w:t>
      </w:r>
      <w:r w:rsidRPr="00AE1E0D">
        <w:rPr>
          <w:lang w:val="es-ES"/>
        </w:rPr>
        <w:t>énfasis</w:t>
      </w:r>
      <w:r w:rsidR="00D136BB">
        <w:rPr>
          <w:lang w:val="es-ES"/>
        </w:rPr>
        <w:t xml:space="preserve"> </w:t>
      </w:r>
      <w:r w:rsidRPr="00AE1E0D">
        <w:rPr>
          <w:lang w:val="es-ES"/>
        </w:rPr>
        <w:t>en</w:t>
      </w:r>
      <w:r w:rsidR="00D136BB">
        <w:rPr>
          <w:lang w:val="es-ES"/>
        </w:rPr>
        <w:t xml:space="preserve"> </w:t>
      </w:r>
      <w:r w:rsidRPr="00AE1E0D">
        <w:rPr>
          <w:lang w:val="es-ES"/>
        </w:rPr>
        <w:t>las</w:t>
      </w:r>
      <w:r w:rsidR="00D136BB">
        <w:rPr>
          <w:lang w:val="es-ES"/>
        </w:rPr>
        <w:t xml:space="preserve"> </w:t>
      </w:r>
      <w:r w:rsidRPr="00AE1E0D">
        <w:rPr>
          <w:lang w:val="es-ES"/>
        </w:rPr>
        <w:t>necesidades</w:t>
      </w:r>
      <w:r w:rsidR="00D136BB">
        <w:rPr>
          <w:lang w:val="es-ES"/>
        </w:rPr>
        <w:t xml:space="preserve"> </w:t>
      </w:r>
      <w:r w:rsidRPr="00AE1E0D">
        <w:rPr>
          <w:lang w:val="es-ES"/>
        </w:rPr>
        <w:t>específicas</w:t>
      </w:r>
      <w:r w:rsidR="00D136BB">
        <w:rPr>
          <w:lang w:val="es-ES"/>
        </w:rPr>
        <w:t xml:space="preserve"> </w:t>
      </w:r>
      <w:r w:rsidRPr="00AE1E0D">
        <w:rPr>
          <w:lang w:val="es-ES"/>
        </w:rPr>
        <w:t>identificadas.</w:t>
      </w:r>
    </w:p>
    <w:p w14:paraId="7A24B5D2" w14:textId="7343254B" w:rsidR="005D0292" w:rsidRPr="00AE1E0D" w:rsidRDefault="005D0292" w:rsidP="005D0292">
      <w:pPr>
        <w:pStyle w:val="m8353342046445052423msobodytext2"/>
        <w:spacing w:after="0" w:afterAutospacing="0"/>
        <w:jc w:val="both"/>
      </w:pPr>
      <w:r w:rsidRPr="00AE1E0D">
        <w:rPr>
          <w:b/>
          <w:bCs/>
          <w:lang w:val="es-ES"/>
        </w:rPr>
        <w:t>Indicador:</w:t>
      </w:r>
      <w:r w:rsidR="00D136BB">
        <w:rPr>
          <w:lang w:val="es-ES"/>
        </w:rPr>
        <w:t xml:space="preserve"> </w:t>
      </w:r>
      <w:r w:rsidRPr="00AE1E0D">
        <w:rPr>
          <w:lang w:val="es-ES"/>
        </w:rPr>
        <w:t>Número</w:t>
      </w:r>
      <w:r w:rsidR="00D136BB">
        <w:rPr>
          <w:lang w:val="es-ES"/>
        </w:rPr>
        <w:t xml:space="preserve"> </w:t>
      </w:r>
      <w:r w:rsidRPr="00AE1E0D">
        <w:rPr>
          <w:lang w:val="es-ES"/>
        </w:rPr>
        <w:t>de</w:t>
      </w:r>
      <w:r w:rsidR="00D136BB">
        <w:rPr>
          <w:lang w:val="es-ES"/>
        </w:rPr>
        <w:t xml:space="preserve"> </w:t>
      </w:r>
      <w:r w:rsidRPr="00AE1E0D">
        <w:rPr>
          <w:lang w:val="es-ES"/>
        </w:rPr>
        <w:t>países</w:t>
      </w:r>
      <w:r w:rsidR="00D136BB">
        <w:rPr>
          <w:lang w:val="es-ES"/>
        </w:rPr>
        <w:t xml:space="preserve"> </w:t>
      </w:r>
      <w:r w:rsidRPr="00AE1E0D">
        <w:rPr>
          <w:lang w:val="es-ES"/>
        </w:rPr>
        <w:t>que</w:t>
      </w:r>
      <w:r w:rsidR="00D136BB">
        <w:rPr>
          <w:lang w:val="es-ES"/>
        </w:rPr>
        <w:t xml:space="preserve"> </w:t>
      </w:r>
      <w:r w:rsidRPr="00AE1E0D">
        <w:rPr>
          <w:lang w:val="es-ES"/>
        </w:rPr>
        <w:t>demuestran</w:t>
      </w:r>
      <w:r w:rsidR="00D136BB">
        <w:rPr>
          <w:lang w:val="es-ES"/>
        </w:rPr>
        <w:t xml:space="preserve"> </w:t>
      </w:r>
      <w:r w:rsidRPr="00AE1E0D">
        <w:rPr>
          <w:lang w:val="es-ES"/>
        </w:rPr>
        <w:t>en</w:t>
      </w:r>
      <w:r w:rsidR="00D136BB">
        <w:rPr>
          <w:lang w:val="es-ES"/>
        </w:rPr>
        <w:t xml:space="preserve"> </w:t>
      </w:r>
      <w:r w:rsidRPr="00AE1E0D">
        <w:rPr>
          <w:lang w:val="es-ES"/>
        </w:rPr>
        <w:t>forma</w:t>
      </w:r>
      <w:r w:rsidR="00D136BB">
        <w:rPr>
          <w:lang w:val="es-ES"/>
        </w:rPr>
        <w:t xml:space="preserve"> </w:t>
      </w:r>
      <w:r w:rsidRPr="00AE1E0D">
        <w:rPr>
          <w:lang w:val="es-ES"/>
        </w:rPr>
        <w:t>documentada</w:t>
      </w:r>
      <w:r w:rsidR="00D136BB">
        <w:rPr>
          <w:lang w:val="es-ES"/>
        </w:rPr>
        <w:t xml:space="preserve"> </w:t>
      </w:r>
      <w:r w:rsidRPr="00AE1E0D">
        <w:rPr>
          <w:lang w:val="es-ES"/>
        </w:rPr>
        <w:t>que</w:t>
      </w:r>
      <w:r w:rsidR="00D136BB">
        <w:rPr>
          <w:lang w:val="es-ES"/>
        </w:rPr>
        <w:t xml:space="preserve"> </w:t>
      </w:r>
      <w:r w:rsidRPr="00AE1E0D">
        <w:rPr>
          <w:lang w:val="es-ES"/>
        </w:rPr>
        <w:t>han</w:t>
      </w:r>
      <w:r w:rsidR="00D136BB">
        <w:rPr>
          <w:lang w:val="es-ES"/>
        </w:rPr>
        <w:t xml:space="preserve"> </w:t>
      </w:r>
      <w:r w:rsidRPr="00AE1E0D">
        <w:rPr>
          <w:lang w:val="es-ES"/>
        </w:rPr>
        <w:t>incrementado</w:t>
      </w:r>
      <w:r w:rsidR="00D136BB">
        <w:rPr>
          <w:lang w:val="es-ES"/>
        </w:rPr>
        <w:t xml:space="preserve"> </w:t>
      </w:r>
      <w:r w:rsidRPr="00AE1E0D">
        <w:rPr>
          <w:lang w:val="es-ES"/>
        </w:rPr>
        <w:t>el</w:t>
      </w:r>
      <w:r w:rsidR="00D136BB">
        <w:rPr>
          <w:lang w:val="es-ES"/>
        </w:rPr>
        <w:t xml:space="preserve"> </w:t>
      </w:r>
      <w:r w:rsidRPr="00AE1E0D">
        <w:rPr>
          <w:lang w:val="es-ES"/>
        </w:rPr>
        <w:t>estado</w:t>
      </w:r>
      <w:r w:rsidR="00D136BB">
        <w:rPr>
          <w:lang w:val="es-ES"/>
        </w:rPr>
        <w:t xml:space="preserve"> </w:t>
      </w:r>
      <w:r w:rsidRPr="00AE1E0D">
        <w:rPr>
          <w:lang w:val="es-ES"/>
        </w:rPr>
        <w:t>de</w:t>
      </w:r>
      <w:r w:rsidR="00D136BB">
        <w:rPr>
          <w:lang w:val="es-ES"/>
        </w:rPr>
        <w:t xml:space="preserve"> </w:t>
      </w:r>
      <w:r w:rsidRPr="00AE1E0D">
        <w:rPr>
          <w:lang w:val="es-ES"/>
        </w:rPr>
        <w:t>implementación</w:t>
      </w:r>
      <w:r w:rsidR="00D136BB">
        <w:rPr>
          <w:lang w:val="es-ES"/>
        </w:rPr>
        <w:t xml:space="preserve"> </w:t>
      </w:r>
      <w:r w:rsidRPr="00AE1E0D">
        <w:rPr>
          <w:lang w:val="es-ES"/>
        </w:rPr>
        <w:t>de</w:t>
      </w:r>
      <w:r w:rsidR="00D136BB">
        <w:rPr>
          <w:lang w:val="es-ES"/>
        </w:rPr>
        <w:t xml:space="preserve"> </w:t>
      </w:r>
      <w:r w:rsidRPr="00AE1E0D">
        <w:rPr>
          <w:lang w:val="es-ES"/>
        </w:rPr>
        <w:t>los</w:t>
      </w:r>
      <w:r w:rsidR="00D136BB">
        <w:rPr>
          <w:lang w:val="es-ES"/>
        </w:rPr>
        <w:t xml:space="preserve"> </w:t>
      </w:r>
      <w:r w:rsidRPr="00AE1E0D">
        <w:rPr>
          <w:lang w:val="es-ES"/>
        </w:rPr>
        <w:t>indicadores</w:t>
      </w:r>
      <w:r w:rsidR="00D136BB">
        <w:rPr>
          <w:lang w:val="es-ES"/>
        </w:rPr>
        <w:t xml:space="preserve"> </w:t>
      </w:r>
      <w:r w:rsidRPr="00AE1E0D">
        <w:rPr>
          <w:lang w:val="es-ES"/>
        </w:rPr>
        <w:t>de</w:t>
      </w:r>
      <w:r w:rsidR="00D136BB">
        <w:rPr>
          <w:lang w:val="es-ES"/>
        </w:rPr>
        <w:t xml:space="preserve"> </w:t>
      </w:r>
      <w:r w:rsidRPr="00AE1E0D">
        <w:rPr>
          <w:lang w:val="es-ES"/>
        </w:rPr>
        <w:t>desempeño</w:t>
      </w:r>
      <w:r w:rsidR="00D136BB">
        <w:rPr>
          <w:lang w:val="es-ES"/>
        </w:rPr>
        <w:t xml:space="preserve"> </w:t>
      </w:r>
      <w:r w:rsidRPr="00AE1E0D">
        <w:rPr>
          <w:lang w:val="es-ES"/>
        </w:rPr>
        <w:t>de</w:t>
      </w:r>
      <w:r w:rsidR="00D136BB">
        <w:rPr>
          <w:lang w:val="es-ES"/>
        </w:rPr>
        <w:t xml:space="preserve"> </w:t>
      </w:r>
      <w:r w:rsidRPr="00AE1E0D">
        <w:rPr>
          <w:lang w:val="es-ES"/>
        </w:rPr>
        <w:t>RASIMS</w:t>
      </w:r>
      <w:r w:rsidR="00D136BB">
        <w:rPr>
          <w:lang w:val="es-ES"/>
        </w:rPr>
        <w:t xml:space="preserve"> </w:t>
      </w:r>
      <w:r w:rsidRPr="00AE1E0D">
        <w:rPr>
          <w:lang w:val="es-ES"/>
        </w:rPr>
        <w:t>2</w:t>
      </w:r>
      <w:r w:rsidR="00D136BB">
        <w:rPr>
          <w:lang w:val="es-ES"/>
        </w:rPr>
        <w:t xml:space="preserve"> </w:t>
      </w:r>
      <w:r w:rsidRPr="00AE1E0D">
        <w:rPr>
          <w:lang w:val="es-ES"/>
        </w:rPr>
        <w:t>relacionados</w:t>
      </w:r>
      <w:r w:rsidR="00D136BB">
        <w:rPr>
          <w:lang w:val="es-ES"/>
        </w:rPr>
        <w:t xml:space="preserve"> </w:t>
      </w:r>
      <w:r w:rsidRPr="00AE1E0D">
        <w:rPr>
          <w:lang w:val="es-ES"/>
        </w:rPr>
        <w:t>con</w:t>
      </w:r>
      <w:r w:rsidR="00D136BB">
        <w:rPr>
          <w:lang w:val="es-ES"/>
        </w:rPr>
        <w:t xml:space="preserve"> </w:t>
      </w:r>
      <w:r w:rsidRPr="00AE1E0D">
        <w:rPr>
          <w:lang w:val="es-ES"/>
        </w:rPr>
        <w:t>las</w:t>
      </w:r>
      <w:r w:rsidR="00D136BB">
        <w:rPr>
          <w:lang w:val="es-ES"/>
        </w:rPr>
        <w:t xml:space="preserve"> </w:t>
      </w:r>
      <w:r w:rsidRPr="00AE1E0D">
        <w:rPr>
          <w:lang w:val="es-ES"/>
        </w:rPr>
        <w:t>prácticas</w:t>
      </w:r>
      <w:r w:rsidR="00D136BB">
        <w:rPr>
          <w:lang w:val="es-ES"/>
        </w:rPr>
        <w:t xml:space="preserve"> </w:t>
      </w:r>
      <w:r w:rsidRPr="00AE1E0D">
        <w:rPr>
          <w:lang w:val="es-ES"/>
        </w:rPr>
        <w:t>médicas.</w:t>
      </w:r>
    </w:p>
    <w:p w14:paraId="6D602D0D" w14:textId="39AD1ACC" w:rsidR="005D0292" w:rsidRDefault="005D0292" w:rsidP="005D0292">
      <w:pPr>
        <w:jc w:val="both"/>
        <w:rPr>
          <w:rFonts w:ascii="Times New Roman" w:eastAsia="Times New Roman" w:hAnsi="Times New Roman" w:cs="Times New Roman"/>
          <w:sz w:val="24"/>
          <w:szCs w:val="24"/>
          <w:lang w:val="es-ES" w:eastAsia="es-ES"/>
        </w:rPr>
      </w:pPr>
    </w:p>
    <w:p w14:paraId="40E9E85D" w14:textId="77777777" w:rsidR="00050AB2" w:rsidRPr="00AE1E0D" w:rsidRDefault="00050AB2" w:rsidP="005D0292">
      <w:pPr>
        <w:jc w:val="both"/>
        <w:rPr>
          <w:rFonts w:ascii="Times New Roman" w:eastAsia="Times New Roman" w:hAnsi="Times New Roman" w:cs="Times New Roman"/>
          <w:sz w:val="24"/>
          <w:szCs w:val="24"/>
          <w:lang w:val="es-ES" w:eastAsia="es-ES"/>
        </w:rPr>
      </w:pPr>
    </w:p>
    <w:p w14:paraId="1DAD3DFE" w14:textId="100DD9D1" w:rsidR="005D0292" w:rsidRPr="00AE1E0D" w:rsidRDefault="005D0292" w:rsidP="00395ED6">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R5</w:t>
      </w:r>
      <w:r w:rsidR="00395ED6" w:rsidRPr="00AE1E0D">
        <w:rPr>
          <w:rFonts w:ascii="Times New Roman" w:eastAsia="Times New Roman" w:hAnsi="Times New Roman" w:cs="Times New Roman"/>
          <w:b/>
          <w:bCs/>
          <w:sz w:val="24"/>
          <w:szCs w:val="24"/>
          <w:lang w:val="es-ES" w:eastAsia="es-ES"/>
        </w:rPr>
        <w:t>.</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Insuficiente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implementación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requisitos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recomendaciones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internacionales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seguridad</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protección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radiológica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público,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ambiente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gestión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desechos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radiactivos,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énfasis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políticas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estrategias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nacionales,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gestión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fuentes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desuso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identificación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solución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situaciones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radiológicas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debido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presencia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NORM.</w:t>
      </w:r>
    </w:p>
    <w:p w14:paraId="3BA0132A" w14:textId="7848E718" w:rsidR="005D0292" w:rsidRPr="00AE1E0D" w:rsidRDefault="005D0292" w:rsidP="00050AB2">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ES"/>
        </w:rPr>
        <w:t>Justificación: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Falta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aprobación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formal</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mayoría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países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borradores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políticas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estrategias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nacionales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gestión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desechos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radiactivos,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que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incluyan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identificación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responsabilidades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el</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programa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gestión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desechos,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capacidades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acondicionamiento,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almacenamiento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disposición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desechos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radiactivos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fuentes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desuso.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Falta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incorporación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regulaciones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nacionales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del</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uso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herramientas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desclasificación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dispensa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desechos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radiactivos.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Falta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mayoría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países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mecanismos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detección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temprana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gestión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fuentes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huérfanas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industria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reciclado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metales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(chatarra).</w:t>
      </w:r>
      <w:r w:rsidR="00D136BB">
        <w:rPr>
          <w:rFonts w:ascii="Times New Roman" w:eastAsia="Times New Roman" w:hAnsi="Times New Roman" w:cs="Times New Roman"/>
          <w:sz w:val="24"/>
          <w:szCs w:val="24"/>
          <w:lang w:val="es-ES" w:eastAsia="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mayoría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incorporado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regulaciones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obligación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identificar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situaciones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exposición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existentes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NORM,</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evaluar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impacto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radiológico,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aplicar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medidas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control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regulatorio.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mayoría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si</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bien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progresado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creación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almacenes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centralizados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desechos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radiactivos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encarado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disposición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final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fuentes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desuso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pueden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retornar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origen.</w:t>
      </w:r>
    </w:p>
    <w:p w14:paraId="070C0369" w14:textId="54150633"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lastRenderedPageBreak/>
        <w:t>Objetivo: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Formalización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gobiernos,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políticas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estrategias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garantizar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gestión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segura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sostenible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desechos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radiactivos.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Establecer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regulaciones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incrementar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seguridad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gestión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desechos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radiactivos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fuentes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desuso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aumentar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capacidad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detección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gestión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fuentes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huérfanas,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identificación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solución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escenarios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exposiciones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NORM</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plan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desarrollar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capacidades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disposición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final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fuentes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desuso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puedan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retornar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origen.</w:t>
      </w:r>
    </w:p>
    <w:p w14:paraId="72EB7BC1" w14:textId="0E0EDFC9" w:rsidR="005D0292" w:rsidRPr="00AE1E0D" w:rsidRDefault="005D0292" w:rsidP="00395ED6">
      <w:pPr>
        <w:jc w:val="both"/>
        <w:rPr>
          <w:rFonts w:ascii="Times New Roman" w:hAnsi="Times New Roman" w:cs="Times New Roman"/>
          <w:sz w:val="24"/>
          <w:szCs w:val="24"/>
          <w:lang w:val="es-ES"/>
        </w:rPr>
      </w:pPr>
      <w:r w:rsidRPr="00AE1E0D">
        <w:rPr>
          <w:rFonts w:ascii="Times New Roman" w:hAnsi="Times New Roman" w:cs="Times New Roman"/>
          <w:b/>
          <w:sz w:val="24"/>
          <w:szCs w:val="24"/>
          <w:lang w:val="es-ES"/>
        </w:rPr>
        <w:t>Indicador: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Número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aprueben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políticas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gestión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segura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sostenible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desechos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radiactivos,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almacenes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centralizados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licenciados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desechos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radioactivos,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incorporan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regulaciones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herramientas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desclasificación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dispensa,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inician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programas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considerar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disposición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final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fuentes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radiactivas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desuso,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completan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identificación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plan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acción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para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solución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escenarios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exposición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debido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NORM.</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(Indicadores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desempeño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RASIMS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2).</w:t>
      </w:r>
    </w:p>
    <w:p w14:paraId="4EF7862F" w14:textId="77777777" w:rsidR="00395ED6" w:rsidRPr="00AE1E0D" w:rsidRDefault="00395ED6" w:rsidP="00395ED6">
      <w:pPr>
        <w:jc w:val="both"/>
        <w:rPr>
          <w:rFonts w:ascii="Times New Roman" w:hAnsi="Times New Roman" w:cs="Times New Roman"/>
          <w:sz w:val="24"/>
          <w:szCs w:val="24"/>
          <w:lang w:val="es-ES"/>
        </w:rPr>
      </w:pPr>
    </w:p>
    <w:p w14:paraId="08E3A8A5" w14:textId="72C2D6C4" w:rsidR="005D0292" w:rsidRPr="00AE1E0D" w:rsidRDefault="005D0292" w:rsidP="00395ED6">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R6</w:t>
      </w:r>
      <w:r w:rsidR="00395ED6" w:rsidRPr="00AE1E0D">
        <w:rPr>
          <w:rFonts w:ascii="Times New Roman" w:eastAsia="Times New Roman" w:hAnsi="Times New Roman" w:cs="Times New Roman"/>
          <w:b/>
          <w:bCs/>
          <w:sz w:val="24"/>
          <w:szCs w:val="24"/>
          <w:lang w:val="es-ES" w:eastAsia="es-ES"/>
        </w:rPr>
        <w:t>.</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Limitadas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capacidades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planificación,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notificación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respuesta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emergencias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radiológica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países,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incluido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análisis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sistemático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accidentes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diseminación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información.</w:t>
      </w:r>
    </w:p>
    <w:p w14:paraId="20C9872D" w14:textId="3B78E211" w:rsidR="005D0292" w:rsidRPr="00AE1E0D" w:rsidRDefault="005D0292" w:rsidP="005D0292">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ES"/>
        </w:rPr>
        <w:t>Justificación: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estados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miembros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través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EPRIMS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han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identificado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limitadas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capacidades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planificación,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notificación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respuesta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emergencias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radiológicas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región,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algunas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áreas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definidas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EPRIMS,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especialmente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módulos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5,</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16</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26.</w:t>
      </w:r>
    </w:p>
    <w:p w14:paraId="6E539CE4" w14:textId="1D8F4CD3" w:rsidR="005D0292" w:rsidRPr="00AE1E0D" w:rsidRDefault="005D0292" w:rsidP="00395ED6">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ES"/>
        </w:rPr>
        <w:t>Objetivo: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Lograr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un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nivel</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adecuado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preparación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respuesta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casos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emergencia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nuclear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radiológica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mediante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aplicación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requisitos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generales,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funcionales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sobre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elementos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infraestructura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identificados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norma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seguridad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del</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OIEA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GSR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Parte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7.</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Dichos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requisitos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deben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implementados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por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administración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nacional</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correspondiente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promulgando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leyes,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estableciendo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reglamentos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adoptando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otras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disposiciones,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particular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atribuyendo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responsabilidades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todas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entidades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relevantes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(por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ejemplo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entidad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explotadora,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funcionarios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locales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nacionales,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organizaciones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respuesta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u</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órganos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reguladores)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comprobando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su</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efectivo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cumplimiento.</w:t>
      </w:r>
    </w:p>
    <w:p w14:paraId="18B6C4FA" w14:textId="42E2BD95" w:rsidR="005D0292" w:rsidRPr="00AE1E0D" w:rsidRDefault="005D0292" w:rsidP="005D0292">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ES"/>
        </w:rPr>
        <w:t>Indicadores:</w:t>
      </w:r>
      <w:r w:rsidR="00D136BB">
        <w:rPr>
          <w:rFonts w:ascii="Times New Roman" w:eastAsia="Times New Roman" w:hAnsi="Times New Roman" w:cs="Times New Roman"/>
          <w:sz w:val="24"/>
          <w:szCs w:val="24"/>
          <w:lang w:val="es-ES" w:eastAsia="es-ES"/>
        </w:rPr>
        <w:t xml:space="preserve"> </w:t>
      </w:r>
      <w:r w:rsidRPr="00AE1E0D">
        <w:rPr>
          <w:rFonts w:ascii="Times New Roman" w:hAnsi="Times New Roman" w:cs="Times New Roman"/>
          <w:sz w:val="24"/>
          <w:szCs w:val="24"/>
          <w:lang w:val="es-ES"/>
        </w:rPr>
        <w:t>Número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países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demuestran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forma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documentada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incrementado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indicadores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desempeño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EPRIMS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relacionados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módulos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5</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(estrategia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protección),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16</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(mitigación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consecuencias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radiológicas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una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emergencia)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26</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(programa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gestión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calidad),</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y</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que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hayan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actualizado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su</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autoevaluación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través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EPRIMS.</w:t>
      </w:r>
    </w:p>
    <w:p w14:paraId="36AF5EE5" w14:textId="77777777" w:rsidR="005D0292" w:rsidRPr="00AE1E0D" w:rsidRDefault="005D0292" w:rsidP="00395ED6">
      <w:pPr>
        <w:jc w:val="both"/>
        <w:rPr>
          <w:rFonts w:ascii="Times New Roman" w:eastAsia="Times New Roman" w:hAnsi="Times New Roman" w:cs="Times New Roman"/>
          <w:sz w:val="24"/>
          <w:szCs w:val="24"/>
          <w:lang w:val="es-ES" w:eastAsia="es-ES"/>
        </w:rPr>
      </w:pPr>
    </w:p>
    <w:p w14:paraId="070B01AD" w14:textId="1360D197" w:rsidR="005D0292" w:rsidRPr="00050AB2" w:rsidRDefault="005D0292" w:rsidP="00050AB2">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R7</w:t>
      </w:r>
      <w:r w:rsidR="00395ED6" w:rsidRPr="00AE1E0D">
        <w:rPr>
          <w:rFonts w:ascii="Times New Roman" w:eastAsia="Times New Roman" w:hAnsi="Times New Roman" w:cs="Times New Roman"/>
          <w:b/>
          <w:bCs/>
          <w:sz w:val="24"/>
          <w:szCs w:val="24"/>
          <w:lang w:val="es-ES" w:eastAsia="es-ES"/>
        </w:rPr>
        <w:t>.</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Insuficiente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implementación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requisitos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recomendaciones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internacionales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educación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capacitación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seguridad</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radiológica,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transporte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desechos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todo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personal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involucrado,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énfasis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estrategias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nacionales.</w:t>
      </w:r>
    </w:p>
    <w:p w14:paraId="4C4BF4B5" w14:textId="5AF08E5D" w:rsidR="005D0292" w:rsidRPr="00AE1E0D" w:rsidRDefault="005D0292" w:rsidP="005D0292">
      <w:pPr>
        <w:jc w:val="both"/>
        <w:rPr>
          <w:rFonts w:ascii="Times New Roman" w:eastAsia="Times New Roman" w:hAnsi="Times New Roman" w:cs="Times New Roman"/>
          <w:sz w:val="24"/>
          <w:szCs w:val="24"/>
          <w:lang w:val="es-ES" w:eastAsia="es-CL"/>
        </w:rPr>
      </w:pPr>
      <w:r w:rsidRPr="00AE1E0D">
        <w:rPr>
          <w:rFonts w:ascii="Times New Roman" w:hAnsi="Times New Roman" w:cs="Times New Roman"/>
          <w:b/>
          <w:sz w:val="24"/>
          <w:szCs w:val="24"/>
          <w:lang w:val="es-ES"/>
        </w:rPr>
        <w:t>Justificación:</w:t>
      </w:r>
      <w:r w:rsidR="00D136BB">
        <w:rPr>
          <w:rFonts w:ascii="Times New Roman" w:hAnsi="Times New Roman" w:cs="Times New Roman"/>
          <w:b/>
          <w:sz w:val="24"/>
          <w:szCs w:val="24"/>
          <w:lang w:val="es-ES"/>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mayoría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identifica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ausencia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estrategias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nacionales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sostenibles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E&amp;C</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permitan</w:t>
      </w:r>
      <w:r w:rsidR="00D136BB">
        <w:rPr>
          <w:rFonts w:ascii="Times New Roman" w:eastAsia="Times New Roman" w:hAnsi="Times New Roman" w:cs="Times New Roman"/>
          <w:sz w:val="24"/>
          <w:szCs w:val="24"/>
          <w:lang w:val="es-ES" w:eastAsia="es-CL"/>
        </w:rPr>
        <w:t xml:space="preserve"> </w:t>
      </w:r>
      <w:r w:rsidRPr="00AE1E0D">
        <w:rPr>
          <w:rFonts w:ascii="Times New Roman" w:hAnsi="Times New Roman" w:cs="Times New Roman"/>
          <w:sz w:val="24"/>
          <w:szCs w:val="24"/>
          <w:lang w:val="es-ES"/>
        </w:rPr>
        <w:t>fortalecer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seguridad</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radiológica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cada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través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desarrollo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lastRenderedPageBreak/>
        <w:t>competencias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necesarias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(actuales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corto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plazo.)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Solo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puede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garantizar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seguridad</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radiológica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si</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dispone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cantidad</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suficiente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personal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competencia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área.</w:t>
      </w:r>
    </w:p>
    <w:p w14:paraId="18F7A533" w14:textId="3A01CD48" w:rsidR="005D0292" w:rsidRPr="00AE1E0D" w:rsidRDefault="005D0292" w:rsidP="005D0292">
      <w:pPr>
        <w:jc w:val="both"/>
        <w:rPr>
          <w:rFonts w:ascii="Times New Roman" w:eastAsia="Times New Roman" w:hAnsi="Times New Roman" w:cs="Times New Roman"/>
          <w:sz w:val="24"/>
          <w:szCs w:val="24"/>
          <w:lang w:eastAsia="es-CL"/>
        </w:rPr>
      </w:pP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mayoría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dispone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algunos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requisitos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reguladores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sobre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E&amp;C.</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Sin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embargo,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cubren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todas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categorías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personal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requieren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competencia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esta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área.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falta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requisitos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completos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implica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muy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probablemente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personal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responsabilidades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hAnsi="Times New Roman" w:cs="Times New Roman"/>
          <w:sz w:val="24"/>
          <w:szCs w:val="24"/>
          <w:lang w:val="es-ES"/>
        </w:rPr>
        <w:t>seguridad</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radiológica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personal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ocupacionalmente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expuesto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disponen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competencia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necesaria,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pone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peligro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seguridad</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instalaciones/actividades.</w:t>
      </w:r>
      <w:r w:rsidR="00D136BB">
        <w:rPr>
          <w:rFonts w:ascii="Times New Roman" w:eastAsia="Times New Roman" w:hAnsi="Times New Roman" w:cs="Times New Roman"/>
          <w:sz w:val="24"/>
          <w:szCs w:val="24"/>
          <w:lang w:val="es-ES" w:eastAsia="es-CL"/>
        </w:rPr>
        <w:t xml:space="preserve"> </w:t>
      </w:r>
    </w:p>
    <w:p w14:paraId="6F8964CD" w14:textId="5F58357E" w:rsidR="005D0292" w:rsidRPr="00AE1E0D" w:rsidRDefault="005D0292" w:rsidP="005D0292">
      <w:pPr>
        <w:jc w:val="both"/>
        <w:rPr>
          <w:rFonts w:ascii="Times New Roman" w:eastAsia="Times New Roman" w:hAnsi="Times New Roman" w:cs="Times New Roman"/>
          <w:sz w:val="24"/>
          <w:szCs w:val="24"/>
          <w:lang w:val="es-ES" w:eastAsia="es-CL"/>
        </w:rPr>
      </w:pP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mayoría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disponen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OPR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instalaciones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médicas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mayor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riesgo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radiológico.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figura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EC</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acuerdo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normas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seguridad</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OIEA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está</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completamente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desarrollada.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instalaciones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médicas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mayor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riesgo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algunos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hAnsi="Times New Roman" w:cs="Times New Roman"/>
          <w:sz w:val="24"/>
          <w:szCs w:val="24"/>
          <w:lang w:val="es-ES"/>
        </w:rPr>
        <w:t>funciones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EC</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desempeñadas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OPR,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otros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casos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algunas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funciones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EC</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realizadas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proveedores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servicio.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mayoría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instalaciones/actividades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industriales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médicas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menor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riesgo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radiológico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disponen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OPR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ni</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EC.</w:t>
      </w:r>
    </w:p>
    <w:p w14:paraId="41D86FB9" w14:textId="2947A1E1" w:rsidR="00250698" w:rsidRDefault="00250698" w:rsidP="00395ED6">
      <w:pPr>
        <w:jc w:val="both"/>
        <w:rPr>
          <w:rFonts w:ascii="Times New Roman" w:eastAsia="Times New Roman" w:hAnsi="Times New Roman" w:cs="Times New Roman"/>
          <w:sz w:val="24"/>
          <w:szCs w:val="24"/>
          <w:lang w:val="es-ES" w:eastAsia="es-CL"/>
        </w:rPr>
      </w:pPr>
      <w:r w:rsidRPr="00250698">
        <w:rPr>
          <w:rFonts w:ascii="Times New Roman" w:eastAsia="Times New Roman" w:hAnsi="Times New Roman" w:cs="Times New Roman"/>
          <w:sz w:val="24"/>
          <w:szCs w:val="24"/>
          <w:lang w:val="es-ES" w:eastAsia="es-CL"/>
        </w:rPr>
        <w:t>Puesto</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número</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EC</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OPR</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necesarios</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es</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muy</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elevado</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orden</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uno</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por</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instalación</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caso</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OPR),</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disponibilidad</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capacitación</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e-learning</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considera</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una</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herramienta</w:t>
      </w:r>
      <w:r w:rsidR="00D136BB">
        <w:rPr>
          <w:rFonts w:ascii="Times New Roman" w:eastAsia="Times New Roman" w:hAnsi="Times New Roman" w:cs="Times New Roman"/>
          <w:sz w:val="24"/>
          <w:szCs w:val="24"/>
          <w:lang w:val="es-ES" w:eastAsia="es-CL"/>
        </w:rPr>
        <w:t xml:space="preserve"> </w:t>
      </w:r>
      <w:r w:rsidRPr="00250698">
        <w:rPr>
          <w:rFonts w:ascii="Times New Roman" w:eastAsia="Times New Roman" w:hAnsi="Times New Roman" w:cs="Times New Roman"/>
          <w:sz w:val="24"/>
          <w:szCs w:val="24"/>
          <w:lang w:val="es-ES" w:eastAsia="es-CL"/>
        </w:rPr>
        <w:t>adecuada.</w:t>
      </w:r>
      <w:r w:rsidR="00D136BB">
        <w:rPr>
          <w:rFonts w:ascii="Times New Roman" w:eastAsia="Times New Roman" w:hAnsi="Times New Roman" w:cs="Times New Roman"/>
          <w:sz w:val="24"/>
          <w:szCs w:val="24"/>
          <w:lang w:val="es-ES" w:eastAsia="es-CL"/>
        </w:rPr>
        <w:t xml:space="preserve"> </w:t>
      </w:r>
    </w:p>
    <w:p w14:paraId="104F112C" w14:textId="08BBBFC1" w:rsidR="005D0292" w:rsidRPr="00AE1E0D" w:rsidRDefault="005D0292" w:rsidP="00395ED6">
      <w:pPr>
        <w:jc w:val="both"/>
        <w:rPr>
          <w:rFonts w:ascii="Times New Roman" w:eastAsia="Times New Roman" w:hAnsi="Times New Roman" w:cs="Times New Roman"/>
          <w:sz w:val="24"/>
          <w:szCs w:val="24"/>
          <w:lang w:val="es-ES" w:eastAsia="es-CL"/>
        </w:rPr>
      </w:pPr>
      <w:r w:rsidRPr="00AE1E0D">
        <w:rPr>
          <w:rFonts w:ascii="Times New Roman" w:eastAsia="Times New Roman" w:hAnsi="Times New Roman" w:cs="Times New Roman"/>
          <w:b/>
          <w:bCs/>
          <w:sz w:val="24"/>
          <w:szCs w:val="24"/>
          <w:lang w:val="es-ES" w:eastAsia="es-CL"/>
        </w:rPr>
        <w:t>Objetivo:</w:t>
      </w:r>
      <w:r w:rsidR="00D136BB">
        <w:rPr>
          <w:rFonts w:ascii="Times New Roman" w:eastAsia="Times New Roman" w:hAnsi="Times New Roman" w:cs="Times New Roman"/>
          <w:sz w:val="24"/>
          <w:szCs w:val="24"/>
          <w:lang w:val="es-ES" w:eastAsia="es-CL"/>
        </w:rPr>
        <w:t xml:space="preserve"> </w:t>
      </w:r>
      <w:r w:rsidRPr="00AE1E0D">
        <w:rPr>
          <w:rFonts w:ascii="Times New Roman" w:hAnsi="Times New Roman" w:cs="Times New Roman"/>
          <w:sz w:val="24"/>
          <w:szCs w:val="24"/>
          <w:lang w:val="es-ES"/>
        </w:rPr>
        <w:t>Elaborar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implementar</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estrategias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E&amp;C;</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c</w:t>
      </w:r>
      <w:r w:rsidRPr="00AE1E0D">
        <w:rPr>
          <w:rFonts w:ascii="Times New Roman" w:eastAsia="Times New Roman" w:hAnsi="Times New Roman" w:cs="Times New Roman"/>
          <w:sz w:val="24"/>
          <w:szCs w:val="24"/>
          <w:lang w:val="es-ES" w:eastAsia="es-CL"/>
        </w:rPr>
        <w:t>ompletar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asegurar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implementan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requisitos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E&amp;C</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para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todo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personal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responsabilidades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seguridad</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radiológica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personal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ocupacionalmente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expuesto.</w:t>
      </w:r>
    </w:p>
    <w:p w14:paraId="44528BB7" w14:textId="57032129" w:rsidR="005D0292" w:rsidRPr="00AE1E0D" w:rsidRDefault="005D0292" w:rsidP="005D0292">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CL"/>
        </w:rPr>
        <w:t>Indicador: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Número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demuestran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forma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documentada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han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incrementado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estado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implementación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indicadores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desempeño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RASIMS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2</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relacionados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requisitos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reguladores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E&amp;C</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para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todas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categorías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personal,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verificación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cumplimiento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requisitos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órgano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regulador,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implementación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requisitos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hAnsi="Times New Roman" w:cs="Times New Roman"/>
          <w:sz w:val="24"/>
          <w:szCs w:val="24"/>
          <w:lang w:val="es-ES"/>
        </w:rPr>
        <w:t>con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diseño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implementación</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estrategia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nacional</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E&amp;C</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(Promedio</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indicadores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desempeños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los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seis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elementos</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de</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TSA</w:t>
      </w:r>
      <w:r w:rsidR="00D136BB">
        <w:rPr>
          <w:rFonts w:ascii="Times New Roman" w:hAnsi="Times New Roman" w:cs="Times New Roman"/>
          <w:sz w:val="24"/>
          <w:szCs w:val="24"/>
          <w:lang w:val="es-ES"/>
        </w:rPr>
        <w:t xml:space="preserve"> </w:t>
      </w:r>
      <w:r w:rsidRPr="00AE1E0D">
        <w:rPr>
          <w:rFonts w:ascii="Times New Roman" w:hAnsi="Times New Roman" w:cs="Times New Roman"/>
          <w:sz w:val="24"/>
          <w:szCs w:val="24"/>
          <w:lang w:val="es-ES"/>
        </w:rPr>
        <w:t>6).</w:t>
      </w:r>
    </w:p>
    <w:p w14:paraId="2DC6D74E" w14:textId="77777777" w:rsidR="005D0292" w:rsidRPr="00AE1E0D" w:rsidRDefault="005D0292" w:rsidP="005D0292">
      <w:pPr>
        <w:ind w:left="284"/>
        <w:jc w:val="both"/>
        <w:rPr>
          <w:rFonts w:ascii="Times New Roman" w:eastAsia="Times New Roman" w:hAnsi="Times New Roman" w:cs="Times New Roman"/>
          <w:sz w:val="24"/>
          <w:szCs w:val="24"/>
          <w:lang w:val="es-ES" w:eastAsia="es-ES"/>
        </w:rPr>
      </w:pPr>
    </w:p>
    <w:p w14:paraId="403E8D6C" w14:textId="1566747A" w:rsidR="005D0292" w:rsidRPr="00AE1E0D" w:rsidRDefault="005D0292" w:rsidP="00395ED6">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R8</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Insuficiente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control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regulatorio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material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radiactivo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cuando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encuentra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dominio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público,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esto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durante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el</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transporte.</w:t>
      </w:r>
    </w:p>
    <w:p w14:paraId="3AC44A04" w14:textId="68344AC7" w:rsidR="005D0292" w:rsidRPr="00AE1E0D" w:rsidRDefault="005D0292" w:rsidP="005D0292">
      <w:pPr>
        <w:jc w:val="both"/>
        <w:rPr>
          <w:rFonts w:ascii="Times New Roman" w:eastAsia="Times New Roman" w:hAnsi="Times New Roman" w:cs="Times New Roman"/>
          <w:sz w:val="24"/>
          <w:szCs w:val="24"/>
          <w:lang w:val="es-ES" w:eastAsia="es-CL"/>
        </w:rPr>
      </w:pPr>
      <w:r w:rsidRPr="00AE1E0D">
        <w:rPr>
          <w:rFonts w:ascii="Times New Roman" w:hAnsi="Times New Roman" w:cs="Times New Roman"/>
          <w:b/>
          <w:bCs/>
          <w:sz w:val="24"/>
          <w:szCs w:val="24"/>
        </w:rPr>
        <w:t>Justificación: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la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mayoría</w:t>
      </w:r>
      <w:r w:rsidR="00D136BB">
        <w:rPr>
          <w:rFonts w:ascii="Times New Roman" w:hAnsi="Times New Roman" w:cs="Times New Roman"/>
          <w:sz w:val="24"/>
          <w:szCs w:val="24"/>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observa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falencia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cuanto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actualización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normativa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para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material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radiactivo;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algunos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todavía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siguen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edición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1985</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reglamento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OIEA,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utiliza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una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definición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materiales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radiactivos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para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aplicación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reglamento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distinta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actual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afectaría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decisión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aplicar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control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regulatorio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para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una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cantidad</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radionucleidos.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Algunos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ni</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siquiera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tienen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una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normativa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permita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control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regulatorio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material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radiactivo.</w:t>
      </w:r>
    </w:p>
    <w:p w14:paraId="175856DE" w14:textId="25FD4BB5" w:rsidR="005D0292" w:rsidRPr="00AE1E0D" w:rsidRDefault="005D0292" w:rsidP="005D0292">
      <w:pPr>
        <w:jc w:val="both"/>
        <w:rPr>
          <w:rFonts w:ascii="Times New Roman" w:eastAsia="Times New Roman" w:hAnsi="Times New Roman" w:cs="Times New Roman"/>
          <w:sz w:val="24"/>
          <w:szCs w:val="24"/>
          <w:lang w:val="es-ES" w:eastAsia="es-CL"/>
        </w:rPr>
      </w:pPr>
      <w:r w:rsidRPr="00AE1E0D">
        <w:rPr>
          <w:rFonts w:ascii="Times New Roman" w:eastAsia="Times New Roman" w:hAnsi="Times New Roman" w:cs="Times New Roman"/>
          <w:sz w:val="24"/>
          <w:szCs w:val="24"/>
          <w:lang w:val="es-ES" w:eastAsia="es-CL"/>
        </w:rPr>
        <w:lastRenderedPageBreak/>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mayoría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realizan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inspecciones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incluyan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operaciones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por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tanto,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organismos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reguladores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están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condiciones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garantizar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material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radiactivo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realice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forma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segura.</w:t>
      </w:r>
    </w:p>
    <w:p w14:paraId="6F20F39A" w14:textId="4275AB00" w:rsidR="00250698" w:rsidRDefault="00250698" w:rsidP="005D0292">
      <w:pPr>
        <w:jc w:val="both"/>
        <w:rPr>
          <w:rFonts w:ascii="Times New Roman" w:hAnsi="Times New Roman" w:cs="Times New Roman"/>
          <w:sz w:val="24"/>
          <w:szCs w:val="24"/>
        </w:rPr>
      </w:pPr>
      <w:r w:rsidRPr="00250698">
        <w:rPr>
          <w:rFonts w:ascii="Times New Roman" w:hAnsi="Times New Roman" w:cs="Times New Roman"/>
          <w:sz w:val="24"/>
          <w:szCs w:val="24"/>
        </w:rPr>
        <w:t>En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todos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los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se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solapan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actividades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regulación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carga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general,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mercancías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peligrosas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y</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materiales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radiactivos;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esta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superposición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responsabilidades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requiere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una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buena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comunicación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las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distintas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autoridades,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que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no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se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comprueba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la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región,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eficaz</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regulatorio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durante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La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ausencia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esa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comunicación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y</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puede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llevar</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requerir</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condiciones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distintas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mismo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envío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por</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parte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autoridades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distintas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otro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extremo,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puede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conllevar</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ausencia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requisitos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algún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envío.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Se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observa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una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carencia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la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capacitación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y</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entrenamiento</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personal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las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autoridades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involucradas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en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la</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regulación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que</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son</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diferentes</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del</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regulador</w:t>
      </w:r>
      <w:r w:rsidR="00D136BB">
        <w:rPr>
          <w:rFonts w:ascii="Times New Roman" w:hAnsi="Times New Roman" w:cs="Times New Roman"/>
          <w:sz w:val="24"/>
          <w:szCs w:val="24"/>
        </w:rPr>
        <w:t xml:space="preserve"> </w:t>
      </w:r>
      <w:r w:rsidRPr="00250698">
        <w:rPr>
          <w:rFonts w:ascii="Times New Roman" w:hAnsi="Times New Roman" w:cs="Times New Roman"/>
          <w:sz w:val="24"/>
          <w:szCs w:val="24"/>
        </w:rPr>
        <w:t>nuclear.</w:t>
      </w:r>
    </w:p>
    <w:p w14:paraId="06E39378" w14:textId="0DE46EF7" w:rsidR="005D0292" w:rsidRPr="00AE1E0D" w:rsidRDefault="005D0292" w:rsidP="005D0292">
      <w:pPr>
        <w:jc w:val="both"/>
        <w:rPr>
          <w:rFonts w:ascii="Times New Roman" w:eastAsia="Times New Roman" w:hAnsi="Times New Roman" w:cs="Times New Roman"/>
          <w:sz w:val="24"/>
          <w:szCs w:val="24"/>
          <w:lang w:val="es-ES" w:eastAsia="es-CL"/>
        </w:rPr>
      </w:pP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observa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poca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comunicación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entre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reguladores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distintos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dificultando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modo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control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fuentes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durante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envíos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material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radiactivo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entre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Este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hecho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favorece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pérdida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fuentes,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nacionalización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fuentes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más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un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simultáneamente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robo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fuentes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durante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p>
    <w:p w14:paraId="1BD4C8AE" w14:textId="031DF39C" w:rsidR="005D0292" w:rsidRPr="00050AB2" w:rsidRDefault="005D0292" w:rsidP="005D0292">
      <w:pPr>
        <w:jc w:val="both"/>
        <w:rPr>
          <w:rFonts w:ascii="Times New Roman" w:eastAsia="Times New Roman" w:hAnsi="Times New Roman" w:cs="Times New Roman"/>
          <w:sz w:val="24"/>
          <w:szCs w:val="24"/>
          <w:lang w:val="es-ES" w:eastAsia="es-CL"/>
        </w:rPr>
      </w:pPr>
      <w:r w:rsidRPr="00AE1E0D">
        <w:rPr>
          <w:rFonts w:ascii="Times New Roman" w:eastAsia="Times New Roman" w:hAnsi="Times New Roman" w:cs="Times New Roman"/>
          <w:b/>
          <w:bCs/>
          <w:sz w:val="24"/>
          <w:szCs w:val="24"/>
          <w:lang w:val="es-ES" w:eastAsia="es-CL"/>
        </w:rPr>
        <w:t>Objetivo:</w:t>
      </w:r>
      <w:r w:rsidR="00D136BB">
        <w:rPr>
          <w:rFonts w:ascii="Times New Roman" w:eastAsia="Times New Roman" w:hAnsi="Times New Roman" w:cs="Times New Roman"/>
          <w:b/>
          <w:bCs/>
          <w:sz w:val="24"/>
          <w:szCs w:val="24"/>
          <w:lang w:val="es-ES" w:eastAsia="es-CL"/>
        </w:rPr>
        <w:t xml:space="preserve"> </w:t>
      </w:r>
      <w:r w:rsidRPr="00AE1E0D">
        <w:rPr>
          <w:rFonts w:ascii="Times New Roman" w:eastAsia="Times New Roman" w:hAnsi="Times New Roman" w:cs="Times New Roman"/>
          <w:sz w:val="24"/>
          <w:szCs w:val="24"/>
          <w:lang w:val="es-ES" w:eastAsia="es-CL"/>
        </w:rPr>
        <w:t>Actualizar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material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radiactivo</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países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incluir</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inspecciones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transporte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material</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radiactivo,</w:t>
      </w:r>
      <w:r w:rsidR="00D136BB">
        <w:rPr>
          <w:rFonts w:ascii="Times New Roman" w:eastAsia="Times New Roman" w:hAnsi="Times New Roman" w:cs="Times New Roman"/>
          <w:sz w:val="24"/>
          <w:szCs w:val="24"/>
          <w:lang w:val="es-ES" w:eastAsia="es-CL"/>
        </w:rPr>
        <w:t xml:space="preserve"> </w:t>
      </w:r>
      <w:r w:rsidRPr="00AE1E0D">
        <w:rPr>
          <w:rFonts w:ascii="Times New Roman" w:hAnsi="Times New Roman" w:cs="Times New Roman"/>
          <w:sz w:val="24"/>
          <w:szCs w:val="24"/>
        </w:rPr>
        <w:t>establecer</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un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comunicación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AE1E0D">
        <w:rPr>
          <w:rFonts w:ascii="Times New Roman" w:eastAsia="Times New Roman" w:hAnsi="Times New Roman" w:cs="Times New Roman"/>
          <w:sz w:val="24"/>
          <w:szCs w:val="24"/>
          <w:lang w:val="es-ES" w:eastAsia="es-CL"/>
        </w:rPr>
        <w:t>autoridades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involucradas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radiactivo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un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mismo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país,</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evaluar</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e</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implementar</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la</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capacitación</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necesaria</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al</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personal</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de</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las</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distintas</w:t>
      </w:r>
      <w:r w:rsidR="00D136BB">
        <w:rPr>
          <w:rFonts w:ascii="Times New Roman" w:hAnsi="Times New Roman" w:cs="Times New Roman"/>
          <w:sz w:val="24"/>
          <w:szCs w:val="24"/>
        </w:rPr>
        <w:t xml:space="preserve"> </w:t>
      </w:r>
      <w:r w:rsidR="00250698" w:rsidRPr="00250698">
        <w:rPr>
          <w:rFonts w:ascii="Times New Roman" w:hAnsi="Times New Roman" w:cs="Times New Roman"/>
          <w:sz w:val="24"/>
          <w:szCs w:val="24"/>
        </w:rPr>
        <w:t>autoridades</w:t>
      </w:r>
      <w:r w:rsidR="00250698">
        <w:rPr>
          <w:rFonts w:ascii="Times New Roman" w:hAnsi="Times New Roman" w:cs="Times New Roman"/>
          <w:sz w:val="24"/>
          <w:szCs w:val="24"/>
        </w:rPr>
        <w:t>,</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y</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establecer</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un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sistema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comunicación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reguladores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poder</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efectuar</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seguimiento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los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envíos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radiactivo</w:t>
      </w:r>
      <w:r w:rsidRPr="00AE1E0D">
        <w:rPr>
          <w:rFonts w:ascii="Times New Roman" w:eastAsia="Times New Roman" w:hAnsi="Times New Roman" w:cs="Times New Roman"/>
          <w:sz w:val="24"/>
          <w:szCs w:val="24"/>
          <w:lang w:val="es-ES" w:eastAsia="es-CL"/>
        </w:rPr>
        <w:t>.</w:t>
      </w:r>
    </w:p>
    <w:p w14:paraId="4D237C79" w14:textId="0A9B7C91" w:rsidR="005D0292" w:rsidRPr="00AE1E0D" w:rsidRDefault="005D0292" w:rsidP="005D0292">
      <w:pPr>
        <w:jc w:val="both"/>
        <w:rPr>
          <w:rFonts w:ascii="Times New Roman" w:hAnsi="Times New Roman" w:cs="Times New Roman"/>
          <w:sz w:val="24"/>
          <w:szCs w:val="24"/>
        </w:rPr>
      </w:pPr>
      <w:r w:rsidRPr="00AE1E0D">
        <w:rPr>
          <w:rFonts w:ascii="Times New Roman" w:eastAsia="Times New Roman" w:hAnsi="Times New Roman" w:cs="Times New Roman"/>
          <w:b/>
          <w:bCs/>
          <w:sz w:val="24"/>
          <w:szCs w:val="24"/>
          <w:lang w:eastAsia="es-ES"/>
        </w:rPr>
        <w:t>Indicador:</w:t>
      </w:r>
      <w:r w:rsidR="00D136BB">
        <w:rPr>
          <w:rFonts w:ascii="Times New Roman" w:eastAsia="Times New Roman" w:hAnsi="Times New Roman" w:cs="Times New Roman"/>
          <w:sz w:val="24"/>
          <w:szCs w:val="24"/>
          <w:lang w:eastAsia="es-ES"/>
        </w:rPr>
        <w:t xml:space="preserve"> </w:t>
      </w:r>
      <w:r w:rsidRPr="00AE1E0D">
        <w:rPr>
          <w:rFonts w:ascii="Times New Roman" w:hAnsi="Times New Roman" w:cs="Times New Roman"/>
          <w:sz w:val="24"/>
          <w:szCs w:val="24"/>
        </w:rPr>
        <w:t>Numero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que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han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actualizado/implementado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su</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normativa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radiactivo.</w:t>
      </w:r>
    </w:p>
    <w:p w14:paraId="656B0FD0" w14:textId="02516CBB" w:rsidR="005D0292" w:rsidRPr="00AE1E0D" w:rsidRDefault="005D0292" w:rsidP="005D0292">
      <w:pPr>
        <w:jc w:val="both"/>
        <w:rPr>
          <w:rFonts w:ascii="Times New Roman" w:hAnsi="Times New Roman" w:cs="Times New Roman"/>
          <w:sz w:val="24"/>
          <w:szCs w:val="24"/>
        </w:rPr>
      </w:pPr>
      <w:r w:rsidRPr="00AE1E0D">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que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demuestren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documentada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que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han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incrementado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inspecciones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actividades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radiactivo.</w:t>
      </w:r>
    </w:p>
    <w:p w14:paraId="574A80F1" w14:textId="52B808DE" w:rsidR="005D0292" w:rsidRPr="00AE1E0D" w:rsidRDefault="005D0292" w:rsidP="005D0292">
      <w:pPr>
        <w:jc w:val="both"/>
        <w:rPr>
          <w:rFonts w:ascii="Times New Roman" w:hAnsi="Times New Roman" w:cs="Times New Roman"/>
          <w:sz w:val="24"/>
          <w:szCs w:val="24"/>
        </w:rPr>
      </w:pPr>
      <w:r w:rsidRPr="00AE1E0D">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que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han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efectivizado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acuerdos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entendimiento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entre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distintas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autoridades.</w:t>
      </w:r>
    </w:p>
    <w:p w14:paraId="60418A58" w14:textId="14BD98F2" w:rsidR="005D0292" w:rsidRPr="00AE1E0D" w:rsidRDefault="005D0292" w:rsidP="005D0292">
      <w:pPr>
        <w:jc w:val="both"/>
        <w:rPr>
          <w:rFonts w:ascii="Times New Roman" w:hAnsi="Times New Roman" w:cs="Times New Roman"/>
          <w:sz w:val="24"/>
          <w:szCs w:val="24"/>
        </w:rPr>
      </w:pPr>
      <w:r w:rsidRPr="00AE1E0D">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que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han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realizado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actividades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capacitación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y</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entrenamiento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personal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otras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autoridades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involucradas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control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transporte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radiactivo,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incluyendo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también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aduanas,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fuerzas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civiles,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respondedores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casos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emergencia.</w:t>
      </w:r>
    </w:p>
    <w:p w14:paraId="4D654848" w14:textId="71CBF210" w:rsidR="005D0292" w:rsidRPr="00AE1E0D" w:rsidRDefault="005D0292" w:rsidP="005D0292">
      <w:pPr>
        <w:jc w:val="both"/>
        <w:rPr>
          <w:rFonts w:ascii="Times New Roman" w:eastAsia="Times New Roman" w:hAnsi="Times New Roman" w:cs="Times New Roman"/>
          <w:sz w:val="24"/>
          <w:szCs w:val="24"/>
          <w:lang w:eastAsia="es-ES"/>
        </w:rPr>
      </w:pPr>
      <w:r w:rsidRPr="00AE1E0D">
        <w:rPr>
          <w:rFonts w:ascii="Times New Roman" w:hAnsi="Times New Roman" w:cs="Times New Roman"/>
          <w:sz w:val="24"/>
          <w:szCs w:val="24"/>
        </w:rPr>
        <w:t>Número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países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que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demuestran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forma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documentada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que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han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implementado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sistemas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comunicación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para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seguimiento</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envíos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internacionales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material</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radiactivo.</w:t>
      </w:r>
    </w:p>
    <w:p w14:paraId="4192C4BA" w14:textId="77777777" w:rsidR="005D0292" w:rsidRPr="00AE1E0D" w:rsidRDefault="005D0292" w:rsidP="005D0292">
      <w:pPr>
        <w:jc w:val="both"/>
        <w:rPr>
          <w:rFonts w:ascii="Times New Roman" w:eastAsia="Times New Roman" w:hAnsi="Times New Roman" w:cs="Times New Roman"/>
          <w:sz w:val="24"/>
          <w:szCs w:val="24"/>
          <w:lang w:val="es-ES" w:eastAsia="es-ES"/>
        </w:rPr>
      </w:pPr>
    </w:p>
    <w:p w14:paraId="1844DBB2" w14:textId="60A63781" w:rsidR="005D0292" w:rsidRPr="00050AB2" w:rsidRDefault="005D0292" w:rsidP="005D0292">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R9</w:t>
      </w:r>
      <w:r w:rsidR="00395ED6" w:rsidRPr="00AE1E0D">
        <w:rPr>
          <w:rFonts w:ascii="Times New Roman" w:eastAsia="Times New Roman" w:hAnsi="Times New Roman" w:cs="Times New Roman"/>
          <w:b/>
          <w:bCs/>
          <w:sz w:val="24"/>
          <w:szCs w:val="24"/>
          <w:lang w:val="es-ES" w:eastAsia="es-ES"/>
        </w:rPr>
        <w:t>.</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Insuficiente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implementación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requisitos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internacionales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liderazgo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gestión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seguridad</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usuarios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finales,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servicios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apoyo</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científico-técnicos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reguladores.</w:t>
      </w:r>
    </w:p>
    <w:p w14:paraId="24AD0BEA" w14:textId="71CD002D" w:rsidR="005D0292" w:rsidRPr="00AE1E0D" w:rsidRDefault="005D0292" w:rsidP="00395ED6">
      <w:pPr>
        <w:jc w:val="both"/>
        <w:rPr>
          <w:rFonts w:ascii="Times New Roman" w:eastAsia="Times New Roman" w:hAnsi="Times New Roman" w:cs="Times New Roman"/>
          <w:sz w:val="24"/>
          <w:szCs w:val="24"/>
          <w:lang w:val="es-ES" w:eastAsia="es-CL"/>
        </w:rPr>
      </w:pPr>
      <w:r w:rsidRPr="00AE1E0D">
        <w:rPr>
          <w:rFonts w:ascii="Times New Roman" w:eastAsia="Times New Roman" w:hAnsi="Times New Roman" w:cs="Times New Roman"/>
          <w:b/>
          <w:bCs/>
          <w:sz w:val="24"/>
          <w:szCs w:val="24"/>
          <w:lang w:val="es-ES" w:eastAsia="es-CL"/>
        </w:rPr>
        <w:lastRenderedPageBreak/>
        <w:t>Justificación: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mantienen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deficiencias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en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implementación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sistemas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gestión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organismos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reguladores.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Además,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observa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limitada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implementación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sistemas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gestión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que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incluyan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aspectos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de</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protección</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radiológica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para</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los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servicios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técnicos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y</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usuarios</w:t>
      </w:r>
      <w:r w:rsidR="00D136BB">
        <w:rPr>
          <w:rFonts w:ascii="Times New Roman" w:eastAsia="Times New Roman" w:hAnsi="Times New Roman" w:cs="Times New Roman"/>
          <w:sz w:val="24"/>
          <w:szCs w:val="24"/>
          <w:lang w:val="es-ES" w:eastAsia="es-CL"/>
        </w:rPr>
        <w:t xml:space="preserve"> </w:t>
      </w:r>
      <w:r w:rsidRPr="00AE1E0D">
        <w:rPr>
          <w:rFonts w:ascii="Times New Roman" w:eastAsia="Times New Roman" w:hAnsi="Times New Roman" w:cs="Times New Roman"/>
          <w:sz w:val="24"/>
          <w:szCs w:val="24"/>
          <w:lang w:val="es-ES" w:eastAsia="es-CL"/>
        </w:rPr>
        <w:t>finales.</w:t>
      </w:r>
    </w:p>
    <w:p w14:paraId="1DAED817" w14:textId="15851BF2" w:rsidR="005D0292" w:rsidRPr="00AE1E0D" w:rsidRDefault="005D0292" w:rsidP="005D0292">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ES"/>
        </w:rPr>
        <w:t>Objetivo: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Obtener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un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mayor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desarrollo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implementación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todos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ámbitos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sistemas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gestión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organizaciones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nacionales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infraestructura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seguridad.</w:t>
      </w:r>
    </w:p>
    <w:p w14:paraId="57A4BA27" w14:textId="3E71BD58" w:rsidR="005D0292" w:rsidRPr="00AE1E0D" w:rsidRDefault="005D0292" w:rsidP="005D0292">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Indicador:</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sz w:val="24"/>
          <w:szCs w:val="24"/>
          <w:lang w:val="es-ES" w:eastAsia="es-ES"/>
        </w:rPr>
        <w:t>Número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países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que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demuestran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forma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que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han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aumentado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implementación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indicadores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desempeño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relacionados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con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liderazgo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gestión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seguridad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reguladores,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servicios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apoyo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científico-técnicos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usuarios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finales.</w:t>
      </w:r>
    </w:p>
    <w:p w14:paraId="6586552A" w14:textId="77777777" w:rsidR="005D0292" w:rsidRPr="00AE1E0D" w:rsidRDefault="005D0292" w:rsidP="005D0292">
      <w:pPr>
        <w:jc w:val="both"/>
        <w:rPr>
          <w:rFonts w:ascii="Times New Roman" w:eastAsia="Times New Roman" w:hAnsi="Times New Roman" w:cs="Times New Roman"/>
          <w:sz w:val="24"/>
          <w:szCs w:val="24"/>
          <w:lang w:val="es-ES" w:eastAsia="es-ES"/>
        </w:rPr>
      </w:pPr>
    </w:p>
    <w:p w14:paraId="6D7E14C8" w14:textId="3D207B40" w:rsidR="005D0292" w:rsidRPr="00AE1E0D" w:rsidRDefault="005D0292" w:rsidP="005D0292">
      <w:pPr>
        <w:jc w:val="both"/>
        <w:rPr>
          <w:rFonts w:ascii="Times New Roman" w:eastAsia="Times New Roman" w:hAnsi="Times New Roman" w:cs="Times New Roman"/>
          <w:b/>
          <w:bCs/>
          <w:sz w:val="24"/>
          <w:szCs w:val="24"/>
          <w:lang w:val="es-ES" w:eastAsia="es-ES"/>
        </w:rPr>
      </w:pPr>
      <w:r w:rsidRPr="00AE1E0D">
        <w:rPr>
          <w:rFonts w:ascii="Times New Roman" w:eastAsia="Times New Roman" w:hAnsi="Times New Roman" w:cs="Times New Roman"/>
          <w:b/>
          <w:bCs/>
          <w:sz w:val="24"/>
          <w:szCs w:val="24"/>
          <w:lang w:val="es-ES" w:eastAsia="es-ES"/>
        </w:rPr>
        <w:t>R10</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Limitada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capacidad</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para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la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evaluación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seguridad</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instalaciones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actividades,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con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énfasis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reactores,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ciclotrones,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radiofarmacia</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y</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situaciones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de</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exposiciones</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b/>
          <w:bCs/>
          <w:sz w:val="24"/>
          <w:szCs w:val="24"/>
          <w:lang w:val="es-ES" w:eastAsia="es-ES"/>
        </w:rPr>
        <w:t>existentes.</w:t>
      </w:r>
    </w:p>
    <w:p w14:paraId="18F02569" w14:textId="19D625E8" w:rsidR="005D0292" w:rsidRPr="00AE1E0D" w:rsidRDefault="005D0292" w:rsidP="00395ED6">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ES"/>
        </w:rPr>
        <w:t>Justificación:</w:t>
      </w:r>
      <w:r w:rsidR="00D136BB">
        <w:rPr>
          <w:rFonts w:ascii="Times New Roman" w:eastAsia="Times New Roman" w:hAnsi="Times New Roman" w:cs="Times New Roman"/>
          <w:b/>
          <w:bCs/>
          <w:sz w:val="24"/>
          <w:szCs w:val="24"/>
          <w:lang w:val="es-ES" w:eastAsia="es-ES"/>
        </w:rPr>
        <w:t xml:space="preserve"> </w:t>
      </w:r>
      <w:r w:rsidRPr="00AE1E0D">
        <w:rPr>
          <w:rFonts w:ascii="Times New Roman" w:eastAsia="Times New Roman" w:hAnsi="Times New Roman" w:cs="Times New Roman"/>
          <w:sz w:val="24"/>
          <w:szCs w:val="24"/>
          <w:lang w:val="es-ES" w:eastAsia="es-ES"/>
        </w:rPr>
        <w:t>El</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proceso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evaluación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seguridad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disponibilidad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herramientas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informáticas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su</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realización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limitado,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acuerdo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con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requerimientos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GSR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Parte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4.</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mayoría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países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disponen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herramientas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necesarias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realizar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evaluación,</w:t>
      </w:r>
      <w:r w:rsidR="00D136BB">
        <w:t xml:space="preserve"> </w:t>
      </w:r>
      <w:r w:rsidR="002E1A89" w:rsidRPr="002E1A89">
        <w:rPr>
          <w:rFonts w:ascii="Times New Roman" w:eastAsia="Times New Roman" w:hAnsi="Times New Roman" w:cs="Times New Roman"/>
          <w:sz w:val="24"/>
          <w:szCs w:val="24"/>
          <w:lang w:val="es-ES" w:eastAsia="es-ES"/>
        </w:rPr>
        <w:t>por</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parte</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usuarios</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finales</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ni</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por</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002E1A89" w:rsidRPr="002E1A89">
        <w:rPr>
          <w:rFonts w:ascii="Times New Roman" w:eastAsia="Times New Roman" w:hAnsi="Times New Roman" w:cs="Times New Roman"/>
          <w:sz w:val="24"/>
          <w:szCs w:val="24"/>
          <w:lang w:val="es-ES" w:eastAsia="es-ES"/>
        </w:rPr>
        <w:t>Reguladores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por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que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tiene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información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sobre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niveles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exposición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diferentes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aplicaciones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radiaciones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durante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exposición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planificadas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posibles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exposiciones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potenciales.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Esto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conlleva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que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programas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protección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radiológica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están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incompletos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promueve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acciones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optimización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protección.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GSG-7</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contiene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un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requerimiento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evaluación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radiológica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priori,</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que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está</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implementado.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hace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necesario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fortalecer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optimización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protección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radiológica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ocupacional</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Latino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América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(REPROLAM)</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temas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evaluación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seguridad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optimización.</w:t>
      </w:r>
    </w:p>
    <w:p w14:paraId="4FD7DE39" w14:textId="3D28C6E0" w:rsidR="005D0292" w:rsidRPr="00AE1E0D" w:rsidRDefault="005D0292" w:rsidP="00395ED6">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ES"/>
        </w:rPr>
        <w:t>Objetivo: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Realizar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mantener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actualizadas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evaluaciones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seguridad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programas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protección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radiológica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para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todas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instalaciones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y</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actividades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países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región.</w:t>
      </w:r>
    </w:p>
    <w:p w14:paraId="27750993" w14:textId="51E70C21" w:rsidR="005D0292" w:rsidRPr="00AE1E0D" w:rsidRDefault="005D0292" w:rsidP="005D0292">
      <w:pPr>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bCs/>
          <w:sz w:val="24"/>
          <w:szCs w:val="24"/>
          <w:lang w:val="es-ES" w:eastAsia="es-ES"/>
        </w:rPr>
        <w:t>Indicador:</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Número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países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que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demuestran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forma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que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han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aumentado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implementación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indicadores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desempeño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RASIMS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2</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relacionadas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con</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las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evaluaciones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seguridad,</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considerando</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los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reportes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de</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misiones</w:t>
      </w:r>
      <w:r w:rsidR="00D136BB">
        <w:rPr>
          <w:rFonts w:ascii="Times New Roman" w:eastAsia="Times New Roman" w:hAnsi="Times New Roman" w:cs="Times New Roman"/>
          <w:sz w:val="24"/>
          <w:szCs w:val="24"/>
          <w:lang w:val="es-ES" w:eastAsia="es-ES"/>
        </w:rPr>
        <w:t xml:space="preserve"> </w:t>
      </w:r>
      <w:r w:rsidRPr="00AE1E0D">
        <w:rPr>
          <w:rFonts w:ascii="Times New Roman" w:eastAsia="Times New Roman" w:hAnsi="Times New Roman" w:cs="Times New Roman"/>
          <w:sz w:val="24"/>
          <w:szCs w:val="24"/>
          <w:lang w:val="es-ES" w:eastAsia="es-ES"/>
        </w:rPr>
        <w:t>ORPAS.</w:t>
      </w:r>
    </w:p>
    <w:p w14:paraId="4FFD1036" w14:textId="77777777" w:rsidR="00387EFF" w:rsidRPr="00AE1E0D" w:rsidRDefault="00387EFF">
      <w:pPr>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sz w:val="24"/>
          <w:szCs w:val="24"/>
          <w:lang w:val="es-ES" w:eastAsia="es-ES"/>
        </w:rPr>
        <w:br w:type="page"/>
      </w:r>
    </w:p>
    <w:p w14:paraId="3A63D038" w14:textId="77777777" w:rsidR="00387EFF" w:rsidRPr="00AE1E0D" w:rsidRDefault="00387EFF" w:rsidP="005D0292">
      <w:pPr>
        <w:jc w:val="both"/>
        <w:rPr>
          <w:rFonts w:ascii="Times New Roman" w:eastAsia="Times New Roman" w:hAnsi="Times New Roman" w:cs="Times New Roman"/>
          <w:sz w:val="24"/>
          <w:szCs w:val="24"/>
          <w:lang w:val="es-ES" w:eastAsia="es-ES"/>
        </w:rPr>
        <w:sectPr w:rsidR="00387EFF" w:rsidRPr="00AE1E0D" w:rsidSect="00132971">
          <w:pgSz w:w="12240" w:h="15840"/>
          <w:pgMar w:top="1440" w:right="1077" w:bottom="1440" w:left="1077" w:header="709" w:footer="709" w:gutter="0"/>
          <w:cols w:space="720"/>
          <w:titlePg/>
          <w:docGrid w:linePitch="360"/>
        </w:sectPr>
      </w:pPr>
    </w:p>
    <w:p w14:paraId="2237BDB3" w14:textId="77777777" w:rsidR="005D0292" w:rsidRDefault="005D0292" w:rsidP="005D0292">
      <w:pPr>
        <w:jc w:val="both"/>
        <w:rPr>
          <w:rFonts w:eastAsia="Times New Roman"/>
          <w:szCs w:val="24"/>
          <w:lang w:val="es-ES" w:eastAsia="es-ES"/>
        </w:rPr>
      </w:pPr>
    </w:p>
    <w:p w14:paraId="4F754F32" w14:textId="425C1C40" w:rsidR="005D0292" w:rsidRPr="00AE1E0D" w:rsidRDefault="005D0292" w:rsidP="005D0292">
      <w:pPr>
        <w:ind w:left="567" w:hanging="567"/>
        <w:jc w:val="both"/>
        <w:rPr>
          <w:rFonts w:ascii="Times New Roman" w:eastAsia="Times New Roman" w:hAnsi="Times New Roman" w:cs="Times New Roman"/>
          <w:sz w:val="24"/>
          <w:szCs w:val="24"/>
          <w:lang w:val="es-ES" w:eastAsia="es-ES"/>
        </w:rPr>
      </w:pPr>
      <w:r w:rsidRPr="00AE1E0D">
        <w:rPr>
          <w:rFonts w:ascii="Times New Roman" w:eastAsia="Times New Roman" w:hAnsi="Times New Roman" w:cs="Times New Roman"/>
          <w:b/>
          <w:sz w:val="24"/>
          <w:szCs w:val="24"/>
          <w:lang w:val="es-ES" w:eastAsia="es-ES"/>
        </w:rPr>
        <w:t>IV.</w:t>
      </w:r>
      <w:r w:rsidR="00D136BB">
        <w:rPr>
          <w:rFonts w:ascii="Times New Roman" w:eastAsia="Times New Roman" w:hAnsi="Times New Roman" w:cs="Times New Roman"/>
          <w:b/>
          <w:sz w:val="24"/>
          <w:szCs w:val="24"/>
          <w:lang w:val="es-ES" w:eastAsia="es-ES"/>
        </w:rPr>
        <w:t xml:space="preserve"> </w:t>
      </w:r>
      <w:r w:rsidRPr="00AE1E0D">
        <w:rPr>
          <w:rFonts w:ascii="Times New Roman" w:eastAsia="Times New Roman" w:hAnsi="Times New Roman" w:cs="Times New Roman"/>
          <w:b/>
          <w:sz w:val="24"/>
          <w:szCs w:val="24"/>
          <w:lang w:val="es-ES" w:eastAsia="es-ES"/>
        </w:rPr>
        <w:t>Priorización</w:t>
      </w:r>
      <w:r w:rsidR="008E1E07">
        <w:rPr>
          <w:rFonts w:ascii="Times New Roman" w:eastAsia="Times New Roman" w:hAnsi="Times New Roman" w:cs="Times New Roman"/>
          <w:b/>
          <w:sz w:val="24"/>
          <w:szCs w:val="24"/>
          <w:lang w:val="es-ES" w:eastAsia="es-ES"/>
        </w:rPr>
        <w:t xml:space="preserve"> de la Necesidades/Problemas en Seguridad Radiológica </w:t>
      </w:r>
      <w:r w:rsidR="000D6C0F" w:rsidRPr="000D68CF">
        <w:rPr>
          <w:rFonts w:ascii="Times New Roman" w:hAnsi="Times New Roman" w:cs="Times New Roman"/>
          <w:b/>
          <w:bCs/>
          <w:sz w:val="24"/>
          <w:szCs w:val="24"/>
          <w:lang w:val="es-ES"/>
        </w:rPr>
        <w:t>(de acuerdo al enfoque metodológico del Anexo 1).</w:t>
      </w:r>
    </w:p>
    <w:p w14:paraId="5BD384D2" w14:textId="62B49299" w:rsidR="000E47CD" w:rsidRDefault="00387EFF" w:rsidP="00D136BB">
      <w:pPr>
        <w:rPr>
          <w:rFonts w:ascii="Times New Roman" w:hAnsi="Times New Roman" w:cs="Times New Roman"/>
          <w:sz w:val="24"/>
          <w:szCs w:val="24"/>
        </w:rPr>
      </w:pPr>
      <w:r w:rsidRPr="00AE1E0D">
        <w:rPr>
          <w:rFonts w:ascii="Times New Roman" w:hAnsi="Times New Roman" w:cs="Times New Roman"/>
          <w:sz w:val="24"/>
          <w:szCs w:val="24"/>
        </w:rPr>
        <w:t>Tabla</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5:</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Priorización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de</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las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Necesidades/Problemas</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en</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Seguridad</w:t>
      </w:r>
      <w:r w:rsidR="00D136BB">
        <w:rPr>
          <w:rFonts w:ascii="Times New Roman" w:hAnsi="Times New Roman" w:cs="Times New Roman"/>
          <w:sz w:val="24"/>
          <w:szCs w:val="24"/>
        </w:rPr>
        <w:t xml:space="preserve"> </w:t>
      </w:r>
      <w:r w:rsidRPr="00AE1E0D">
        <w:rPr>
          <w:rFonts w:ascii="Times New Roman" w:hAnsi="Times New Roman" w:cs="Times New Roman"/>
          <w:sz w:val="24"/>
          <w:szCs w:val="24"/>
        </w:rPr>
        <w:t>Radiológica</w:t>
      </w:r>
      <w:bookmarkEnd w:id="33"/>
      <w:r w:rsidR="000D6C0F">
        <w:rPr>
          <w:rFonts w:ascii="Times New Roman" w:hAnsi="Times New Roman" w:cs="Times New Roman"/>
          <w:sz w:val="24"/>
          <w:szCs w:val="24"/>
        </w:rPr>
        <w:t xml:space="preserve"> </w:t>
      </w:r>
    </w:p>
    <w:tbl>
      <w:tblPr>
        <w:tblW w:w="14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455"/>
        <w:gridCol w:w="2097"/>
        <w:gridCol w:w="1701"/>
        <w:gridCol w:w="1588"/>
        <w:gridCol w:w="1588"/>
        <w:gridCol w:w="2211"/>
        <w:gridCol w:w="907"/>
        <w:gridCol w:w="2125"/>
        <w:gridCol w:w="708"/>
        <w:gridCol w:w="993"/>
      </w:tblGrid>
      <w:tr w:rsidR="000E47CD" w:rsidRPr="00B766F4" w14:paraId="4333F7FA" w14:textId="77777777" w:rsidTr="000E47CD">
        <w:trPr>
          <w:trHeight w:val="332"/>
          <w:tblHeader/>
          <w:jc w:val="center"/>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14:paraId="59D7D916"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P</w:t>
            </w:r>
          </w:p>
        </w:tc>
        <w:tc>
          <w:tcPr>
            <w:tcW w:w="2097" w:type="dxa"/>
            <w:tcBorders>
              <w:top w:val="single" w:sz="4" w:space="0" w:color="auto"/>
              <w:left w:val="single" w:sz="4" w:space="0" w:color="auto"/>
              <w:bottom w:val="single" w:sz="4" w:space="0" w:color="auto"/>
              <w:right w:val="single" w:sz="4" w:space="0" w:color="auto"/>
            </w:tcBorders>
            <w:shd w:val="clear" w:color="auto" w:fill="FFFFFF"/>
            <w:vAlign w:val="center"/>
          </w:tcPr>
          <w:p w14:paraId="48AFF55C" w14:textId="5D13CEC8"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eastAsia="pt-BR"/>
              </w:rPr>
              <w:t>NECESIDAD/</w:t>
            </w:r>
            <w:r>
              <w:rPr>
                <w:rFonts w:ascii="Times New Roman" w:hAnsi="Times New Roman" w:cs="Times New Roman"/>
                <w:b/>
                <w:bCs/>
                <w:sz w:val="20"/>
                <w:szCs w:val="20"/>
                <w:lang w:val="es-ES" w:eastAsia="pt-BR"/>
              </w:rPr>
              <w:t xml:space="preserve"> </w:t>
            </w:r>
            <w:r w:rsidRPr="00B766F4">
              <w:rPr>
                <w:rFonts w:ascii="Times New Roman" w:hAnsi="Times New Roman" w:cs="Times New Roman"/>
                <w:b/>
                <w:bCs/>
                <w:sz w:val="20"/>
                <w:szCs w:val="20"/>
                <w:lang w:val="es-ES" w:eastAsia="pt-BR"/>
              </w:rPr>
              <w:t>PROBLEMA</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64B87E"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Severidad</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30068D18"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Tiempo</w:t>
            </w:r>
          </w:p>
        </w:tc>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065FAAF6"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Extensión</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14:paraId="1F2E5FA8"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Relevancia</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tcPr>
          <w:p w14:paraId="51188406"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Grado Total</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14:paraId="348DCBC6"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Dificultad</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ECF2C7E"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R/D</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CEAB524"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Grado Final</w:t>
            </w:r>
          </w:p>
        </w:tc>
      </w:tr>
      <w:tr w:rsidR="000E47CD" w:rsidRPr="00B766F4" w14:paraId="1AE4233B" w14:textId="77777777" w:rsidTr="000E47CD">
        <w:trPr>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3BBCF9C1"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w:t>
            </w:r>
          </w:p>
        </w:tc>
        <w:tc>
          <w:tcPr>
            <w:tcW w:w="2097" w:type="dxa"/>
            <w:vMerge w:val="restart"/>
            <w:tcBorders>
              <w:top w:val="single" w:sz="4" w:space="0" w:color="auto"/>
              <w:left w:val="single" w:sz="4" w:space="0" w:color="auto"/>
              <w:right w:val="single" w:sz="4" w:space="0" w:color="auto"/>
            </w:tcBorders>
            <w:vAlign w:val="center"/>
          </w:tcPr>
          <w:p w14:paraId="5BC622F9"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R8</w:t>
            </w:r>
          </w:p>
          <w:p w14:paraId="5B389DB2"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Cs/>
                <w:sz w:val="20"/>
                <w:szCs w:val="20"/>
                <w:lang w:val="es-ES"/>
              </w:rPr>
              <w:t>Insuficiente control regulatorio del material radiactivo cuando se encuentra en el dominio público, esto es durante el transporte.</w:t>
            </w:r>
          </w:p>
        </w:tc>
        <w:tc>
          <w:tcPr>
            <w:tcW w:w="1701" w:type="dxa"/>
            <w:tcBorders>
              <w:top w:val="single" w:sz="4" w:space="0" w:color="auto"/>
              <w:left w:val="single" w:sz="4" w:space="0" w:color="auto"/>
              <w:bottom w:val="single" w:sz="4" w:space="0" w:color="auto"/>
              <w:right w:val="single" w:sz="4" w:space="0" w:color="auto"/>
            </w:tcBorders>
            <w:vAlign w:val="center"/>
          </w:tcPr>
          <w:p w14:paraId="26069D71"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4,5</w:t>
            </w:r>
          </w:p>
        </w:tc>
        <w:tc>
          <w:tcPr>
            <w:tcW w:w="1588" w:type="dxa"/>
            <w:tcBorders>
              <w:top w:val="single" w:sz="4" w:space="0" w:color="auto"/>
              <w:left w:val="single" w:sz="4" w:space="0" w:color="auto"/>
              <w:bottom w:val="single" w:sz="4" w:space="0" w:color="auto"/>
              <w:right w:val="single" w:sz="4" w:space="0" w:color="auto"/>
            </w:tcBorders>
            <w:vAlign w:val="center"/>
          </w:tcPr>
          <w:p w14:paraId="66D2C17A"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1588" w:type="dxa"/>
            <w:tcBorders>
              <w:top w:val="single" w:sz="4" w:space="0" w:color="auto"/>
              <w:left w:val="single" w:sz="4" w:space="0" w:color="auto"/>
              <w:bottom w:val="single" w:sz="4" w:space="0" w:color="auto"/>
              <w:right w:val="single" w:sz="4" w:space="0" w:color="auto"/>
            </w:tcBorders>
            <w:vAlign w:val="center"/>
          </w:tcPr>
          <w:p w14:paraId="3E5565D3"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2211" w:type="dxa"/>
            <w:tcBorders>
              <w:top w:val="single" w:sz="4" w:space="0" w:color="auto"/>
              <w:left w:val="single" w:sz="4" w:space="0" w:color="auto"/>
              <w:bottom w:val="single" w:sz="4" w:space="0" w:color="auto"/>
              <w:right w:val="single" w:sz="4" w:space="0" w:color="auto"/>
            </w:tcBorders>
            <w:vAlign w:val="center"/>
          </w:tcPr>
          <w:p w14:paraId="6D3016D5"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907" w:type="dxa"/>
            <w:tcBorders>
              <w:top w:val="single" w:sz="4" w:space="0" w:color="auto"/>
              <w:left w:val="single" w:sz="4" w:space="0" w:color="auto"/>
              <w:bottom w:val="single" w:sz="4" w:space="0" w:color="auto"/>
              <w:right w:val="single" w:sz="4" w:space="0" w:color="auto"/>
            </w:tcBorders>
            <w:vAlign w:val="center"/>
          </w:tcPr>
          <w:p w14:paraId="68E8D8A5"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19,5</w:t>
            </w:r>
          </w:p>
        </w:tc>
        <w:tc>
          <w:tcPr>
            <w:tcW w:w="2125" w:type="dxa"/>
            <w:tcBorders>
              <w:top w:val="single" w:sz="4" w:space="0" w:color="auto"/>
              <w:left w:val="single" w:sz="4" w:space="0" w:color="auto"/>
              <w:bottom w:val="single" w:sz="4" w:space="0" w:color="auto"/>
              <w:right w:val="single" w:sz="4" w:space="0" w:color="auto"/>
            </w:tcBorders>
            <w:vAlign w:val="center"/>
          </w:tcPr>
          <w:p w14:paraId="47CC281A"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708" w:type="dxa"/>
            <w:tcBorders>
              <w:top w:val="single" w:sz="4" w:space="0" w:color="auto"/>
              <w:left w:val="single" w:sz="4" w:space="0" w:color="auto"/>
              <w:bottom w:val="single" w:sz="4" w:space="0" w:color="auto"/>
              <w:right w:val="single" w:sz="4" w:space="0" w:color="auto"/>
            </w:tcBorders>
            <w:vAlign w:val="center"/>
          </w:tcPr>
          <w:p w14:paraId="7E2B5870"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1,25</w:t>
            </w:r>
          </w:p>
        </w:tc>
        <w:tc>
          <w:tcPr>
            <w:tcW w:w="993" w:type="dxa"/>
            <w:tcBorders>
              <w:top w:val="single" w:sz="4" w:space="0" w:color="auto"/>
              <w:left w:val="single" w:sz="4" w:space="0" w:color="auto"/>
              <w:bottom w:val="single" w:sz="4" w:space="0" w:color="auto"/>
              <w:right w:val="single" w:sz="4" w:space="0" w:color="auto"/>
            </w:tcBorders>
            <w:vAlign w:val="center"/>
          </w:tcPr>
          <w:p w14:paraId="5FECCF93" w14:textId="77777777" w:rsidR="000E47CD" w:rsidRPr="00B766F4" w:rsidRDefault="000E47CD" w:rsidP="00FE4F5F">
            <w:pPr>
              <w:spacing w:after="0"/>
              <w:jc w:val="center"/>
              <w:rPr>
                <w:rFonts w:ascii="Times New Roman" w:hAnsi="Times New Roman" w:cs="Times New Roman"/>
                <w:b/>
                <w:sz w:val="20"/>
                <w:szCs w:val="20"/>
                <w:lang w:val="es-ES"/>
              </w:rPr>
            </w:pPr>
            <w:r w:rsidRPr="00B766F4">
              <w:rPr>
                <w:rFonts w:ascii="Times New Roman" w:hAnsi="Times New Roman" w:cs="Times New Roman"/>
                <w:b/>
                <w:sz w:val="20"/>
                <w:szCs w:val="20"/>
                <w:lang w:val="es-ES"/>
              </w:rPr>
              <w:t>24,38</w:t>
            </w:r>
          </w:p>
        </w:tc>
      </w:tr>
      <w:tr w:rsidR="000E47CD" w:rsidRPr="00B766F4" w14:paraId="73B08793" w14:textId="77777777" w:rsidTr="000E47CD">
        <w:trPr>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tcPr>
          <w:p w14:paraId="3D284655"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tcPr>
          <w:p w14:paraId="4D1EF1B0"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372AB95D"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Compromete la seguridad del público</w:t>
            </w:r>
          </w:p>
        </w:tc>
        <w:tc>
          <w:tcPr>
            <w:tcW w:w="1588" w:type="dxa"/>
            <w:tcBorders>
              <w:top w:val="single" w:sz="4" w:space="0" w:color="auto"/>
              <w:left w:val="single" w:sz="4" w:space="0" w:color="auto"/>
              <w:bottom w:val="single" w:sz="4" w:space="0" w:color="auto"/>
              <w:right w:val="single" w:sz="4" w:space="0" w:color="auto"/>
            </w:tcBorders>
            <w:vAlign w:val="center"/>
          </w:tcPr>
          <w:p w14:paraId="7D16091C"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Estos requisitos deben ser implementados a la brevedad posible</w:t>
            </w:r>
          </w:p>
        </w:tc>
        <w:tc>
          <w:tcPr>
            <w:tcW w:w="1588" w:type="dxa"/>
            <w:tcBorders>
              <w:top w:val="single" w:sz="4" w:space="0" w:color="auto"/>
              <w:left w:val="single" w:sz="4" w:space="0" w:color="auto"/>
              <w:bottom w:val="single" w:sz="4" w:space="0" w:color="auto"/>
              <w:right w:val="single" w:sz="4" w:space="0" w:color="auto"/>
            </w:tcBorders>
            <w:vAlign w:val="center"/>
          </w:tcPr>
          <w:p w14:paraId="51687FB1"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Este problema afecta a la gran mayoría de los países de la región</w:t>
            </w:r>
          </w:p>
        </w:tc>
        <w:tc>
          <w:tcPr>
            <w:tcW w:w="2211" w:type="dxa"/>
            <w:tcBorders>
              <w:top w:val="single" w:sz="4" w:space="0" w:color="auto"/>
              <w:left w:val="single" w:sz="4" w:space="0" w:color="auto"/>
              <w:bottom w:val="single" w:sz="4" w:space="0" w:color="auto"/>
              <w:right w:val="single" w:sz="4" w:space="0" w:color="auto"/>
            </w:tcBorders>
            <w:vAlign w:val="center"/>
          </w:tcPr>
          <w:p w14:paraId="30F7815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El control regulatorio del material radiactivo durante su transporte es relevante para la protección tanto del público como de los trabajadores. El grupo de potenciales afectados por una mala gestión de la seguridad durante el transporte incluye a todos los habitantes del lugar en que se pueda producir un accidente. Una mala gestión de la seguridad en el transporte, además, impediría la provisión de suministros al usuario final.</w:t>
            </w:r>
          </w:p>
        </w:tc>
        <w:tc>
          <w:tcPr>
            <w:tcW w:w="907" w:type="dxa"/>
            <w:tcBorders>
              <w:top w:val="single" w:sz="4" w:space="0" w:color="auto"/>
              <w:left w:val="single" w:sz="4" w:space="0" w:color="auto"/>
              <w:bottom w:val="single" w:sz="4" w:space="0" w:color="auto"/>
              <w:right w:val="single" w:sz="4" w:space="0" w:color="auto"/>
            </w:tcBorders>
            <w:vAlign w:val="center"/>
          </w:tcPr>
          <w:p w14:paraId="2229D0DB"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tcPr>
          <w:p w14:paraId="393E2AC4" w14:textId="66B4530E" w:rsidR="000E47CD" w:rsidRPr="00B766F4" w:rsidRDefault="000E47CD" w:rsidP="000E47CD">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 xml:space="preserve">Vinculada con la voluntad del regulador nuclear en implementar medidas que se aplican en otros campos de seguridad radiológica y mejorar la cooperación con otras autoridades nacionales y la comunicación con pares en la región. La actualización-implementación del marco regulador estará influenciado por la voluntad política de los gobiernos de establecer el marco legal efectivo, cuya falta implica incumplimiento de GSR </w:t>
            </w:r>
            <w:r w:rsidRPr="006F1722">
              <w:rPr>
                <w:rFonts w:ascii="Times New Roman" w:hAnsi="Times New Roman" w:cs="Times New Roman"/>
                <w:sz w:val="20"/>
                <w:szCs w:val="20"/>
                <w:lang w:val="es-ES"/>
              </w:rPr>
              <w:t>Part 1.</w:t>
            </w:r>
          </w:p>
        </w:tc>
        <w:tc>
          <w:tcPr>
            <w:tcW w:w="708" w:type="dxa"/>
            <w:tcBorders>
              <w:top w:val="single" w:sz="4" w:space="0" w:color="auto"/>
              <w:left w:val="single" w:sz="4" w:space="0" w:color="auto"/>
              <w:bottom w:val="single" w:sz="4" w:space="0" w:color="auto"/>
              <w:right w:val="single" w:sz="4" w:space="0" w:color="auto"/>
            </w:tcBorders>
            <w:vAlign w:val="center"/>
          </w:tcPr>
          <w:p w14:paraId="20FB6670"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tcPr>
          <w:p w14:paraId="6795AA3B"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692615A9" w14:textId="77777777" w:rsidTr="000E47CD">
        <w:trPr>
          <w:trHeight w:val="404"/>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564E130E"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2</w:t>
            </w:r>
          </w:p>
        </w:tc>
        <w:tc>
          <w:tcPr>
            <w:tcW w:w="2097" w:type="dxa"/>
            <w:vMerge w:val="restart"/>
            <w:tcBorders>
              <w:top w:val="single" w:sz="4" w:space="0" w:color="auto"/>
              <w:left w:val="single" w:sz="4" w:space="0" w:color="auto"/>
              <w:right w:val="single" w:sz="4" w:space="0" w:color="auto"/>
            </w:tcBorders>
            <w:vAlign w:val="center"/>
          </w:tcPr>
          <w:p w14:paraId="0C3DD54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R4</w:t>
            </w:r>
          </w:p>
          <w:p w14:paraId="3B2BF2CA"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Cs/>
                <w:sz w:val="20"/>
                <w:szCs w:val="20"/>
                <w:lang w:val="es-ES"/>
              </w:rPr>
              <w:t xml:space="preserve">Insuficiente implementación de los requisitos y recomendaciones </w:t>
            </w:r>
            <w:r w:rsidRPr="00B766F4">
              <w:rPr>
                <w:rFonts w:ascii="Times New Roman" w:hAnsi="Times New Roman" w:cs="Times New Roman"/>
                <w:bCs/>
                <w:sz w:val="20"/>
                <w:szCs w:val="20"/>
                <w:lang w:val="es-ES"/>
              </w:rPr>
              <w:lastRenderedPageBreak/>
              <w:t>internacionales de seguridad y de las 10 acciones de la Convocatoria de Bonn para el control de la exposición médica, con énfasis en tecnologías avanzadas en radioterapia, procedimientos intervencionistas y fluoroscópicos, radiología digital, tomosíntesis, CBCT odontológico, tomografía computada multicortes y sistemas híbridos (SPECT/CT y PET/CT).</w:t>
            </w:r>
          </w:p>
        </w:tc>
        <w:tc>
          <w:tcPr>
            <w:tcW w:w="1701" w:type="dxa"/>
            <w:tcBorders>
              <w:top w:val="single" w:sz="4" w:space="0" w:color="auto"/>
              <w:left w:val="single" w:sz="4" w:space="0" w:color="auto"/>
              <w:bottom w:val="single" w:sz="4" w:space="0" w:color="auto"/>
              <w:right w:val="single" w:sz="4" w:space="0" w:color="auto"/>
            </w:tcBorders>
            <w:vAlign w:val="center"/>
          </w:tcPr>
          <w:p w14:paraId="200DFBBD"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lastRenderedPageBreak/>
              <w:t>4,0</w:t>
            </w:r>
          </w:p>
        </w:tc>
        <w:tc>
          <w:tcPr>
            <w:tcW w:w="1588" w:type="dxa"/>
            <w:tcBorders>
              <w:top w:val="single" w:sz="4" w:space="0" w:color="auto"/>
              <w:left w:val="single" w:sz="4" w:space="0" w:color="auto"/>
              <w:bottom w:val="single" w:sz="4" w:space="0" w:color="auto"/>
              <w:right w:val="single" w:sz="4" w:space="0" w:color="auto"/>
            </w:tcBorders>
            <w:vAlign w:val="center"/>
          </w:tcPr>
          <w:p w14:paraId="537F38A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1588" w:type="dxa"/>
            <w:tcBorders>
              <w:top w:val="single" w:sz="4" w:space="0" w:color="auto"/>
              <w:left w:val="single" w:sz="4" w:space="0" w:color="auto"/>
              <w:bottom w:val="single" w:sz="4" w:space="0" w:color="auto"/>
              <w:right w:val="single" w:sz="4" w:space="0" w:color="auto"/>
            </w:tcBorders>
            <w:vAlign w:val="center"/>
          </w:tcPr>
          <w:p w14:paraId="52AD6B4F"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2211" w:type="dxa"/>
            <w:tcBorders>
              <w:top w:val="single" w:sz="4" w:space="0" w:color="auto"/>
              <w:left w:val="single" w:sz="4" w:space="0" w:color="auto"/>
              <w:bottom w:val="single" w:sz="4" w:space="0" w:color="auto"/>
              <w:right w:val="single" w:sz="4" w:space="0" w:color="auto"/>
            </w:tcBorders>
            <w:vAlign w:val="center"/>
          </w:tcPr>
          <w:p w14:paraId="61FA8D37"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907" w:type="dxa"/>
            <w:tcBorders>
              <w:top w:val="single" w:sz="4" w:space="0" w:color="auto"/>
              <w:left w:val="single" w:sz="4" w:space="0" w:color="auto"/>
              <w:bottom w:val="single" w:sz="4" w:space="0" w:color="auto"/>
              <w:right w:val="single" w:sz="4" w:space="0" w:color="auto"/>
            </w:tcBorders>
            <w:vAlign w:val="center"/>
          </w:tcPr>
          <w:p w14:paraId="640856D0"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19,0</w:t>
            </w:r>
          </w:p>
        </w:tc>
        <w:tc>
          <w:tcPr>
            <w:tcW w:w="2125" w:type="dxa"/>
            <w:tcBorders>
              <w:top w:val="single" w:sz="4" w:space="0" w:color="auto"/>
              <w:left w:val="single" w:sz="4" w:space="0" w:color="auto"/>
              <w:bottom w:val="single" w:sz="4" w:space="0" w:color="auto"/>
              <w:right w:val="single" w:sz="4" w:space="0" w:color="auto"/>
            </w:tcBorders>
            <w:vAlign w:val="center"/>
          </w:tcPr>
          <w:p w14:paraId="2EF74F9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708" w:type="dxa"/>
            <w:tcBorders>
              <w:top w:val="single" w:sz="4" w:space="0" w:color="auto"/>
              <w:left w:val="single" w:sz="4" w:space="0" w:color="auto"/>
              <w:bottom w:val="single" w:sz="4" w:space="0" w:color="auto"/>
              <w:right w:val="single" w:sz="4" w:space="0" w:color="auto"/>
            </w:tcBorders>
            <w:vAlign w:val="center"/>
          </w:tcPr>
          <w:p w14:paraId="60B62302"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1,25</w:t>
            </w:r>
          </w:p>
        </w:tc>
        <w:tc>
          <w:tcPr>
            <w:tcW w:w="993" w:type="dxa"/>
            <w:tcBorders>
              <w:top w:val="single" w:sz="4" w:space="0" w:color="auto"/>
              <w:left w:val="single" w:sz="4" w:space="0" w:color="auto"/>
              <w:bottom w:val="single" w:sz="4" w:space="0" w:color="auto"/>
              <w:right w:val="single" w:sz="4" w:space="0" w:color="auto"/>
            </w:tcBorders>
            <w:vAlign w:val="center"/>
          </w:tcPr>
          <w:p w14:paraId="4669EFEC" w14:textId="77777777" w:rsidR="000E47CD" w:rsidRPr="00B766F4" w:rsidRDefault="000E47CD" w:rsidP="00FE4F5F">
            <w:pPr>
              <w:spacing w:after="0"/>
              <w:jc w:val="center"/>
              <w:rPr>
                <w:rFonts w:ascii="Times New Roman" w:hAnsi="Times New Roman" w:cs="Times New Roman"/>
                <w:b/>
                <w:sz w:val="20"/>
                <w:szCs w:val="20"/>
                <w:lang w:val="es-ES"/>
              </w:rPr>
            </w:pPr>
            <w:r w:rsidRPr="00B766F4">
              <w:rPr>
                <w:rFonts w:ascii="Times New Roman" w:hAnsi="Times New Roman" w:cs="Times New Roman"/>
                <w:b/>
                <w:sz w:val="20"/>
                <w:szCs w:val="20"/>
                <w:lang w:val="es-ES"/>
              </w:rPr>
              <w:t>23,75</w:t>
            </w:r>
          </w:p>
        </w:tc>
      </w:tr>
      <w:tr w:rsidR="000E47CD" w:rsidRPr="00B766F4" w14:paraId="0702546D" w14:textId="77777777" w:rsidTr="000E47CD">
        <w:trPr>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hideMark/>
          </w:tcPr>
          <w:p w14:paraId="7519E7EE"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hideMark/>
          </w:tcPr>
          <w:p w14:paraId="7DE3991B"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F75A68F"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Afecta severamente la protección del paciente y los trabajadores.</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F837843"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 xml:space="preserve">Es recomendable que estos requisitos sean implementados tan </w:t>
            </w:r>
            <w:r w:rsidRPr="00B766F4">
              <w:rPr>
                <w:rFonts w:ascii="Times New Roman" w:hAnsi="Times New Roman" w:cs="Times New Roman"/>
                <w:bCs/>
                <w:sz w:val="20"/>
                <w:szCs w:val="20"/>
                <w:lang w:val="es-ES"/>
              </w:rPr>
              <w:lastRenderedPageBreak/>
              <w:t>pronto como sea posible.</w:t>
            </w:r>
          </w:p>
        </w:tc>
        <w:tc>
          <w:tcPr>
            <w:tcW w:w="1588" w:type="dxa"/>
            <w:tcBorders>
              <w:top w:val="single" w:sz="4" w:space="0" w:color="auto"/>
              <w:left w:val="single" w:sz="4" w:space="0" w:color="auto"/>
              <w:bottom w:val="single" w:sz="4" w:space="0" w:color="auto"/>
              <w:right w:val="single" w:sz="4" w:space="0" w:color="auto"/>
            </w:tcBorders>
            <w:vAlign w:val="center"/>
            <w:hideMark/>
          </w:tcPr>
          <w:p w14:paraId="71A9AB02"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lastRenderedPageBreak/>
              <w:t>Este problema aplica a todos de los países de la región.</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512518F"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 xml:space="preserve">Es crucial para la protección de los pacientes y los </w:t>
            </w:r>
            <w:r w:rsidRPr="00B766F4">
              <w:rPr>
                <w:rFonts w:ascii="Times New Roman" w:hAnsi="Times New Roman" w:cs="Times New Roman"/>
                <w:bCs/>
                <w:sz w:val="20"/>
                <w:szCs w:val="20"/>
                <w:lang w:val="es-ES"/>
              </w:rPr>
              <w:lastRenderedPageBreak/>
              <w:t>trabajadores asociado a la misma.</w:t>
            </w:r>
          </w:p>
        </w:tc>
        <w:tc>
          <w:tcPr>
            <w:tcW w:w="907" w:type="dxa"/>
            <w:tcBorders>
              <w:top w:val="single" w:sz="4" w:space="0" w:color="auto"/>
              <w:left w:val="single" w:sz="4" w:space="0" w:color="auto"/>
              <w:bottom w:val="single" w:sz="4" w:space="0" w:color="auto"/>
              <w:right w:val="single" w:sz="4" w:space="0" w:color="auto"/>
            </w:tcBorders>
            <w:vAlign w:val="center"/>
            <w:hideMark/>
          </w:tcPr>
          <w:p w14:paraId="7ACF88BA"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06BD471A"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 xml:space="preserve">Vinculada al amplio universo y la cantidad de prácticas en cada país y a la necesidad del </w:t>
            </w:r>
            <w:r w:rsidRPr="00B766F4">
              <w:rPr>
                <w:rFonts w:ascii="Times New Roman" w:hAnsi="Times New Roman" w:cs="Times New Roman"/>
                <w:bCs/>
                <w:sz w:val="20"/>
                <w:szCs w:val="20"/>
                <w:lang w:val="es-ES"/>
              </w:rPr>
              <w:lastRenderedPageBreak/>
              <w:t>cumplimiento de los requisitos establecidos por órganos reguladores capacitados.</w:t>
            </w:r>
          </w:p>
        </w:tc>
        <w:tc>
          <w:tcPr>
            <w:tcW w:w="708" w:type="dxa"/>
            <w:tcBorders>
              <w:top w:val="single" w:sz="4" w:space="0" w:color="auto"/>
              <w:left w:val="single" w:sz="4" w:space="0" w:color="auto"/>
              <w:bottom w:val="single" w:sz="4" w:space="0" w:color="auto"/>
              <w:right w:val="single" w:sz="4" w:space="0" w:color="auto"/>
            </w:tcBorders>
            <w:vAlign w:val="center"/>
            <w:hideMark/>
          </w:tcPr>
          <w:p w14:paraId="265D69EB"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8B51C0F"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07012EF7" w14:textId="77777777" w:rsidTr="000E47CD">
        <w:trPr>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7F6D9F6D"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3</w:t>
            </w:r>
          </w:p>
        </w:tc>
        <w:tc>
          <w:tcPr>
            <w:tcW w:w="2097" w:type="dxa"/>
            <w:vMerge w:val="restart"/>
            <w:tcBorders>
              <w:top w:val="single" w:sz="4" w:space="0" w:color="auto"/>
              <w:left w:val="single" w:sz="4" w:space="0" w:color="auto"/>
              <w:right w:val="single" w:sz="4" w:space="0" w:color="auto"/>
            </w:tcBorders>
            <w:vAlign w:val="center"/>
          </w:tcPr>
          <w:p w14:paraId="2B8A23E4"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R3</w:t>
            </w:r>
          </w:p>
          <w:p w14:paraId="6D8FAF14"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Cs/>
                <w:sz w:val="20"/>
                <w:szCs w:val="20"/>
                <w:lang w:val="es-ES"/>
              </w:rPr>
              <w:t>Limitaciones en las capacidades de calibración en protección radiológica, radiodiagnóstico y radioterapia, por parte de los Laboratorios de Calibración Dosimétrica de la región.</w:t>
            </w:r>
          </w:p>
        </w:tc>
        <w:tc>
          <w:tcPr>
            <w:tcW w:w="1701" w:type="dxa"/>
            <w:tcBorders>
              <w:top w:val="single" w:sz="4" w:space="0" w:color="auto"/>
              <w:left w:val="single" w:sz="4" w:space="0" w:color="auto"/>
              <w:bottom w:val="single" w:sz="4" w:space="0" w:color="auto"/>
              <w:right w:val="single" w:sz="4" w:space="0" w:color="auto"/>
            </w:tcBorders>
            <w:vAlign w:val="center"/>
          </w:tcPr>
          <w:p w14:paraId="3C3C7685"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4,5</w:t>
            </w:r>
          </w:p>
        </w:tc>
        <w:tc>
          <w:tcPr>
            <w:tcW w:w="1588" w:type="dxa"/>
            <w:tcBorders>
              <w:top w:val="single" w:sz="4" w:space="0" w:color="auto"/>
              <w:left w:val="single" w:sz="4" w:space="0" w:color="auto"/>
              <w:bottom w:val="single" w:sz="4" w:space="0" w:color="auto"/>
              <w:right w:val="single" w:sz="4" w:space="0" w:color="auto"/>
            </w:tcBorders>
            <w:vAlign w:val="center"/>
          </w:tcPr>
          <w:p w14:paraId="769BA7A7"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4,5</w:t>
            </w:r>
          </w:p>
        </w:tc>
        <w:tc>
          <w:tcPr>
            <w:tcW w:w="1588" w:type="dxa"/>
            <w:tcBorders>
              <w:top w:val="single" w:sz="4" w:space="0" w:color="auto"/>
              <w:left w:val="single" w:sz="4" w:space="0" w:color="auto"/>
              <w:bottom w:val="single" w:sz="4" w:space="0" w:color="auto"/>
              <w:right w:val="single" w:sz="4" w:space="0" w:color="auto"/>
            </w:tcBorders>
            <w:vAlign w:val="center"/>
          </w:tcPr>
          <w:p w14:paraId="4C7B9B9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2211" w:type="dxa"/>
            <w:tcBorders>
              <w:top w:val="single" w:sz="4" w:space="0" w:color="auto"/>
              <w:left w:val="single" w:sz="4" w:space="0" w:color="auto"/>
              <w:bottom w:val="single" w:sz="4" w:space="0" w:color="auto"/>
              <w:right w:val="single" w:sz="4" w:space="0" w:color="auto"/>
            </w:tcBorders>
            <w:vAlign w:val="center"/>
          </w:tcPr>
          <w:p w14:paraId="3D0DD03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4,5</w:t>
            </w:r>
          </w:p>
        </w:tc>
        <w:tc>
          <w:tcPr>
            <w:tcW w:w="907" w:type="dxa"/>
            <w:tcBorders>
              <w:top w:val="single" w:sz="4" w:space="0" w:color="auto"/>
              <w:left w:val="single" w:sz="4" w:space="0" w:color="auto"/>
              <w:bottom w:val="single" w:sz="4" w:space="0" w:color="auto"/>
              <w:right w:val="single" w:sz="4" w:space="0" w:color="auto"/>
            </w:tcBorders>
            <w:vAlign w:val="center"/>
          </w:tcPr>
          <w:p w14:paraId="55FABE2D"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18,5</w:t>
            </w:r>
          </w:p>
        </w:tc>
        <w:tc>
          <w:tcPr>
            <w:tcW w:w="2125" w:type="dxa"/>
            <w:tcBorders>
              <w:top w:val="single" w:sz="4" w:space="0" w:color="auto"/>
              <w:left w:val="single" w:sz="4" w:space="0" w:color="auto"/>
              <w:bottom w:val="single" w:sz="4" w:space="0" w:color="auto"/>
              <w:right w:val="single" w:sz="4" w:space="0" w:color="auto"/>
            </w:tcBorders>
            <w:vAlign w:val="center"/>
          </w:tcPr>
          <w:p w14:paraId="0F5EB485"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708" w:type="dxa"/>
            <w:tcBorders>
              <w:top w:val="single" w:sz="4" w:space="0" w:color="auto"/>
              <w:left w:val="single" w:sz="4" w:space="0" w:color="auto"/>
              <w:bottom w:val="single" w:sz="4" w:space="0" w:color="auto"/>
              <w:right w:val="single" w:sz="4" w:space="0" w:color="auto"/>
            </w:tcBorders>
            <w:vAlign w:val="center"/>
          </w:tcPr>
          <w:p w14:paraId="3F400292"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1,13</w:t>
            </w:r>
          </w:p>
        </w:tc>
        <w:tc>
          <w:tcPr>
            <w:tcW w:w="993" w:type="dxa"/>
            <w:tcBorders>
              <w:top w:val="single" w:sz="4" w:space="0" w:color="auto"/>
              <w:left w:val="single" w:sz="4" w:space="0" w:color="auto"/>
              <w:bottom w:val="single" w:sz="4" w:space="0" w:color="auto"/>
              <w:right w:val="single" w:sz="4" w:space="0" w:color="auto"/>
            </w:tcBorders>
            <w:vAlign w:val="center"/>
          </w:tcPr>
          <w:p w14:paraId="15AF73FB" w14:textId="77777777" w:rsidR="000E47CD" w:rsidRPr="00B766F4" w:rsidRDefault="000E47CD" w:rsidP="00FE4F5F">
            <w:pPr>
              <w:spacing w:after="0"/>
              <w:jc w:val="center"/>
              <w:rPr>
                <w:rFonts w:ascii="Times New Roman" w:hAnsi="Times New Roman" w:cs="Times New Roman"/>
                <w:b/>
                <w:sz w:val="20"/>
                <w:szCs w:val="20"/>
                <w:lang w:val="es-ES"/>
              </w:rPr>
            </w:pPr>
            <w:r w:rsidRPr="00B766F4">
              <w:rPr>
                <w:rFonts w:ascii="Times New Roman" w:hAnsi="Times New Roman" w:cs="Times New Roman"/>
                <w:b/>
                <w:sz w:val="20"/>
                <w:szCs w:val="20"/>
                <w:lang w:val="es-ES"/>
              </w:rPr>
              <w:t>20,91</w:t>
            </w:r>
          </w:p>
        </w:tc>
      </w:tr>
      <w:tr w:rsidR="000E47CD" w:rsidRPr="00B766F4" w14:paraId="6903C618" w14:textId="77777777" w:rsidTr="000E47CD">
        <w:trPr>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tcPr>
          <w:p w14:paraId="537377D8"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tcPr>
          <w:p w14:paraId="0FC98991"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41AF28F6"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Afecta la calidad de la protección radiológica de los trabajadores, los pacientes, el público y el medio ambiente.</w:t>
            </w:r>
          </w:p>
        </w:tc>
        <w:tc>
          <w:tcPr>
            <w:tcW w:w="1588" w:type="dxa"/>
            <w:tcBorders>
              <w:top w:val="single" w:sz="4" w:space="0" w:color="auto"/>
              <w:left w:val="single" w:sz="4" w:space="0" w:color="auto"/>
              <w:bottom w:val="single" w:sz="4" w:space="0" w:color="auto"/>
              <w:right w:val="single" w:sz="4" w:space="0" w:color="auto"/>
            </w:tcBorders>
            <w:vAlign w:val="center"/>
          </w:tcPr>
          <w:p w14:paraId="77C3426D"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Se debe encarar en un plazo relativamente corto por la importancia para la protección radiológica.</w:t>
            </w:r>
          </w:p>
        </w:tc>
        <w:tc>
          <w:tcPr>
            <w:tcW w:w="1588" w:type="dxa"/>
            <w:tcBorders>
              <w:top w:val="single" w:sz="4" w:space="0" w:color="auto"/>
              <w:left w:val="single" w:sz="4" w:space="0" w:color="auto"/>
              <w:bottom w:val="single" w:sz="4" w:space="0" w:color="auto"/>
              <w:right w:val="single" w:sz="4" w:space="0" w:color="auto"/>
            </w:tcBorders>
            <w:vAlign w:val="center"/>
          </w:tcPr>
          <w:p w14:paraId="18D8405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Este problema aplica a todos los países de la región.</w:t>
            </w:r>
          </w:p>
        </w:tc>
        <w:tc>
          <w:tcPr>
            <w:tcW w:w="2211" w:type="dxa"/>
            <w:tcBorders>
              <w:top w:val="single" w:sz="4" w:space="0" w:color="auto"/>
              <w:left w:val="single" w:sz="4" w:space="0" w:color="auto"/>
              <w:bottom w:val="single" w:sz="4" w:space="0" w:color="auto"/>
              <w:right w:val="single" w:sz="4" w:space="0" w:color="auto"/>
            </w:tcBorders>
            <w:vAlign w:val="center"/>
          </w:tcPr>
          <w:p w14:paraId="3B2A17DC"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 importante para la protección de los trabajadores ocupacionalmente expuestos y cruciales para la protección de los pacientes y el público asociado a la misma5</w:t>
            </w:r>
          </w:p>
        </w:tc>
        <w:tc>
          <w:tcPr>
            <w:tcW w:w="907" w:type="dxa"/>
            <w:tcBorders>
              <w:top w:val="single" w:sz="4" w:space="0" w:color="auto"/>
              <w:left w:val="single" w:sz="4" w:space="0" w:color="auto"/>
              <w:bottom w:val="single" w:sz="4" w:space="0" w:color="auto"/>
              <w:right w:val="single" w:sz="4" w:space="0" w:color="auto"/>
            </w:tcBorders>
            <w:vAlign w:val="center"/>
          </w:tcPr>
          <w:p w14:paraId="58E23839"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tcPr>
          <w:p w14:paraId="7993D2B9"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Vinculada a la inversión en laboratorios costosos, equipos y personal capacitado en la región: Se ha demostrado que esta actividad no ha sido sostenible en algunos países en donde se han instalado estos laboratorios.</w:t>
            </w:r>
          </w:p>
        </w:tc>
        <w:tc>
          <w:tcPr>
            <w:tcW w:w="708" w:type="dxa"/>
            <w:tcBorders>
              <w:top w:val="single" w:sz="4" w:space="0" w:color="auto"/>
              <w:left w:val="single" w:sz="4" w:space="0" w:color="auto"/>
              <w:bottom w:val="single" w:sz="4" w:space="0" w:color="auto"/>
              <w:right w:val="single" w:sz="4" w:space="0" w:color="auto"/>
            </w:tcBorders>
            <w:vAlign w:val="center"/>
          </w:tcPr>
          <w:p w14:paraId="3707F240"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tcPr>
          <w:p w14:paraId="46E56295"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191AC3BC" w14:textId="77777777" w:rsidTr="000E47CD">
        <w:trPr>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50D369FF"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4</w:t>
            </w:r>
          </w:p>
        </w:tc>
        <w:tc>
          <w:tcPr>
            <w:tcW w:w="2097" w:type="dxa"/>
            <w:vMerge w:val="restart"/>
            <w:tcBorders>
              <w:top w:val="single" w:sz="4" w:space="0" w:color="auto"/>
              <w:left w:val="single" w:sz="4" w:space="0" w:color="auto"/>
              <w:right w:val="single" w:sz="4" w:space="0" w:color="auto"/>
            </w:tcBorders>
            <w:vAlign w:val="center"/>
          </w:tcPr>
          <w:p w14:paraId="59964F53"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sz w:val="20"/>
                <w:szCs w:val="20"/>
                <w:lang w:val="es-ES"/>
              </w:rPr>
              <w:t>R2</w:t>
            </w:r>
          </w:p>
          <w:p w14:paraId="766E0E5F"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Cs/>
                <w:sz w:val="20"/>
                <w:szCs w:val="20"/>
                <w:lang w:val="es-ES"/>
              </w:rPr>
              <w:lastRenderedPageBreak/>
              <w:t>Insuficiente implementación de los requisitos y recomendaciones internacionales de seguridad para el control de la exposición ocupacional, con énfasis en dosimetría de extremidades y cristalino, dosimetría interna, monitorización de puestos de trabajo, sistemas de calidad de los laboratorios y registros nacionales de dosis.</w:t>
            </w:r>
          </w:p>
        </w:tc>
        <w:tc>
          <w:tcPr>
            <w:tcW w:w="1701" w:type="dxa"/>
            <w:tcBorders>
              <w:top w:val="single" w:sz="4" w:space="0" w:color="auto"/>
              <w:left w:val="single" w:sz="4" w:space="0" w:color="auto"/>
              <w:bottom w:val="single" w:sz="4" w:space="0" w:color="auto"/>
              <w:right w:val="single" w:sz="4" w:space="0" w:color="auto"/>
            </w:tcBorders>
            <w:vAlign w:val="center"/>
          </w:tcPr>
          <w:p w14:paraId="772A4FF0"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lastRenderedPageBreak/>
              <w:t>4,0</w:t>
            </w:r>
          </w:p>
        </w:tc>
        <w:tc>
          <w:tcPr>
            <w:tcW w:w="1588" w:type="dxa"/>
            <w:tcBorders>
              <w:top w:val="single" w:sz="4" w:space="0" w:color="auto"/>
              <w:left w:val="single" w:sz="4" w:space="0" w:color="auto"/>
              <w:bottom w:val="single" w:sz="4" w:space="0" w:color="auto"/>
              <w:right w:val="single" w:sz="4" w:space="0" w:color="auto"/>
            </w:tcBorders>
            <w:vAlign w:val="center"/>
          </w:tcPr>
          <w:p w14:paraId="2D49AD17"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1588" w:type="dxa"/>
            <w:tcBorders>
              <w:top w:val="single" w:sz="4" w:space="0" w:color="auto"/>
              <w:left w:val="single" w:sz="4" w:space="0" w:color="auto"/>
              <w:bottom w:val="single" w:sz="4" w:space="0" w:color="auto"/>
              <w:right w:val="single" w:sz="4" w:space="0" w:color="auto"/>
            </w:tcBorders>
            <w:vAlign w:val="center"/>
          </w:tcPr>
          <w:p w14:paraId="7E820B6A"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2211" w:type="dxa"/>
            <w:tcBorders>
              <w:top w:val="single" w:sz="4" w:space="0" w:color="auto"/>
              <w:left w:val="single" w:sz="4" w:space="0" w:color="auto"/>
              <w:bottom w:val="single" w:sz="4" w:space="0" w:color="auto"/>
              <w:right w:val="single" w:sz="4" w:space="0" w:color="auto"/>
            </w:tcBorders>
            <w:vAlign w:val="center"/>
          </w:tcPr>
          <w:p w14:paraId="5DFCED53"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907" w:type="dxa"/>
            <w:tcBorders>
              <w:top w:val="single" w:sz="4" w:space="0" w:color="auto"/>
              <w:left w:val="single" w:sz="4" w:space="0" w:color="auto"/>
              <w:bottom w:val="single" w:sz="4" w:space="0" w:color="auto"/>
              <w:right w:val="single" w:sz="4" w:space="0" w:color="auto"/>
            </w:tcBorders>
            <w:vAlign w:val="center"/>
          </w:tcPr>
          <w:p w14:paraId="4B2960E5"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17,0</w:t>
            </w:r>
          </w:p>
        </w:tc>
        <w:tc>
          <w:tcPr>
            <w:tcW w:w="2125" w:type="dxa"/>
            <w:tcBorders>
              <w:top w:val="single" w:sz="4" w:space="0" w:color="auto"/>
              <w:left w:val="single" w:sz="4" w:space="0" w:color="auto"/>
              <w:bottom w:val="single" w:sz="4" w:space="0" w:color="auto"/>
              <w:right w:val="single" w:sz="4" w:space="0" w:color="auto"/>
            </w:tcBorders>
            <w:vAlign w:val="center"/>
          </w:tcPr>
          <w:p w14:paraId="0D76FF92"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708" w:type="dxa"/>
            <w:tcBorders>
              <w:top w:val="single" w:sz="4" w:space="0" w:color="auto"/>
              <w:left w:val="single" w:sz="4" w:space="0" w:color="auto"/>
              <w:bottom w:val="single" w:sz="4" w:space="0" w:color="auto"/>
              <w:right w:val="single" w:sz="4" w:space="0" w:color="auto"/>
            </w:tcBorders>
            <w:vAlign w:val="center"/>
          </w:tcPr>
          <w:p w14:paraId="2937375E"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4653D4E2" w14:textId="77777777" w:rsidR="000E47CD" w:rsidRPr="00B766F4" w:rsidRDefault="000E47CD" w:rsidP="00FE4F5F">
            <w:pPr>
              <w:spacing w:after="0"/>
              <w:jc w:val="center"/>
              <w:rPr>
                <w:rFonts w:ascii="Times New Roman" w:hAnsi="Times New Roman" w:cs="Times New Roman"/>
                <w:b/>
                <w:sz w:val="20"/>
                <w:szCs w:val="20"/>
                <w:lang w:val="es-ES"/>
              </w:rPr>
            </w:pPr>
            <w:r w:rsidRPr="00B766F4">
              <w:rPr>
                <w:rFonts w:ascii="Times New Roman" w:hAnsi="Times New Roman" w:cs="Times New Roman"/>
                <w:b/>
                <w:sz w:val="20"/>
                <w:szCs w:val="20"/>
                <w:lang w:val="es-ES"/>
              </w:rPr>
              <w:t>17,0</w:t>
            </w:r>
          </w:p>
        </w:tc>
      </w:tr>
      <w:tr w:rsidR="000E47CD" w:rsidRPr="00B766F4" w14:paraId="54901C61" w14:textId="77777777" w:rsidTr="000E47CD">
        <w:trPr>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tcPr>
          <w:p w14:paraId="32D3D0C6"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tcPr>
          <w:p w14:paraId="02FD0EBB"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412AC465"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Limita la monitorización del nivel de seguridad de los trabajadores y de las instalaciones.</w:t>
            </w:r>
          </w:p>
        </w:tc>
        <w:tc>
          <w:tcPr>
            <w:tcW w:w="1588" w:type="dxa"/>
            <w:tcBorders>
              <w:top w:val="single" w:sz="4" w:space="0" w:color="auto"/>
              <w:left w:val="single" w:sz="4" w:space="0" w:color="auto"/>
              <w:bottom w:val="single" w:sz="4" w:space="0" w:color="auto"/>
              <w:right w:val="single" w:sz="4" w:space="0" w:color="auto"/>
            </w:tcBorders>
            <w:vAlign w:val="center"/>
          </w:tcPr>
          <w:p w14:paraId="20BD33D5"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 deseable que estos requisitos sean implementados tan pronto como sea posible.</w:t>
            </w:r>
          </w:p>
        </w:tc>
        <w:tc>
          <w:tcPr>
            <w:tcW w:w="1588" w:type="dxa"/>
            <w:tcBorders>
              <w:top w:val="single" w:sz="4" w:space="0" w:color="auto"/>
              <w:left w:val="single" w:sz="4" w:space="0" w:color="auto"/>
              <w:bottom w:val="single" w:sz="4" w:space="0" w:color="auto"/>
              <w:right w:val="single" w:sz="4" w:space="0" w:color="auto"/>
            </w:tcBorders>
            <w:vAlign w:val="center"/>
          </w:tcPr>
          <w:p w14:paraId="157A3465"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Este problema aplica a todos los países de la región.</w:t>
            </w:r>
          </w:p>
        </w:tc>
        <w:tc>
          <w:tcPr>
            <w:tcW w:w="2211" w:type="dxa"/>
            <w:tcBorders>
              <w:top w:val="single" w:sz="4" w:space="0" w:color="auto"/>
              <w:left w:val="single" w:sz="4" w:space="0" w:color="auto"/>
              <w:bottom w:val="single" w:sz="4" w:space="0" w:color="auto"/>
              <w:right w:val="single" w:sz="4" w:space="0" w:color="auto"/>
            </w:tcBorders>
            <w:vAlign w:val="center"/>
          </w:tcPr>
          <w:p w14:paraId="0C38BB25"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 crucial para la protección radiológica ocupacional.</w:t>
            </w:r>
          </w:p>
        </w:tc>
        <w:tc>
          <w:tcPr>
            <w:tcW w:w="907" w:type="dxa"/>
            <w:tcBorders>
              <w:top w:val="single" w:sz="4" w:space="0" w:color="auto"/>
              <w:left w:val="single" w:sz="4" w:space="0" w:color="auto"/>
              <w:bottom w:val="single" w:sz="4" w:space="0" w:color="auto"/>
              <w:right w:val="single" w:sz="4" w:space="0" w:color="auto"/>
            </w:tcBorders>
            <w:vAlign w:val="center"/>
          </w:tcPr>
          <w:p w14:paraId="7770339C"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tcPr>
          <w:p w14:paraId="2678D837"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Requiere de órganos reguladores que exijan su implementación práctica. Considera técnicas y servicios establecidos que requieren  de sistemas de calidad.</w:t>
            </w:r>
          </w:p>
        </w:tc>
        <w:tc>
          <w:tcPr>
            <w:tcW w:w="708" w:type="dxa"/>
            <w:tcBorders>
              <w:top w:val="single" w:sz="4" w:space="0" w:color="auto"/>
              <w:left w:val="single" w:sz="4" w:space="0" w:color="auto"/>
              <w:bottom w:val="single" w:sz="4" w:space="0" w:color="auto"/>
              <w:right w:val="single" w:sz="4" w:space="0" w:color="auto"/>
            </w:tcBorders>
            <w:vAlign w:val="center"/>
          </w:tcPr>
          <w:p w14:paraId="050B893B"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tcPr>
          <w:p w14:paraId="269C4858"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2B925A01" w14:textId="77777777" w:rsidTr="000E47CD">
        <w:trPr>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379D88DC" w14:textId="77777777" w:rsidR="000E47CD" w:rsidRPr="00B766F4" w:rsidRDefault="000E47CD" w:rsidP="00FE4F5F">
            <w:pPr>
              <w:spacing w:after="0"/>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5</w:t>
            </w:r>
          </w:p>
        </w:tc>
        <w:tc>
          <w:tcPr>
            <w:tcW w:w="2097" w:type="dxa"/>
            <w:vMerge w:val="restart"/>
            <w:tcBorders>
              <w:top w:val="single" w:sz="4" w:space="0" w:color="auto"/>
              <w:left w:val="single" w:sz="4" w:space="0" w:color="auto"/>
              <w:right w:val="single" w:sz="4" w:space="0" w:color="auto"/>
            </w:tcBorders>
            <w:vAlign w:val="center"/>
          </w:tcPr>
          <w:p w14:paraId="31982EAC"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R10</w:t>
            </w:r>
          </w:p>
          <w:p w14:paraId="364352A7"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Cs/>
                <w:sz w:val="20"/>
                <w:szCs w:val="20"/>
                <w:lang w:val="es-ES"/>
              </w:rPr>
              <w:t>Limitada capacidad para la evaluación de seguridad de instalaciones y actividades, con énfasis en reactores, ciclotrones, radiofarmacia y en situaciones de exposiciones existentes.</w:t>
            </w:r>
          </w:p>
        </w:tc>
        <w:tc>
          <w:tcPr>
            <w:tcW w:w="1701" w:type="dxa"/>
            <w:tcBorders>
              <w:top w:val="single" w:sz="4" w:space="0" w:color="auto"/>
              <w:left w:val="single" w:sz="4" w:space="0" w:color="auto"/>
              <w:bottom w:val="single" w:sz="4" w:space="0" w:color="auto"/>
              <w:right w:val="single" w:sz="4" w:space="0" w:color="auto"/>
            </w:tcBorders>
            <w:vAlign w:val="center"/>
          </w:tcPr>
          <w:p w14:paraId="4FC6A629"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1588" w:type="dxa"/>
            <w:tcBorders>
              <w:top w:val="single" w:sz="4" w:space="0" w:color="auto"/>
              <w:left w:val="single" w:sz="4" w:space="0" w:color="auto"/>
              <w:bottom w:val="single" w:sz="4" w:space="0" w:color="auto"/>
              <w:right w:val="single" w:sz="4" w:space="0" w:color="auto"/>
            </w:tcBorders>
            <w:vAlign w:val="center"/>
          </w:tcPr>
          <w:p w14:paraId="12E15667"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1588" w:type="dxa"/>
            <w:tcBorders>
              <w:top w:val="single" w:sz="4" w:space="0" w:color="auto"/>
              <w:left w:val="single" w:sz="4" w:space="0" w:color="auto"/>
              <w:bottom w:val="single" w:sz="4" w:space="0" w:color="auto"/>
              <w:right w:val="single" w:sz="4" w:space="0" w:color="auto"/>
            </w:tcBorders>
            <w:vAlign w:val="center"/>
          </w:tcPr>
          <w:p w14:paraId="69BC6949"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4,75</w:t>
            </w:r>
          </w:p>
        </w:tc>
        <w:tc>
          <w:tcPr>
            <w:tcW w:w="2211" w:type="dxa"/>
            <w:tcBorders>
              <w:top w:val="single" w:sz="4" w:space="0" w:color="auto"/>
              <w:left w:val="single" w:sz="4" w:space="0" w:color="auto"/>
              <w:bottom w:val="single" w:sz="4" w:space="0" w:color="auto"/>
              <w:right w:val="single" w:sz="4" w:space="0" w:color="auto"/>
            </w:tcBorders>
            <w:vAlign w:val="center"/>
          </w:tcPr>
          <w:p w14:paraId="7C1FF460"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907" w:type="dxa"/>
            <w:tcBorders>
              <w:top w:val="single" w:sz="4" w:space="0" w:color="auto"/>
              <w:left w:val="single" w:sz="4" w:space="0" w:color="auto"/>
              <w:bottom w:val="single" w:sz="4" w:space="0" w:color="auto"/>
              <w:right w:val="single" w:sz="4" w:space="0" w:color="auto"/>
            </w:tcBorders>
            <w:vAlign w:val="center"/>
          </w:tcPr>
          <w:p w14:paraId="70EF056D"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16,75</w:t>
            </w:r>
          </w:p>
        </w:tc>
        <w:tc>
          <w:tcPr>
            <w:tcW w:w="2125" w:type="dxa"/>
            <w:tcBorders>
              <w:top w:val="single" w:sz="4" w:space="0" w:color="auto"/>
              <w:left w:val="single" w:sz="4" w:space="0" w:color="auto"/>
              <w:bottom w:val="single" w:sz="4" w:space="0" w:color="auto"/>
              <w:right w:val="single" w:sz="4" w:space="0" w:color="auto"/>
            </w:tcBorders>
            <w:vAlign w:val="center"/>
          </w:tcPr>
          <w:p w14:paraId="1CB01EDC"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3,0</w:t>
            </w:r>
          </w:p>
        </w:tc>
        <w:tc>
          <w:tcPr>
            <w:tcW w:w="708" w:type="dxa"/>
            <w:tcBorders>
              <w:top w:val="single" w:sz="4" w:space="0" w:color="auto"/>
              <w:left w:val="single" w:sz="4" w:space="0" w:color="auto"/>
              <w:bottom w:val="single" w:sz="4" w:space="0" w:color="auto"/>
              <w:right w:val="single" w:sz="4" w:space="0" w:color="auto"/>
            </w:tcBorders>
            <w:vAlign w:val="center"/>
          </w:tcPr>
          <w:p w14:paraId="2B9CA5EE"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1,33</w:t>
            </w:r>
          </w:p>
        </w:tc>
        <w:tc>
          <w:tcPr>
            <w:tcW w:w="993" w:type="dxa"/>
            <w:tcBorders>
              <w:top w:val="single" w:sz="4" w:space="0" w:color="auto"/>
              <w:left w:val="single" w:sz="4" w:space="0" w:color="auto"/>
              <w:bottom w:val="single" w:sz="4" w:space="0" w:color="auto"/>
              <w:right w:val="single" w:sz="4" w:space="0" w:color="auto"/>
            </w:tcBorders>
            <w:vAlign w:val="center"/>
          </w:tcPr>
          <w:p w14:paraId="3396644B"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22,28</w:t>
            </w:r>
          </w:p>
        </w:tc>
      </w:tr>
      <w:tr w:rsidR="000E47CD" w:rsidRPr="00B766F4" w14:paraId="053D338E" w14:textId="77777777" w:rsidTr="000E47CD">
        <w:trPr>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tcPr>
          <w:p w14:paraId="28939A27"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tcPr>
          <w:p w14:paraId="418D9014"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6EDD14CC"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 un elemento de seguridad muy relevante que se ha trabajado poco en la región.</w:t>
            </w:r>
          </w:p>
        </w:tc>
        <w:tc>
          <w:tcPr>
            <w:tcW w:w="1588" w:type="dxa"/>
            <w:tcBorders>
              <w:top w:val="single" w:sz="4" w:space="0" w:color="auto"/>
              <w:left w:val="single" w:sz="4" w:space="0" w:color="auto"/>
              <w:bottom w:val="single" w:sz="4" w:space="0" w:color="auto"/>
              <w:right w:val="single" w:sz="4" w:space="0" w:color="auto"/>
            </w:tcBorders>
            <w:vAlign w:val="center"/>
          </w:tcPr>
          <w:p w14:paraId="3273C587"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Se debe resolver en un mediano plazo, atendiendo los nuevos requerimientos y dada la complejidad del tema.</w:t>
            </w:r>
          </w:p>
        </w:tc>
        <w:tc>
          <w:tcPr>
            <w:tcW w:w="1588" w:type="dxa"/>
            <w:tcBorders>
              <w:top w:val="single" w:sz="4" w:space="0" w:color="auto"/>
              <w:left w:val="single" w:sz="4" w:space="0" w:color="auto"/>
              <w:bottom w:val="single" w:sz="4" w:space="0" w:color="auto"/>
              <w:right w:val="single" w:sz="4" w:space="0" w:color="auto"/>
            </w:tcBorders>
            <w:vAlign w:val="center"/>
          </w:tcPr>
          <w:p w14:paraId="1E6DA9C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Este problema aplica a la mayoría de los países de la región.</w:t>
            </w:r>
          </w:p>
        </w:tc>
        <w:tc>
          <w:tcPr>
            <w:tcW w:w="2211" w:type="dxa"/>
            <w:tcBorders>
              <w:top w:val="single" w:sz="4" w:space="0" w:color="auto"/>
              <w:left w:val="single" w:sz="4" w:space="0" w:color="auto"/>
              <w:bottom w:val="single" w:sz="4" w:space="0" w:color="auto"/>
              <w:right w:val="single" w:sz="4" w:space="0" w:color="auto"/>
            </w:tcBorders>
            <w:vAlign w:val="center"/>
          </w:tcPr>
          <w:p w14:paraId="70171A0C"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La implementación de capacidades para efectuar las evaluaciones de seguridad es muy relevante para la seguridad de las aplicaciones nucleares.</w:t>
            </w:r>
          </w:p>
        </w:tc>
        <w:tc>
          <w:tcPr>
            <w:tcW w:w="907" w:type="dxa"/>
            <w:tcBorders>
              <w:top w:val="single" w:sz="4" w:space="0" w:color="auto"/>
              <w:left w:val="single" w:sz="4" w:space="0" w:color="auto"/>
              <w:bottom w:val="single" w:sz="4" w:space="0" w:color="auto"/>
              <w:right w:val="single" w:sz="4" w:space="0" w:color="auto"/>
            </w:tcBorders>
            <w:vAlign w:val="center"/>
          </w:tcPr>
          <w:p w14:paraId="414F27A2"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tcPr>
          <w:p w14:paraId="14B053A3"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Vinculada con las conocimientos y usos de herramientas de software necesarias para efectuar las evaluaciones de seguridad</w:t>
            </w:r>
            <w:r w:rsidRPr="00B766F4">
              <w:rPr>
                <w:rFonts w:ascii="Times New Roman" w:hAnsi="Times New Roman" w:cs="Times New Roman"/>
                <w:sz w:val="20"/>
                <w:szCs w:val="20"/>
                <w:lang w:val="es-ES"/>
              </w:rPr>
              <w:t>.</w:t>
            </w:r>
          </w:p>
        </w:tc>
        <w:tc>
          <w:tcPr>
            <w:tcW w:w="708" w:type="dxa"/>
            <w:tcBorders>
              <w:top w:val="single" w:sz="4" w:space="0" w:color="auto"/>
              <w:left w:val="single" w:sz="4" w:space="0" w:color="auto"/>
              <w:bottom w:val="single" w:sz="4" w:space="0" w:color="auto"/>
              <w:right w:val="single" w:sz="4" w:space="0" w:color="auto"/>
            </w:tcBorders>
            <w:vAlign w:val="center"/>
          </w:tcPr>
          <w:p w14:paraId="4B854944"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tcPr>
          <w:p w14:paraId="53588042"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6F786DCC" w14:textId="77777777" w:rsidTr="000E47CD">
        <w:trPr>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17EF7E51"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6</w:t>
            </w:r>
          </w:p>
        </w:tc>
        <w:tc>
          <w:tcPr>
            <w:tcW w:w="2097" w:type="dxa"/>
            <w:vMerge w:val="restart"/>
            <w:tcBorders>
              <w:top w:val="single" w:sz="4" w:space="0" w:color="auto"/>
              <w:left w:val="single" w:sz="4" w:space="0" w:color="auto"/>
              <w:right w:val="single" w:sz="4" w:space="0" w:color="auto"/>
            </w:tcBorders>
            <w:vAlign w:val="center"/>
          </w:tcPr>
          <w:p w14:paraId="59CDB7F3"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R7</w:t>
            </w:r>
          </w:p>
          <w:p w14:paraId="4416CCE7"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Cs/>
                <w:sz w:val="20"/>
                <w:szCs w:val="20"/>
                <w:lang w:val="es-ES"/>
              </w:rPr>
              <w:lastRenderedPageBreak/>
              <w:t>Insuficiente implementación de los requisitos y recomendaciones internacionales de educación y capacitación en seguridad radiológica, del transporte y de los desechos para todo el personal involucrado, con énfasis en estrategias nacionales.</w:t>
            </w:r>
          </w:p>
        </w:tc>
        <w:tc>
          <w:tcPr>
            <w:tcW w:w="1701" w:type="dxa"/>
            <w:tcBorders>
              <w:top w:val="single" w:sz="4" w:space="0" w:color="auto"/>
              <w:left w:val="single" w:sz="4" w:space="0" w:color="auto"/>
              <w:bottom w:val="single" w:sz="4" w:space="0" w:color="auto"/>
              <w:right w:val="single" w:sz="4" w:space="0" w:color="auto"/>
            </w:tcBorders>
            <w:vAlign w:val="center"/>
          </w:tcPr>
          <w:p w14:paraId="39BF9BC6"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lastRenderedPageBreak/>
              <w:t>4,5</w:t>
            </w:r>
          </w:p>
        </w:tc>
        <w:tc>
          <w:tcPr>
            <w:tcW w:w="1588" w:type="dxa"/>
            <w:tcBorders>
              <w:top w:val="single" w:sz="4" w:space="0" w:color="auto"/>
              <w:left w:val="single" w:sz="4" w:space="0" w:color="auto"/>
              <w:bottom w:val="single" w:sz="4" w:space="0" w:color="auto"/>
              <w:right w:val="single" w:sz="4" w:space="0" w:color="auto"/>
            </w:tcBorders>
            <w:vAlign w:val="center"/>
          </w:tcPr>
          <w:p w14:paraId="06C7DD50"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1588" w:type="dxa"/>
            <w:tcBorders>
              <w:top w:val="single" w:sz="4" w:space="0" w:color="auto"/>
              <w:left w:val="single" w:sz="4" w:space="0" w:color="auto"/>
              <w:bottom w:val="single" w:sz="4" w:space="0" w:color="auto"/>
              <w:right w:val="single" w:sz="4" w:space="0" w:color="auto"/>
            </w:tcBorders>
            <w:vAlign w:val="center"/>
          </w:tcPr>
          <w:p w14:paraId="3C820C7F"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2211" w:type="dxa"/>
            <w:tcBorders>
              <w:top w:val="single" w:sz="4" w:space="0" w:color="auto"/>
              <w:left w:val="single" w:sz="4" w:space="0" w:color="auto"/>
              <w:bottom w:val="single" w:sz="4" w:space="0" w:color="auto"/>
              <w:right w:val="single" w:sz="4" w:space="0" w:color="auto"/>
            </w:tcBorders>
            <w:vAlign w:val="center"/>
          </w:tcPr>
          <w:p w14:paraId="64263415"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3,75</w:t>
            </w:r>
          </w:p>
        </w:tc>
        <w:tc>
          <w:tcPr>
            <w:tcW w:w="907" w:type="dxa"/>
            <w:tcBorders>
              <w:top w:val="single" w:sz="4" w:space="0" w:color="auto"/>
              <w:left w:val="single" w:sz="4" w:space="0" w:color="auto"/>
              <w:bottom w:val="single" w:sz="4" w:space="0" w:color="auto"/>
              <w:right w:val="single" w:sz="4" w:space="0" w:color="auto"/>
            </w:tcBorders>
            <w:vAlign w:val="center"/>
          </w:tcPr>
          <w:p w14:paraId="28A90291"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16,25</w:t>
            </w:r>
          </w:p>
        </w:tc>
        <w:tc>
          <w:tcPr>
            <w:tcW w:w="2125" w:type="dxa"/>
            <w:tcBorders>
              <w:top w:val="single" w:sz="4" w:space="0" w:color="auto"/>
              <w:left w:val="single" w:sz="4" w:space="0" w:color="auto"/>
              <w:bottom w:val="single" w:sz="4" w:space="0" w:color="auto"/>
              <w:right w:val="single" w:sz="4" w:space="0" w:color="auto"/>
            </w:tcBorders>
            <w:vAlign w:val="center"/>
          </w:tcPr>
          <w:p w14:paraId="76D42E9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708" w:type="dxa"/>
            <w:tcBorders>
              <w:top w:val="single" w:sz="4" w:space="0" w:color="auto"/>
              <w:left w:val="single" w:sz="4" w:space="0" w:color="auto"/>
              <w:bottom w:val="single" w:sz="4" w:space="0" w:color="auto"/>
              <w:right w:val="single" w:sz="4" w:space="0" w:color="auto"/>
            </w:tcBorders>
            <w:vAlign w:val="center"/>
          </w:tcPr>
          <w:p w14:paraId="450C66B8"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0,75</w:t>
            </w:r>
          </w:p>
        </w:tc>
        <w:tc>
          <w:tcPr>
            <w:tcW w:w="993" w:type="dxa"/>
            <w:tcBorders>
              <w:top w:val="single" w:sz="4" w:space="0" w:color="auto"/>
              <w:left w:val="single" w:sz="4" w:space="0" w:color="auto"/>
              <w:bottom w:val="single" w:sz="4" w:space="0" w:color="auto"/>
              <w:right w:val="single" w:sz="4" w:space="0" w:color="auto"/>
            </w:tcBorders>
            <w:vAlign w:val="center"/>
          </w:tcPr>
          <w:p w14:paraId="07CD7119"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12,19</w:t>
            </w:r>
          </w:p>
        </w:tc>
      </w:tr>
      <w:tr w:rsidR="000E47CD" w:rsidRPr="00B766F4" w14:paraId="012CC8D7" w14:textId="77777777" w:rsidTr="000E47CD">
        <w:trPr>
          <w:trHeight w:val="3063"/>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tcPr>
          <w:p w14:paraId="7A192145"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tcPr>
          <w:p w14:paraId="311E3F24"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7069114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Compromete la sostenibilidad de la infraestructura de protección radiológica.</w:t>
            </w:r>
          </w:p>
        </w:tc>
        <w:tc>
          <w:tcPr>
            <w:tcW w:w="1588" w:type="dxa"/>
            <w:tcBorders>
              <w:top w:val="single" w:sz="4" w:space="0" w:color="auto"/>
              <w:left w:val="single" w:sz="4" w:space="0" w:color="auto"/>
              <w:bottom w:val="single" w:sz="4" w:space="0" w:color="auto"/>
              <w:right w:val="single" w:sz="4" w:space="0" w:color="auto"/>
            </w:tcBorders>
            <w:vAlign w:val="center"/>
          </w:tcPr>
          <w:p w14:paraId="09C8E2C2"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Encarar la solución a la brevedad para asegurar, en un futuro inmediato, la disponibilidad de personal capacitado.</w:t>
            </w:r>
          </w:p>
        </w:tc>
        <w:tc>
          <w:tcPr>
            <w:tcW w:w="1588" w:type="dxa"/>
            <w:tcBorders>
              <w:top w:val="single" w:sz="4" w:space="0" w:color="auto"/>
              <w:left w:val="single" w:sz="4" w:space="0" w:color="auto"/>
              <w:bottom w:val="single" w:sz="4" w:space="0" w:color="auto"/>
              <w:right w:val="single" w:sz="4" w:space="0" w:color="auto"/>
            </w:tcBorders>
            <w:vAlign w:val="center"/>
          </w:tcPr>
          <w:p w14:paraId="7AAFD9A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Este problema aplica a un grupo importante de los países de la región.</w:t>
            </w:r>
          </w:p>
        </w:tc>
        <w:tc>
          <w:tcPr>
            <w:tcW w:w="2211" w:type="dxa"/>
            <w:tcBorders>
              <w:top w:val="single" w:sz="4" w:space="0" w:color="auto"/>
              <w:left w:val="single" w:sz="4" w:space="0" w:color="auto"/>
              <w:bottom w:val="single" w:sz="4" w:space="0" w:color="auto"/>
              <w:right w:val="single" w:sz="4" w:space="0" w:color="auto"/>
            </w:tcBorders>
            <w:vAlign w:val="center"/>
          </w:tcPr>
          <w:p w14:paraId="473DF02D"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Considerable, a fines de tener técnicos y profesionales capacitados en funciones y asegurar una continuidad efectiva de seguridad radiológica.</w:t>
            </w:r>
          </w:p>
        </w:tc>
        <w:tc>
          <w:tcPr>
            <w:tcW w:w="907" w:type="dxa"/>
            <w:tcBorders>
              <w:top w:val="single" w:sz="4" w:space="0" w:color="auto"/>
              <w:left w:val="single" w:sz="4" w:space="0" w:color="auto"/>
              <w:bottom w:val="single" w:sz="4" w:space="0" w:color="auto"/>
              <w:right w:val="single" w:sz="4" w:space="0" w:color="auto"/>
            </w:tcBorders>
            <w:vAlign w:val="center"/>
          </w:tcPr>
          <w:p w14:paraId="2E33C8CA"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tcPr>
          <w:p w14:paraId="13AAAA14"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Requiere de coordinación para el aprovechamiento de las capacidades y servicios nacionales o regionales instalados y disponibles.</w:t>
            </w:r>
          </w:p>
        </w:tc>
        <w:tc>
          <w:tcPr>
            <w:tcW w:w="708" w:type="dxa"/>
            <w:tcBorders>
              <w:top w:val="single" w:sz="4" w:space="0" w:color="auto"/>
              <w:left w:val="single" w:sz="4" w:space="0" w:color="auto"/>
              <w:bottom w:val="single" w:sz="4" w:space="0" w:color="auto"/>
              <w:right w:val="single" w:sz="4" w:space="0" w:color="auto"/>
            </w:tcBorders>
            <w:vAlign w:val="center"/>
          </w:tcPr>
          <w:p w14:paraId="154B79B1"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tcPr>
          <w:p w14:paraId="0B88262A"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3A3CE57C" w14:textId="77777777" w:rsidTr="000E47CD">
        <w:trPr>
          <w:trHeight w:val="702"/>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2E21A0B2"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7</w:t>
            </w:r>
          </w:p>
        </w:tc>
        <w:tc>
          <w:tcPr>
            <w:tcW w:w="2097" w:type="dxa"/>
            <w:vMerge w:val="restart"/>
            <w:tcBorders>
              <w:top w:val="single" w:sz="4" w:space="0" w:color="auto"/>
              <w:left w:val="single" w:sz="4" w:space="0" w:color="auto"/>
              <w:right w:val="single" w:sz="4" w:space="0" w:color="auto"/>
            </w:tcBorders>
            <w:vAlign w:val="center"/>
          </w:tcPr>
          <w:p w14:paraId="5B1E962B"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R1</w:t>
            </w:r>
          </w:p>
          <w:p w14:paraId="3F73DC3B"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Cs/>
                <w:sz w:val="20"/>
                <w:szCs w:val="20"/>
                <w:lang w:val="es-ES"/>
              </w:rPr>
              <w:t>Limitaciones de algunos reguladores en el control de instalaciones y actividades (rayos X de uso médico, nuevas tecnologías, etc.) y de algunos gobiernos para establecer y mantener un apropiado marco gubernamental, jurídico y regulador para la seguridad.</w:t>
            </w:r>
          </w:p>
        </w:tc>
        <w:tc>
          <w:tcPr>
            <w:tcW w:w="1701" w:type="dxa"/>
            <w:tcBorders>
              <w:top w:val="single" w:sz="4" w:space="0" w:color="auto"/>
              <w:left w:val="single" w:sz="4" w:space="0" w:color="auto"/>
              <w:bottom w:val="single" w:sz="4" w:space="0" w:color="auto"/>
              <w:right w:val="single" w:sz="4" w:space="0" w:color="auto"/>
            </w:tcBorders>
            <w:vAlign w:val="center"/>
          </w:tcPr>
          <w:p w14:paraId="5AD4951B"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4,0</w:t>
            </w:r>
          </w:p>
        </w:tc>
        <w:tc>
          <w:tcPr>
            <w:tcW w:w="1588" w:type="dxa"/>
            <w:tcBorders>
              <w:top w:val="single" w:sz="4" w:space="0" w:color="auto"/>
              <w:left w:val="single" w:sz="4" w:space="0" w:color="auto"/>
              <w:right w:val="single" w:sz="4" w:space="0" w:color="auto"/>
            </w:tcBorders>
            <w:vAlign w:val="center"/>
          </w:tcPr>
          <w:p w14:paraId="28690633"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1588" w:type="dxa"/>
            <w:tcBorders>
              <w:top w:val="single" w:sz="4" w:space="0" w:color="auto"/>
              <w:left w:val="single" w:sz="4" w:space="0" w:color="auto"/>
              <w:right w:val="single" w:sz="4" w:space="0" w:color="auto"/>
            </w:tcBorders>
            <w:vAlign w:val="center"/>
          </w:tcPr>
          <w:p w14:paraId="601FA0C0"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2211" w:type="dxa"/>
            <w:tcBorders>
              <w:top w:val="single" w:sz="4" w:space="0" w:color="auto"/>
              <w:left w:val="single" w:sz="4" w:space="0" w:color="auto"/>
              <w:right w:val="single" w:sz="4" w:space="0" w:color="auto"/>
            </w:tcBorders>
            <w:vAlign w:val="center"/>
          </w:tcPr>
          <w:p w14:paraId="3866D7D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907" w:type="dxa"/>
            <w:tcBorders>
              <w:top w:val="single" w:sz="4" w:space="0" w:color="auto"/>
              <w:left w:val="single" w:sz="4" w:space="0" w:color="auto"/>
              <w:right w:val="single" w:sz="4" w:space="0" w:color="auto"/>
            </w:tcBorders>
            <w:vAlign w:val="center"/>
          </w:tcPr>
          <w:p w14:paraId="5C742BA0"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16,0</w:t>
            </w:r>
          </w:p>
        </w:tc>
        <w:tc>
          <w:tcPr>
            <w:tcW w:w="2125" w:type="dxa"/>
            <w:tcBorders>
              <w:top w:val="single" w:sz="4" w:space="0" w:color="auto"/>
              <w:left w:val="single" w:sz="4" w:space="0" w:color="auto"/>
              <w:right w:val="single" w:sz="4" w:space="0" w:color="auto"/>
            </w:tcBorders>
            <w:vAlign w:val="center"/>
          </w:tcPr>
          <w:p w14:paraId="6FBA7A01"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708" w:type="dxa"/>
            <w:tcBorders>
              <w:top w:val="single" w:sz="4" w:space="0" w:color="auto"/>
              <w:left w:val="single" w:sz="4" w:space="0" w:color="auto"/>
              <w:right w:val="single" w:sz="4" w:space="0" w:color="auto"/>
            </w:tcBorders>
            <w:vAlign w:val="center"/>
          </w:tcPr>
          <w:p w14:paraId="5FE7733E"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0,80</w:t>
            </w:r>
          </w:p>
        </w:tc>
        <w:tc>
          <w:tcPr>
            <w:tcW w:w="993" w:type="dxa"/>
            <w:tcBorders>
              <w:top w:val="single" w:sz="4" w:space="0" w:color="auto"/>
              <w:left w:val="single" w:sz="4" w:space="0" w:color="auto"/>
              <w:right w:val="single" w:sz="4" w:space="0" w:color="auto"/>
            </w:tcBorders>
            <w:vAlign w:val="center"/>
          </w:tcPr>
          <w:p w14:paraId="4D3D0D87" w14:textId="77777777" w:rsidR="000E47CD" w:rsidRPr="00B766F4" w:rsidRDefault="000E47CD" w:rsidP="00FE4F5F">
            <w:pPr>
              <w:spacing w:after="0"/>
              <w:jc w:val="center"/>
              <w:rPr>
                <w:rFonts w:ascii="Times New Roman" w:hAnsi="Times New Roman" w:cs="Times New Roman"/>
                <w:b/>
                <w:sz w:val="20"/>
                <w:szCs w:val="20"/>
                <w:lang w:val="es-ES"/>
              </w:rPr>
            </w:pPr>
            <w:r w:rsidRPr="00B766F4">
              <w:rPr>
                <w:rFonts w:ascii="Times New Roman" w:hAnsi="Times New Roman" w:cs="Times New Roman"/>
                <w:b/>
                <w:sz w:val="20"/>
                <w:szCs w:val="20"/>
                <w:lang w:val="es-ES"/>
              </w:rPr>
              <w:t>12,80</w:t>
            </w:r>
          </w:p>
        </w:tc>
      </w:tr>
      <w:tr w:rsidR="000E47CD" w:rsidRPr="00B766F4" w14:paraId="187409F5" w14:textId="77777777" w:rsidTr="00FE4F5F">
        <w:trPr>
          <w:trHeight w:val="2124"/>
          <w:jc w:val="center"/>
        </w:trPr>
        <w:tc>
          <w:tcPr>
            <w:tcW w:w="455" w:type="dxa"/>
            <w:vMerge/>
            <w:tcBorders>
              <w:left w:val="single" w:sz="4" w:space="0" w:color="auto"/>
              <w:right w:val="single" w:sz="4" w:space="0" w:color="auto"/>
            </w:tcBorders>
            <w:shd w:val="clear" w:color="auto" w:fill="FFFFFF" w:themeFill="background1"/>
            <w:vAlign w:val="center"/>
          </w:tcPr>
          <w:p w14:paraId="4D3CA009"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right w:val="single" w:sz="4" w:space="0" w:color="auto"/>
            </w:tcBorders>
            <w:vAlign w:val="center"/>
          </w:tcPr>
          <w:p w14:paraId="29D458E1"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1701" w:type="dxa"/>
            <w:tcBorders>
              <w:top w:val="single" w:sz="4" w:space="0" w:color="auto"/>
              <w:left w:val="single" w:sz="4" w:space="0" w:color="auto"/>
              <w:right w:val="single" w:sz="4" w:space="0" w:color="auto"/>
            </w:tcBorders>
            <w:vAlign w:val="center"/>
          </w:tcPr>
          <w:p w14:paraId="526280E3"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Afecta el cumplimiento efectivo de las responsabilidades reguladoras y los requisitos por parte de los usuarios</w:t>
            </w:r>
          </w:p>
        </w:tc>
        <w:tc>
          <w:tcPr>
            <w:tcW w:w="1588" w:type="dxa"/>
            <w:tcBorders>
              <w:left w:val="single" w:sz="4" w:space="0" w:color="auto"/>
              <w:right w:val="single" w:sz="4" w:space="0" w:color="auto"/>
            </w:tcBorders>
            <w:vAlign w:val="center"/>
          </w:tcPr>
          <w:p w14:paraId="27F75371"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 necesario que el control sea fortalecido en breve plazo.</w:t>
            </w:r>
          </w:p>
        </w:tc>
        <w:tc>
          <w:tcPr>
            <w:tcW w:w="1588" w:type="dxa"/>
            <w:tcBorders>
              <w:left w:val="single" w:sz="4" w:space="0" w:color="auto"/>
              <w:right w:val="single" w:sz="4" w:space="0" w:color="auto"/>
            </w:tcBorders>
            <w:vAlign w:val="center"/>
          </w:tcPr>
          <w:p w14:paraId="5648DAC2"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Este problema afecta a muchos países de la región.</w:t>
            </w:r>
          </w:p>
        </w:tc>
        <w:tc>
          <w:tcPr>
            <w:tcW w:w="2211" w:type="dxa"/>
            <w:tcBorders>
              <w:left w:val="single" w:sz="4" w:space="0" w:color="auto"/>
              <w:right w:val="single" w:sz="4" w:space="0" w:color="auto"/>
            </w:tcBorders>
            <w:vAlign w:val="center"/>
          </w:tcPr>
          <w:p w14:paraId="43FD33F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 relevante la aplicación de un marco regulador en correspondencia con los estándares internacionales para la protección de los trabajadores, el público y el medio ambiente.</w:t>
            </w:r>
          </w:p>
        </w:tc>
        <w:tc>
          <w:tcPr>
            <w:tcW w:w="907" w:type="dxa"/>
            <w:tcBorders>
              <w:left w:val="single" w:sz="4" w:space="0" w:color="auto"/>
              <w:right w:val="single" w:sz="4" w:space="0" w:color="auto"/>
            </w:tcBorders>
            <w:vAlign w:val="center"/>
          </w:tcPr>
          <w:p w14:paraId="63BF95B8"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left w:val="single" w:sz="4" w:space="0" w:color="auto"/>
              <w:right w:val="single" w:sz="4" w:space="0" w:color="auto"/>
            </w:tcBorders>
            <w:vAlign w:val="center"/>
          </w:tcPr>
          <w:p w14:paraId="47DFB1DF"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Vinculada con la voluntad política de los gobiernos de establecer un marco e infraestructura regulatoria eficaz.</w:t>
            </w:r>
          </w:p>
        </w:tc>
        <w:tc>
          <w:tcPr>
            <w:tcW w:w="708" w:type="dxa"/>
            <w:tcBorders>
              <w:left w:val="single" w:sz="4" w:space="0" w:color="auto"/>
              <w:right w:val="single" w:sz="4" w:space="0" w:color="auto"/>
            </w:tcBorders>
            <w:vAlign w:val="center"/>
          </w:tcPr>
          <w:p w14:paraId="6BB7A5C8"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left w:val="single" w:sz="4" w:space="0" w:color="auto"/>
              <w:right w:val="single" w:sz="4" w:space="0" w:color="auto"/>
            </w:tcBorders>
            <w:vAlign w:val="center"/>
          </w:tcPr>
          <w:p w14:paraId="7F5FC777"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68184423" w14:textId="77777777" w:rsidTr="000E47CD">
        <w:trPr>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1BDCE96E"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8</w:t>
            </w:r>
          </w:p>
        </w:tc>
        <w:tc>
          <w:tcPr>
            <w:tcW w:w="2097" w:type="dxa"/>
            <w:vMerge w:val="restart"/>
            <w:tcBorders>
              <w:top w:val="single" w:sz="4" w:space="0" w:color="auto"/>
              <w:left w:val="single" w:sz="4" w:space="0" w:color="auto"/>
              <w:right w:val="single" w:sz="4" w:space="0" w:color="auto"/>
            </w:tcBorders>
            <w:vAlign w:val="center"/>
          </w:tcPr>
          <w:p w14:paraId="04F3E7C6"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sz w:val="20"/>
                <w:szCs w:val="20"/>
                <w:lang w:val="es-ES"/>
              </w:rPr>
              <w:t>R9</w:t>
            </w:r>
          </w:p>
          <w:p w14:paraId="1C0F3CFF"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sz w:val="20"/>
                <w:szCs w:val="20"/>
                <w:lang w:val="es-ES"/>
              </w:rPr>
              <w:t xml:space="preserve">Insuficiente implementación de los requisitos internacionales de liderazgo y gestión para la seguridad en usuarios finales, </w:t>
            </w:r>
            <w:r w:rsidRPr="00B766F4">
              <w:rPr>
                <w:rFonts w:ascii="Times New Roman" w:hAnsi="Times New Roman" w:cs="Times New Roman"/>
                <w:sz w:val="20"/>
                <w:szCs w:val="20"/>
                <w:lang w:val="es-ES"/>
              </w:rPr>
              <w:lastRenderedPageBreak/>
              <w:t>servicios de apoyo científico-técnicos y reguladores.</w:t>
            </w:r>
          </w:p>
        </w:tc>
        <w:tc>
          <w:tcPr>
            <w:tcW w:w="1701" w:type="dxa"/>
            <w:tcBorders>
              <w:top w:val="single" w:sz="4" w:space="0" w:color="auto"/>
              <w:left w:val="single" w:sz="4" w:space="0" w:color="auto"/>
              <w:bottom w:val="single" w:sz="4" w:space="0" w:color="auto"/>
              <w:right w:val="single" w:sz="4" w:space="0" w:color="auto"/>
            </w:tcBorders>
            <w:vAlign w:val="center"/>
          </w:tcPr>
          <w:p w14:paraId="0FA3C09B"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lastRenderedPageBreak/>
              <w:t>4,5</w:t>
            </w:r>
          </w:p>
        </w:tc>
        <w:tc>
          <w:tcPr>
            <w:tcW w:w="1588" w:type="dxa"/>
            <w:tcBorders>
              <w:top w:val="single" w:sz="4" w:space="0" w:color="auto"/>
              <w:left w:val="single" w:sz="4" w:space="0" w:color="auto"/>
              <w:bottom w:val="single" w:sz="4" w:space="0" w:color="auto"/>
              <w:right w:val="single" w:sz="4" w:space="0" w:color="auto"/>
            </w:tcBorders>
            <w:vAlign w:val="center"/>
          </w:tcPr>
          <w:p w14:paraId="1820B61B"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3,0</w:t>
            </w:r>
          </w:p>
        </w:tc>
        <w:tc>
          <w:tcPr>
            <w:tcW w:w="1588" w:type="dxa"/>
            <w:tcBorders>
              <w:top w:val="single" w:sz="4" w:space="0" w:color="auto"/>
              <w:left w:val="single" w:sz="4" w:space="0" w:color="auto"/>
              <w:bottom w:val="single" w:sz="4" w:space="0" w:color="auto"/>
              <w:right w:val="single" w:sz="4" w:space="0" w:color="auto"/>
            </w:tcBorders>
            <w:vAlign w:val="center"/>
          </w:tcPr>
          <w:p w14:paraId="39F6DB56"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2211" w:type="dxa"/>
            <w:tcBorders>
              <w:top w:val="single" w:sz="4" w:space="0" w:color="auto"/>
              <w:left w:val="single" w:sz="4" w:space="0" w:color="auto"/>
              <w:bottom w:val="single" w:sz="4" w:space="0" w:color="auto"/>
              <w:right w:val="single" w:sz="4" w:space="0" w:color="auto"/>
            </w:tcBorders>
            <w:vAlign w:val="center"/>
          </w:tcPr>
          <w:p w14:paraId="4E494E8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907" w:type="dxa"/>
            <w:tcBorders>
              <w:top w:val="single" w:sz="4" w:space="0" w:color="auto"/>
              <w:left w:val="single" w:sz="4" w:space="0" w:color="auto"/>
              <w:bottom w:val="single" w:sz="4" w:space="0" w:color="auto"/>
              <w:right w:val="single" w:sz="4" w:space="0" w:color="auto"/>
            </w:tcBorders>
            <w:vAlign w:val="center"/>
          </w:tcPr>
          <w:p w14:paraId="6D576F08"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15,5</w:t>
            </w:r>
          </w:p>
        </w:tc>
        <w:tc>
          <w:tcPr>
            <w:tcW w:w="2125" w:type="dxa"/>
            <w:tcBorders>
              <w:top w:val="single" w:sz="4" w:space="0" w:color="auto"/>
              <w:left w:val="single" w:sz="4" w:space="0" w:color="auto"/>
              <w:bottom w:val="single" w:sz="4" w:space="0" w:color="auto"/>
              <w:right w:val="single" w:sz="4" w:space="0" w:color="auto"/>
            </w:tcBorders>
            <w:vAlign w:val="center"/>
          </w:tcPr>
          <w:p w14:paraId="4E4B70C1"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5,0</w:t>
            </w:r>
          </w:p>
        </w:tc>
        <w:tc>
          <w:tcPr>
            <w:tcW w:w="708" w:type="dxa"/>
            <w:tcBorders>
              <w:top w:val="single" w:sz="4" w:space="0" w:color="auto"/>
              <w:left w:val="single" w:sz="4" w:space="0" w:color="auto"/>
              <w:bottom w:val="single" w:sz="4" w:space="0" w:color="auto"/>
              <w:right w:val="single" w:sz="4" w:space="0" w:color="auto"/>
            </w:tcBorders>
            <w:vAlign w:val="center"/>
          </w:tcPr>
          <w:p w14:paraId="3F3176DA"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0,8</w:t>
            </w:r>
          </w:p>
        </w:tc>
        <w:tc>
          <w:tcPr>
            <w:tcW w:w="993" w:type="dxa"/>
            <w:tcBorders>
              <w:top w:val="single" w:sz="4" w:space="0" w:color="auto"/>
              <w:left w:val="single" w:sz="4" w:space="0" w:color="auto"/>
              <w:bottom w:val="single" w:sz="4" w:space="0" w:color="auto"/>
              <w:right w:val="single" w:sz="4" w:space="0" w:color="auto"/>
            </w:tcBorders>
            <w:vAlign w:val="center"/>
          </w:tcPr>
          <w:p w14:paraId="67A961C2" w14:textId="77777777" w:rsidR="000E47CD" w:rsidRPr="00B766F4" w:rsidRDefault="000E47CD" w:rsidP="00FE4F5F">
            <w:pPr>
              <w:spacing w:after="0"/>
              <w:jc w:val="center"/>
              <w:rPr>
                <w:rFonts w:ascii="Times New Roman" w:hAnsi="Times New Roman" w:cs="Times New Roman"/>
                <w:b/>
                <w:sz w:val="20"/>
                <w:szCs w:val="20"/>
                <w:lang w:val="es-ES"/>
              </w:rPr>
            </w:pPr>
            <w:r w:rsidRPr="00B766F4">
              <w:rPr>
                <w:rFonts w:ascii="Times New Roman" w:hAnsi="Times New Roman" w:cs="Times New Roman"/>
                <w:b/>
                <w:sz w:val="20"/>
                <w:szCs w:val="20"/>
                <w:lang w:val="es-ES"/>
              </w:rPr>
              <w:t>12,40</w:t>
            </w:r>
          </w:p>
        </w:tc>
      </w:tr>
      <w:tr w:rsidR="000E47CD" w:rsidRPr="00B766F4" w14:paraId="1FE66088" w14:textId="77777777" w:rsidTr="000E47CD">
        <w:trPr>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tcPr>
          <w:p w14:paraId="05FAEBCE"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tcPr>
          <w:p w14:paraId="0634DF55"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35687AC6"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 xml:space="preserve">Afecta el cumplimiento de los requisitos de protección radiológica en los usuarios finales, </w:t>
            </w:r>
            <w:r w:rsidRPr="00B766F4">
              <w:rPr>
                <w:rFonts w:ascii="Times New Roman" w:hAnsi="Times New Roman" w:cs="Times New Roman"/>
                <w:bCs/>
                <w:sz w:val="20"/>
                <w:szCs w:val="20"/>
                <w:lang w:val="es-ES"/>
              </w:rPr>
              <w:lastRenderedPageBreak/>
              <w:t>servicios técnicos y afecta el control regulatorio.</w:t>
            </w:r>
          </w:p>
        </w:tc>
        <w:tc>
          <w:tcPr>
            <w:tcW w:w="1588" w:type="dxa"/>
            <w:tcBorders>
              <w:top w:val="single" w:sz="4" w:space="0" w:color="auto"/>
              <w:left w:val="single" w:sz="4" w:space="0" w:color="auto"/>
              <w:bottom w:val="single" w:sz="4" w:space="0" w:color="auto"/>
              <w:right w:val="single" w:sz="4" w:space="0" w:color="auto"/>
            </w:tcBorders>
            <w:vAlign w:val="center"/>
          </w:tcPr>
          <w:p w14:paraId="043ACEE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lastRenderedPageBreak/>
              <w:t>Es recomendable que estos requisitos sean implementados a mediano plazo.</w:t>
            </w:r>
          </w:p>
        </w:tc>
        <w:tc>
          <w:tcPr>
            <w:tcW w:w="1588" w:type="dxa"/>
            <w:tcBorders>
              <w:top w:val="single" w:sz="4" w:space="0" w:color="auto"/>
              <w:left w:val="single" w:sz="4" w:space="0" w:color="auto"/>
              <w:bottom w:val="single" w:sz="4" w:space="0" w:color="auto"/>
              <w:right w:val="single" w:sz="4" w:space="0" w:color="auto"/>
            </w:tcBorders>
            <w:vAlign w:val="center"/>
          </w:tcPr>
          <w:p w14:paraId="5F21417F"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Este problema aplica a un grupo de los países de la región.</w:t>
            </w:r>
          </w:p>
        </w:tc>
        <w:tc>
          <w:tcPr>
            <w:tcW w:w="2211" w:type="dxa"/>
            <w:tcBorders>
              <w:top w:val="single" w:sz="4" w:space="0" w:color="auto"/>
              <w:left w:val="single" w:sz="4" w:space="0" w:color="auto"/>
              <w:bottom w:val="single" w:sz="4" w:space="0" w:color="auto"/>
              <w:right w:val="single" w:sz="4" w:space="0" w:color="auto"/>
            </w:tcBorders>
            <w:vAlign w:val="center"/>
          </w:tcPr>
          <w:p w14:paraId="19DA9874"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 necesario para la aplicación de sistema de gestión para usuarios finales, servicios técnicos y reguladores.</w:t>
            </w:r>
          </w:p>
        </w:tc>
        <w:tc>
          <w:tcPr>
            <w:tcW w:w="907" w:type="dxa"/>
            <w:tcBorders>
              <w:top w:val="single" w:sz="4" w:space="0" w:color="auto"/>
              <w:left w:val="single" w:sz="4" w:space="0" w:color="auto"/>
              <w:bottom w:val="single" w:sz="4" w:space="0" w:color="auto"/>
              <w:right w:val="single" w:sz="4" w:space="0" w:color="auto"/>
            </w:tcBorders>
            <w:vAlign w:val="center"/>
          </w:tcPr>
          <w:p w14:paraId="72176285"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tcPr>
          <w:p w14:paraId="062B73F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 xml:space="preserve">Vinculada con la voluntad política y organizacional de usuarios finales, servicios técnicos y reguladores para implementar los </w:t>
            </w:r>
            <w:r w:rsidRPr="00B766F4">
              <w:rPr>
                <w:rFonts w:ascii="Times New Roman" w:hAnsi="Times New Roman" w:cs="Times New Roman"/>
                <w:bCs/>
                <w:sz w:val="20"/>
                <w:szCs w:val="20"/>
                <w:lang w:val="es-ES"/>
              </w:rPr>
              <w:lastRenderedPageBreak/>
              <w:t>requisitos internacionales de liderazgo y gestión para la seguridad.</w:t>
            </w:r>
          </w:p>
        </w:tc>
        <w:tc>
          <w:tcPr>
            <w:tcW w:w="708" w:type="dxa"/>
            <w:tcBorders>
              <w:top w:val="single" w:sz="4" w:space="0" w:color="auto"/>
              <w:left w:val="single" w:sz="4" w:space="0" w:color="auto"/>
              <w:bottom w:val="single" w:sz="4" w:space="0" w:color="auto"/>
              <w:right w:val="single" w:sz="4" w:space="0" w:color="auto"/>
            </w:tcBorders>
            <w:vAlign w:val="center"/>
          </w:tcPr>
          <w:p w14:paraId="4C0D8B80"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tcPr>
          <w:p w14:paraId="3EAD7821"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17816674" w14:textId="77777777" w:rsidTr="000E47CD">
        <w:trPr>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64121360"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9</w:t>
            </w:r>
          </w:p>
        </w:tc>
        <w:tc>
          <w:tcPr>
            <w:tcW w:w="2097" w:type="dxa"/>
            <w:vMerge w:val="restart"/>
            <w:tcBorders>
              <w:top w:val="single" w:sz="4" w:space="0" w:color="auto"/>
              <w:left w:val="single" w:sz="4" w:space="0" w:color="auto"/>
              <w:right w:val="single" w:sz="4" w:space="0" w:color="auto"/>
            </w:tcBorders>
            <w:vAlign w:val="center"/>
          </w:tcPr>
          <w:p w14:paraId="247E3F24"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R6</w:t>
            </w:r>
          </w:p>
          <w:p w14:paraId="1A4905D2"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Cs/>
                <w:sz w:val="20"/>
                <w:szCs w:val="20"/>
                <w:lang w:val="es-ES"/>
              </w:rPr>
              <w:t>Limitadas capacidades de planificación, notificación y respuesta a emergencias radiológica de los países, incluido el análisis sistemático de los accidentes y la diseminación de la información.</w:t>
            </w:r>
          </w:p>
        </w:tc>
        <w:tc>
          <w:tcPr>
            <w:tcW w:w="1701" w:type="dxa"/>
            <w:tcBorders>
              <w:top w:val="single" w:sz="4" w:space="0" w:color="auto"/>
              <w:left w:val="single" w:sz="4" w:space="0" w:color="auto"/>
              <w:bottom w:val="single" w:sz="4" w:space="0" w:color="auto"/>
              <w:right w:val="single" w:sz="4" w:space="0" w:color="auto"/>
            </w:tcBorders>
            <w:vAlign w:val="center"/>
          </w:tcPr>
          <w:p w14:paraId="7E711689"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4,0</w:t>
            </w:r>
          </w:p>
        </w:tc>
        <w:tc>
          <w:tcPr>
            <w:tcW w:w="1588" w:type="dxa"/>
            <w:tcBorders>
              <w:top w:val="single" w:sz="4" w:space="0" w:color="auto"/>
              <w:left w:val="single" w:sz="4" w:space="0" w:color="auto"/>
              <w:bottom w:val="single" w:sz="4" w:space="0" w:color="auto"/>
              <w:right w:val="single" w:sz="4" w:space="0" w:color="auto"/>
            </w:tcBorders>
            <w:vAlign w:val="center"/>
          </w:tcPr>
          <w:p w14:paraId="537A9063"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3,0</w:t>
            </w:r>
          </w:p>
        </w:tc>
        <w:tc>
          <w:tcPr>
            <w:tcW w:w="1588" w:type="dxa"/>
            <w:tcBorders>
              <w:top w:val="single" w:sz="4" w:space="0" w:color="auto"/>
              <w:left w:val="single" w:sz="4" w:space="0" w:color="auto"/>
              <w:bottom w:val="single" w:sz="4" w:space="0" w:color="auto"/>
              <w:right w:val="single" w:sz="4" w:space="0" w:color="auto"/>
            </w:tcBorders>
            <w:vAlign w:val="center"/>
          </w:tcPr>
          <w:p w14:paraId="2002014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2211" w:type="dxa"/>
            <w:tcBorders>
              <w:top w:val="single" w:sz="4" w:space="0" w:color="auto"/>
              <w:left w:val="single" w:sz="4" w:space="0" w:color="auto"/>
              <w:bottom w:val="single" w:sz="4" w:space="0" w:color="auto"/>
              <w:right w:val="single" w:sz="4" w:space="0" w:color="auto"/>
            </w:tcBorders>
            <w:vAlign w:val="center"/>
          </w:tcPr>
          <w:p w14:paraId="07F8D0ED"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907" w:type="dxa"/>
            <w:tcBorders>
              <w:top w:val="single" w:sz="4" w:space="0" w:color="auto"/>
              <w:left w:val="single" w:sz="4" w:space="0" w:color="auto"/>
              <w:bottom w:val="single" w:sz="4" w:space="0" w:color="auto"/>
              <w:right w:val="single" w:sz="4" w:space="0" w:color="auto"/>
            </w:tcBorders>
            <w:vAlign w:val="center"/>
          </w:tcPr>
          <w:p w14:paraId="6F73C16D"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15,0</w:t>
            </w:r>
          </w:p>
        </w:tc>
        <w:tc>
          <w:tcPr>
            <w:tcW w:w="2125" w:type="dxa"/>
            <w:tcBorders>
              <w:top w:val="single" w:sz="4" w:space="0" w:color="auto"/>
              <w:left w:val="single" w:sz="4" w:space="0" w:color="auto"/>
              <w:bottom w:val="single" w:sz="4" w:space="0" w:color="auto"/>
              <w:right w:val="single" w:sz="4" w:space="0" w:color="auto"/>
            </w:tcBorders>
            <w:vAlign w:val="center"/>
          </w:tcPr>
          <w:p w14:paraId="46D06EAE"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708" w:type="dxa"/>
            <w:tcBorders>
              <w:top w:val="single" w:sz="4" w:space="0" w:color="auto"/>
              <w:left w:val="single" w:sz="4" w:space="0" w:color="auto"/>
              <w:bottom w:val="single" w:sz="4" w:space="0" w:color="auto"/>
              <w:right w:val="single" w:sz="4" w:space="0" w:color="auto"/>
            </w:tcBorders>
            <w:vAlign w:val="center"/>
          </w:tcPr>
          <w:p w14:paraId="4532DB42"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4B1248D8" w14:textId="77777777" w:rsidR="000E47CD" w:rsidRPr="00B766F4" w:rsidRDefault="000E47CD" w:rsidP="00FE4F5F">
            <w:pPr>
              <w:spacing w:after="0"/>
              <w:jc w:val="center"/>
              <w:rPr>
                <w:rFonts w:ascii="Times New Roman" w:hAnsi="Times New Roman" w:cs="Times New Roman"/>
                <w:b/>
                <w:sz w:val="20"/>
                <w:szCs w:val="20"/>
                <w:lang w:val="es-ES"/>
              </w:rPr>
            </w:pPr>
            <w:r w:rsidRPr="00B766F4">
              <w:rPr>
                <w:rFonts w:ascii="Times New Roman" w:hAnsi="Times New Roman" w:cs="Times New Roman"/>
                <w:b/>
                <w:sz w:val="20"/>
                <w:szCs w:val="20"/>
                <w:lang w:val="es-ES"/>
              </w:rPr>
              <w:t>15,0</w:t>
            </w:r>
          </w:p>
        </w:tc>
      </w:tr>
      <w:tr w:rsidR="000E47CD" w:rsidRPr="00B766F4" w14:paraId="6F23C443" w14:textId="77777777" w:rsidTr="000E47CD">
        <w:trPr>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tcPr>
          <w:p w14:paraId="5A443DC4"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tcPr>
          <w:p w14:paraId="070268F0"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028085C6"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Se requiere todavía mejorar las capacidades instaladas en la mayoría de los países.</w:t>
            </w:r>
          </w:p>
        </w:tc>
        <w:tc>
          <w:tcPr>
            <w:tcW w:w="1588" w:type="dxa"/>
            <w:tcBorders>
              <w:top w:val="single" w:sz="4" w:space="0" w:color="auto"/>
              <w:left w:val="single" w:sz="4" w:space="0" w:color="auto"/>
              <w:bottom w:val="single" w:sz="4" w:space="0" w:color="auto"/>
              <w:right w:val="single" w:sz="4" w:space="0" w:color="auto"/>
            </w:tcBorders>
            <w:vAlign w:val="center"/>
          </w:tcPr>
          <w:p w14:paraId="1798B474"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Se debe implementar a mediano plazo el plan de acción para la mejora de las capacidades.</w:t>
            </w:r>
          </w:p>
        </w:tc>
        <w:tc>
          <w:tcPr>
            <w:tcW w:w="1588" w:type="dxa"/>
            <w:tcBorders>
              <w:top w:val="single" w:sz="4" w:space="0" w:color="auto"/>
              <w:left w:val="single" w:sz="4" w:space="0" w:color="auto"/>
              <w:bottom w:val="single" w:sz="4" w:space="0" w:color="auto"/>
              <w:right w:val="single" w:sz="4" w:space="0" w:color="auto"/>
            </w:tcBorders>
            <w:vAlign w:val="center"/>
          </w:tcPr>
          <w:p w14:paraId="584F907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Este problema aplica a un grupo importante de los países de la región.</w:t>
            </w:r>
          </w:p>
        </w:tc>
        <w:tc>
          <w:tcPr>
            <w:tcW w:w="2211" w:type="dxa"/>
            <w:tcBorders>
              <w:top w:val="single" w:sz="4" w:space="0" w:color="auto"/>
              <w:left w:val="single" w:sz="4" w:space="0" w:color="auto"/>
              <w:bottom w:val="single" w:sz="4" w:space="0" w:color="auto"/>
              <w:right w:val="single" w:sz="4" w:space="0" w:color="auto"/>
            </w:tcBorders>
            <w:vAlign w:val="center"/>
          </w:tcPr>
          <w:p w14:paraId="7F6643A0"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La coordinación aumentará el nivel de protección del personal afectado y del público.</w:t>
            </w:r>
          </w:p>
        </w:tc>
        <w:tc>
          <w:tcPr>
            <w:tcW w:w="907" w:type="dxa"/>
            <w:tcBorders>
              <w:top w:val="single" w:sz="4" w:space="0" w:color="auto"/>
              <w:left w:val="single" w:sz="4" w:space="0" w:color="auto"/>
              <w:bottom w:val="single" w:sz="4" w:space="0" w:color="auto"/>
              <w:right w:val="single" w:sz="4" w:space="0" w:color="auto"/>
            </w:tcBorders>
            <w:vAlign w:val="center"/>
          </w:tcPr>
          <w:p w14:paraId="113D50E2"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tcPr>
          <w:p w14:paraId="78549609"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Vinculada principalmente a la coordinación para el aprovechamiento de las capacidades instaladas y capacitación en algunas áreas.</w:t>
            </w:r>
          </w:p>
        </w:tc>
        <w:tc>
          <w:tcPr>
            <w:tcW w:w="708" w:type="dxa"/>
            <w:tcBorders>
              <w:top w:val="single" w:sz="4" w:space="0" w:color="auto"/>
              <w:left w:val="single" w:sz="4" w:space="0" w:color="auto"/>
              <w:bottom w:val="single" w:sz="4" w:space="0" w:color="auto"/>
              <w:right w:val="single" w:sz="4" w:space="0" w:color="auto"/>
            </w:tcBorders>
            <w:vAlign w:val="center"/>
          </w:tcPr>
          <w:p w14:paraId="600CD05A"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tcPr>
          <w:p w14:paraId="66A1FAEA" w14:textId="77777777" w:rsidR="000E47CD" w:rsidRPr="00B766F4" w:rsidRDefault="000E47CD" w:rsidP="00FE4F5F">
            <w:pPr>
              <w:spacing w:after="0"/>
              <w:jc w:val="center"/>
              <w:rPr>
                <w:rFonts w:ascii="Times New Roman" w:hAnsi="Times New Roman" w:cs="Times New Roman"/>
                <w:b/>
                <w:bCs/>
                <w:sz w:val="20"/>
                <w:szCs w:val="20"/>
                <w:lang w:val="es-ES"/>
              </w:rPr>
            </w:pPr>
          </w:p>
        </w:tc>
      </w:tr>
      <w:tr w:rsidR="000E47CD" w:rsidRPr="00B766F4" w14:paraId="3FDF1EEA" w14:textId="77777777" w:rsidTr="000E47CD">
        <w:trPr>
          <w:trHeight w:val="468"/>
          <w:jc w:val="center"/>
        </w:trPr>
        <w:tc>
          <w:tcPr>
            <w:tcW w:w="455" w:type="dxa"/>
            <w:vMerge w:val="restart"/>
            <w:tcBorders>
              <w:top w:val="single" w:sz="4" w:space="0" w:color="auto"/>
              <w:left w:val="single" w:sz="4" w:space="0" w:color="auto"/>
              <w:right w:val="single" w:sz="4" w:space="0" w:color="auto"/>
            </w:tcBorders>
            <w:shd w:val="clear" w:color="auto" w:fill="FFFFFF" w:themeFill="background1"/>
            <w:vAlign w:val="center"/>
          </w:tcPr>
          <w:p w14:paraId="4A2D35B3"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10</w:t>
            </w:r>
          </w:p>
        </w:tc>
        <w:tc>
          <w:tcPr>
            <w:tcW w:w="2097" w:type="dxa"/>
            <w:vMerge w:val="restart"/>
            <w:tcBorders>
              <w:top w:val="single" w:sz="4" w:space="0" w:color="auto"/>
              <w:left w:val="single" w:sz="4" w:space="0" w:color="auto"/>
              <w:right w:val="single" w:sz="4" w:space="0" w:color="auto"/>
            </w:tcBorders>
            <w:vAlign w:val="center"/>
          </w:tcPr>
          <w:p w14:paraId="4371FB81"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R5</w:t>
            </w:r>
          </w:p>
          <w:p w14:paraId="06CA57C9"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sz w:val="20"/>
                <w:szCs w:val="20"/>
                <w:lang w:val="es-ES"/>
              </w:rPr>
              <w:t>Insuficiente implementación de los requisitos y recomendaciones internacionales de seguridad para la protección radiológica del público, del ambiente y en la gestión de desechos radiactivos, con énfasis en políticas y estrategias nacionales, gestión de fuentes en desuso e identificación y solución de situaciones radiológicas debido a presencia de NORM.</w:t>
            </w:r>
          </w:p>
        </w:tc>
        <w:tc>
          <w:tcPr>
            <w:tcW w:w="1701" w:type="dxa"/>
            <w:tcBorders>
              <w:top w:val="single" w:sz="4" w:space="0" w:color="auto"/>
              <w:left w:val="single" w:sz="4" w:space="0" w:color="auto"/>
              <w:bottom w:val="single" w:sz="4" w:space="0" w:color="auto"/>
              <w:right w:val="single" w:sz="4" w:space="0" w:color="auto"/>
            </w:tcBorders>
            <w:vAlign w:val="center"/>
          </w:tcPr>
          <w:p w14:paraId="1B967E48"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3,0</w:t>
            </w:r>
          </w:p>
        </w:tc>
        <w:tc>
          <w:tcPr>
            <w:tcW w:w="1588" w:type="dxa"/>
            <w:tcBorders>
              <w:top w:val="single" w:sz="4" w:space="0" w:color="auto"/>
              <w:left w:val="single" w:sz="4" w:space="0" w:color="auto"/>
              <w:bottom w:val="single" w:sz="4" w:space="0" w:color="auto"/>
              <w:right w:val="single" w:sz="4" w:space="0" w:color="auto"/>
            </w:tcBorders>
            <w:vAlign w:val="center"/>
          </w:tcPr>
          <w:p w14:paraId="777755D6"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3,0</w:t>
            </w:r>
          </w:p>
        </w:tc>
        <w:tc>
          <w:tcPr>
            <w:tcW w:w="1588" w:type="dxa"/>
            <w:tcBorders>
              <w:top w:val="single" w:sz="4" w:space="0" w:color="auto"/>
              <w:left w:val="single" w:sz="4" w:space="0" w:color="auto"/>
              <w:bottom w:val="single" w:sz="4" w:space="0" w:color="auto"/>
              <w:right w:val="single" w:sz="4" w:space="0" w:color="auto"/>
            </w:tcBorders>
            <w:vAlign w:val="center"/>
          </w:tcPr>
          <w:p w14:paraId="3824F019"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2211" w:type="dxa"/>
            <w:tcBorders>
              <w:top w:val="single" w:sz="4" w:space="0" w:color="auto"/>
              <w:left w:val="single" w:sz="4" w:space="0" w:color="auto"/>
              <w:bottom w:val="single" w:sz="4" w:space="0" w:color="auto"/>
              <w:right w:val="single" w:sz="4" w:space="0" w:color="auto"/>
            </w:tcBorders>
            <w:vAlign w:val="center"/>
          </w:tcPr>
          <w:p w14:paraId="7C1BC492"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4,0</w:t>
            </w:r>
          </w:p>
        </w:tc>
        <w:tc>
          <w:tcPr>
            <w:tcW w:w="907" w:type="dxa"/>
            <w:tcBorders>
              <w:top w:val="single" w:sz="4" w:space="0" w:color="auto"/>
              <w:left w:val="single" w:sz="4" w:space="0" w:color="auto"/>
              <w:bottom w:val="single" w:sz="4" w:space="0" w:color="auto"/>
              <w:right w:val="single" w:sz="4" w:space="0" w:color="auto"/>
            </w:tcBorders>
            <w:vAlign w:val="center"/>
          </w:tcPr>
          <w:p w14:paraId="50511EE8" w14:textId="77777777" w:rsidR="000E47CD" w:rsidRPr="00B766F4" w:rsidRDefault="000E47CD" w:rsidP="00FE4F5F">
            <w:pPr>
              <w:spacing w:after="0"/>
              <w:jc w:val="center"/>
              <w:rPr>
                <w:rFonts w:ascii="Times New Roman" w:hAnsi="Times New Roman" w:cs="Times New Roman"/>
                <w:b/>
                <w:bCs/>
                <w:sz w:val="20"/>
                <w:szCs w:val="20"/>
                <w:lang w:val="es-ES"/>
              </w:rPr>
            </w:pPr>
            <w:r w:rsidRPr="00B766F4">
              <w:rPr>
                <w:rFonts w:ascii="Times New Roman" w:hAnsi="Times New Roman" w:cs="Times New Roman"/>
                <w:b/>
                <w:bCs/>
                <w:sz w:val="20"/>
                <w:szCs w:val="20"/>
                <w:lang w:val="es-ES"/>
              </w:rPr>
              <w:t>14,0</w:t>
            </w:r>
          </w:p>
        </w:tc>
        <w:tc>
          <w:tcPr>
            <w:tcW w:w="2125" w:type="dxa"/>
            <w:tcBorders>
              <w:top w:val="single" w:sz="4" w:space="0" w:color="auto"/>
              <w:left w:val="single" w:sz="4" w:space="0" w:color="auto"/>
              <w:bottom w:val="single" w:sz="4" w:space="0" w:color="auto"/>
              <w:right w:val="single" w:sz="4" w:space="0" w:color="auto"/>
            </w:tcBorders>
            <w:vAlign w:val="center"/>
          </w:tcPr>
          <w:p w14:paraId="531B8C83"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sz w:val="20"/>
                <w:szCs w:val="20"/>
                <w:lang w:val="es-ES"/>
              </w:rPr>
              <w:t>4,5</w:t>
            </w:r>
          </w:p>
        </w:tc>
        <w:tc>
          <w:tcPr>
            <w:tcW w:w="708" w:type="dxa"/>
            <w:tcBorders>
              <w:top w:val="single" w:sz="4" w:space="0" w:color="auto"/>
              <w:left w:val="single" w:sz="4" w:space="0" w:color="auto"/>
              <w:bottom w:val="single" w:sz="4" w:space="0" w:color="auto"/>
              <w:right w:val="single" w:sz="4" w:space="0" w:color="auto"/>
            </w:tcBorders>
            <w:vAlign w:val="center"/>
          </w:tcPr>
          <w:p w14:paraId="62EA5C72"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0,89</w:t>
            </w:r>
          </w:p>
        </w:tc>
        <w:tc>
          <w:tcPr>
            <w:tcW w:w="993" w:type="dxa"/>
            <w:tcBorders>
              <w:top w:val="single" w:sz="4" w:space="0" w:color="auto"/>
              <w:left w:val="single" w:sz="4" w:space="0" w:color="auto"/>
              <w:bottom w:val="single" w:sz="4" w:space="0" w:color="auto"/>
              <w:right w:val="single" w:sz="4" w:space="0" w:color="auto"/>
            </w:tcBorders>
            <w:vAlign w:val="center"/>
          </w:tcPr>
          <w:p w14:paraId="53E97FF8" w14:textId="77777777" w:rsidR="000E47CD" w:rsidRPr="00B766F4" w:rsidRDefault="000E47CD" w:rsidP="00FE4F5F">
            <w:pPr>
              <w:spacing w:after="0"/>
              <w:jc w:val="center"/>
              <w:rPr>
                <w:rFonts w:ascii="Times New Roman" w:hAnsi="Times New Roman" w:cs="Times New Roman"/>
                <w:b/>
                <w:sz w:val="20"/>
                <w:szCs w:val="20"/>
                <w:lang w:val="es-ES"/>
              </w:rPr>
            </w:pPr>
            <w:r w:rsidRPr="00B766F4">
              <w:rPr>
                <w:rFonts w:ascii="Times New Roman" w:hAnsi="Times New Roman" w:cs="Times New Roman"/>
                <w:b/>
                <w:sz w:val="20"/>
                <w:szCs w:val="20"/>
                <w:lang w:val="es-ES"/>
              </w:rPr>
              <w:t>12,44</w:t>
            </w:r>
          </w:p>
        </w:tc>
      </w:tr>
      <w:tr w:rsidR="000E47CD" w:rsidRPr="00B766F4" w14:paraId="07C89FD3" w14:textId="77777777" w:rsidTr="000E47CD">
        <w:trPr>
          <w:jc w:val="center"/>
        </w:trPr>
        <w:tc>
          <w:tcPr>
            <w:tcW w:w="455" w:type="dxa"/>
            <w:vMerge/>
            <w:tcBorders>
              <w:left w:val="single" w:sz="4" w:space="0" w:color="auto"/>
              <w:bottom w:val="single" w:sz="4" w:space="0" w:color="auto"/>
              <w:right w:val="single" w:sz="4" w:space="0" w:color="auto"/>
            </w:tcBorders>
            <w:shd w:val="clear" w:color="auto" w:fill="FFFFFF" w:themeFill="background1"/>
            <w:vAlign w:val="center"/>
            <w:hideMark/>
          </w:tcPr>
          <w:p w14:paraId="6DB1DE55"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097" w:type="dxa"/>
            <w:vMerge/>
            <w:tcBorders>
              <w:left w:val="single" w:sz="4" w:space="0" w:color="auto"/>
              <w:bottom w:val="single" w:sz="4" w:space="0" w:color="auto"/>
              <w:right w:val="single" w:sz="4" w:space="0" w:color="auto"/>
            </w:tcBorders>
            <w:vAlign w:val="center"/>
            <w:hideMark/>
          </w:tcPr>
          <w:p w14:paraId="5BAB4F39" w14:textId="77777777" w:rsidR="000E47CD" w:rsidRPr="00B766F4" w:rsidRDefault="000E47CD" w:rsidP="00FE4F5F">
            <w:pPr>
              <w:spacing w:after="0"/>
              <w:jc w:val="center"/>
              <w:rPr>
                <w:rFonts w:ascii="Times New Roman" w:hAnsi="Times New Roman" w:cs="Times New Roman"/>
                <w:bCs/>
                <w:sz w:val="20"/>
                <w:szCs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60B30B9"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Afecta la protección del público y el medio ambiente, y los mecanismos reguladores.</w:t>
            </w:r>
          </w:p>
        </w:tc>
        <w:tc>
          <w:tcPr>
            <w:tcW w:w="1588" w:type="dxa"/>
            <w:tcBorders>
              <w:top w:val="single" w:sz="4" w:space="0" w:color="auto"/>
              <w:left w:val="single" w:sz="4" w:space="0" w:color="auto"/>
              <w:bottom w:val="single" w:sz="4" w:space="0" w:color="auto"/>
              <w:right w:val="single" w:sz="4" w:space="0" w:color="auto"/>
            </w:tcBorders>
            <w:vAlign w:val="center"/>
            <w:hideMark/>
          </w:tcPr>
          <w:p w14:paraId="0658FC15"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 recomendable que estos requisitos sean implementados tan pronto como sea posible.</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ECB6110"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Este problema aplica a la mayoría de los países de la región.</w:t>
            </w:r>
          </w:p>
        </w:tc>
        <w:tc>
          <w:tcPr>
            <w:tcW w:w="2211" w:type="dxa"/>
            <w:tcBorders>
              <w:top w:val="single" w:sz="4" w:space="0" w:color="auto"/>
              <w:left w:val="single" w:sz="4" w:space="0" w:color="auto"/>
              <w:bottom w:val="single" w:sz="4" w:space="0" w:color="auto"/>
              <w:right w:val="single" w:sz="4" w:space="0" w:color="auto"/>
            </w:tcBorders>
            <w:vAlign w:val="center"/>
            <w:hideMark/>
          </w:tcPr>
          <w:p w14:paraId="7B575576" w14:textId="77777777" w:rsidR="000E47CD" w:rsidRPr="00B766F4" w:rsidRDefault="000E47CD" w:rsidP="00FE4F5F">
            <w:pPr>
              <w:spacing w:after="0"/>
              <w:jc w:val="center"/>
              <w:rPr>
                <w:rFonts w:ascii="Times New Roman" w:hAnsi="Times New Roman" w:cs="Times New Roman"/>
                <w:sz w:val="20"/>
                <w:szCs w:val="20"/>
                <w:lang w:val="es-ES"/>
              </w:rPr>
            </w:pPr>
            <w:r w:rsidRPr="00B766F4">
              <w:rPr>
                <w:rFonts w:ascii="Times New Roman" w:hAnsi="Times New Roman" w:cs="Times New Roman"/>
                <w:bCs/>
                <w:sz w:val="20"/>
                <w:szCs w:val="20"/>
                <w:lang w:val="es-ES"/>
              </w:rPr>
              <w:t>La implementación garantizará la seguridad y sostenibilidad de la gestión de los desechos radiactivos y las fuentes radiactivas en desuso y por ende la protección del público y el medio ambiente.</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7687FA" w14:textId="77777777" w:rsidR="000E47CD" w:rsidRPr="00B766F4" w:rsidRDefault="000E47CD" w:rsidP="00FE4F5F">
            <w:pPr>
              <w:spacing w:after="0"/>
              <w:jc w:val="center"/>
              <w:rPr>
                <w:rFonts w:ascii="Times New Roman" w:hAnsi="Times New Roman" w:cs="Times New Roman"/>
                <w:b/>
                <w:bCs/>
                <w:sz w:val="20"/>
                <w:szCs w:val="20"/>
                <w:lang w:val="es-ES"/>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3E4B6241" w14:textId="77777777" w:rsidR="000E47CD" w:rsidRPr="00B766F4" w:rsidRDefault="000E47CD" w:rsidP="00FE4F5F">
            <w:pPr>
              <w:spacing w:after="0"/>
              <w:jc w:val="center"/>
              <w:rPr>
                <w:rFonts w:ascii="Times New Roman" w:hAnsi="Times New Roman" w:cs="Times New Roman"/>
                <w:bCs/>
                <w:sz w:val="20"/>
                <w:szCs w:val="20"/>
                <w:lang w:val="es-ES"/>
              </w:rPr>
            </w:pPr>
            <w:r w:rsidRPr="00B766F4">
              <w:rPr>
                <w:rFonts w:ascii="Times New Roman" w:hAnsi="Times New Roman" w:cs="Times New Roman"/>
                <w:bCs/>
                <w:sz w:val="20"/>
                <w:szCs w:val="20"/>
                <w:lang w:val="es-ES"/>
              </w:rPr>
              <w:t>Vinculada con la voluntad política de los gobiernos de establecer un marco legal efectivo y la infraestructura eficaz.</w:t>
            </w:r>
          </w:p>
        </w:tc>
        <w:tc>
          <w:tcPr>
            <w:tcW w:w="708" w:type="dxa"/>
            <w:tcBorders>
              <w:top w:val="single" w:sz="4" w:space="0" w:color="auto"/>
              <w:left w:val="single" w:sz="4" w:space="0" w:color="auto"/>
              <w:bottom w:val="single" w:sz="4" w:space="0" w:color="auto"/>
              <w:right w:val="single" w:sz="4" w:space="0" w:color="auto"/>
            </w:tcBorders>
            <w:vAlign w:val="center"/>
            <w:hideMark/>
          </w:tcPr>
          <w:p w14:paraId="6D0528AF" w14:textId="77777777" w:rsidR="000E47CD" w:rsidRPr="00B766F4" w:rsidRDefault="000E47CD" w:rsidP="00FE4F5F">
            <w:pPr>
              <w:spacing w:after="0"/>
              <w:jc w:val="center"/>
              <w:rPr>
                <w:rFonts w:ascii="Times New Roman" w:hAnsi="Times New Roman" w:cs="Times New Roman"/>
                <w:bCs/>
                <w:sz w:val="20"/>
                <w:szCs w:val="20"/>
                <w:lang w:val="es-E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9F6AFF1" w14:textId="77777777" w:rsidR="000E47CD" w:rsidRPr="00B766F4" w:rsidRDefault="000E47CD" w:rsidP="00FE4F5F">
            <w:pPr>
              <w:spacing w:after="0"/>
              <w:jc w:val="center"/>
              <w:rPr>
                <w:rFonts w:ascii="Times New Roman" w:hAnsi="Times New Roman" w:cs="Times New Roman"/>
                <w:b/>
                <w:bCs/>
                <w:sz w:val="20"/>
                <w:szCs w:val="20"/>
                <w:lang w:val="es-ES"/>
              </w:rPr>
            </w:pPr>
          </w:p>
        </w:tc>
      </w:tr>
    </w:tbl>
    <w:p w14:paraId="69C964DE" w14:textId="77777777" w:rsidR="00D136BB" w:rsidRDefault="00D136BB" w:rsidP="005D0292">
      <w:pPr>
        <w:pStyle w:val="BodyText"/>
        <w:rPr>
          <w:lang w:val="es-ES_tradnl"/>
        </w:rPr>
      </w:pPr>
    </w:p>
    <w:p w14:paraId="15ABE86E" w14:textId="55B6AB39" w:rsidR="005D0292" w:rsidRPr="00C36E86" w:rsidRDefault="000E47CD" w:rsidP="000E47CD">
      <w:pPr>
        <w:pStyle w:val="BodyText"/>
        <w:jc w:val="center"/>
        <w:rPr>
          <w:lang w:val="es-ES"/>
        </w:rPr>
      </w:pPr>
      <w:r>
        <w:rPr>
          <w:rFonts w:ascii="Arial" w:hAnsi="Arial" w:cs="Arial"/>
          <w:noProof/>
          <w:szCs w:val="24"/>
          <w:lang w:val="pt-BR" w:eastAsia="pt-BR"/>
        </w:rPr>
        <w:lastRenderedPageBreak/>
        <w:drawing>
          <wp:inline distT="0" distB="0" distL="0" distR="0" wp14:anchorId="55CB06E0" wp14:editId="2D93739F">
            <wp:extent cx="5308359" cy="3324225"/>
            <wp:effectExtent l="0" t="0" r="698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12206" cy="3326634"/>
                    </a:xfrm>
                    <a:prstGeom prst="rect">
                      <a:avLst/>
                    </a:prstGeom>
                    <a:noFill/>
                  </pic:spPr>
                </pic:pic>
              </a:graphicData>
            </a:graphic>
          </wp:inline>
        </w:drawing>
      </w:r>
    </w:p>
    <w:p w14:paraId="4F0CDFB4" w14:textId="77777777" w:rsidR="00E012B2" w:rsidRDefault="00E012B2" w:rsidP="00715258">
      <w:pPr>
        <w:spacing w:after="0"/>
        <w:jc w:val="both"/>
        <w:rPr>
          <w:rFonts w:ascii="Candara" w:hAnsi="Candara" w:cs="Arial"/>
          <w:color w:val="595959" w:themeColor="text1" w:themeTint="A6"/>
        </w:rPr>
        <w:sectPr w:rsidR="00E012B2" w:rsidSect="0075034E">
          <w:pgSz w:w="15840" w:h="12240" w:orient="landscape"/>
          <w:pgMar w:top="1077" w:right="1440" w:bottom="1077" w:left="1440" w:header="709" w:footer="709" w:gutter="0"/>
          <w:cols w:space="720"/>
          <w:titlePg/>
          <w:docGrid w:linePitch="360"/>
        </w:sectPr>
      </w:pPr>
    </w:p>
    <w:p w14:paraId="57FBC04E" w14:textId="47BC4EAA" w:rsidR="00043EA5" w:rsidRDefault="00043EA5" w:rsidP="00043EA5">
      <w:pPr>
        <w:pStyle w:val="BodyText"/>
        <w:ind w:left="360"/>
        <w:jc w:val="right"/>
        <w:rPr>
          <w:b/>
          <w:i/>
          <w:sz w:val="60"/>
          <w:szCs w:val="60"/>
          <w:lang w:val="es-ES"/>
        </w:rPr>
      </w:pPr>
      <w:bookmarkStart w:id="34" w:name="_Toc384800492"/>
      <w:bookmarkStart w:id="35" w:name="_Toc384800605"/>
      <w:bookmarkStart w:id="36" w:name="_Toc384823208"/>
      <w:bookmarkEnd w:id="34"/>
      <w:bookmarkEnd w:id="35"/>
      <w:bookmarkEnd w:id="36"/>
    </w:p>
    <w:p w14:paraId="700D6765" w14:textId="77777777" w:rsidR="00043EA5" w:rsidRDefault="00043EA5" w:rsidP="00043EA5">
      <w:pPr>
        <w:pStyle w:val="BodyText"/>
        <w:ind w:left="360"/>
        <w:jc w:val="right"/>
        <w:rPr>
          <w:b/>
          <w:i/>
          <w:sz w:val="60"/>
          <w:szCs w:val="60"/>
          <w:lang w:val="es-ES"/>
        </w:rPr>
      </w:pPr>
    </w:p>
    <w:p w14:paraId="4D447F95" w14:textId="77777777" w:rsidR="00043EA5" w:rsidRDefault="00043EA5" w:rsidP="00043EA5">
      <w:pPr>
        <w:pStyle w:val="BodyText"/>
        <w:ind w:left="360"/>
        <w:jc w:val="right"/>
        <w:rPr>
          <w:b/>
          <w:i/>
          <w:sz w:val="60"/>
          <w:szCs w:val="60"/>
          <w:lang w:val="es-ES"/>
        </w:rPr>
      </w:pPr>
    </w:p>
    <w:p w14:paraId="57DF5490" w14:textId="77777777" w:rsidR="00043EA5" w:rsidRDefault="00043EA5" w:rsidP="00043EA5">
      <w:pPr>
        <w:pStyle w:val="BodyText"/>
        <w:ind w:left="360"/>
        <w:jc w:val="right"/>
        <w:rPr>
          <w:b/>
          <w:i/>
          <w:sz w:val="60"/>
          <w:szCs w:val="60"/>
          <w:lang w:val="es-ES"/>
        </w:rPr>
      </w:pPr>
    </w:p>
    <w:p w14:paraId="2DBC058F" w14:textId="77777777" w:rsidR="00043EA5" w:rsidRPr="00C36E86" w:rsidRDefault="00043EA5" w:rsidP="00AE1E0D">
      <w:pPr>
        <w:pStyle w:val="Title"/>
        <w:jc w:val="center"/>
        <w:rPr>
          <w:lang w:val="es-ES"/>
        </w:rPr>
      </w:pPr>
      <w:r w:rsidRPr="00C36E86">
        <w:rPr>
          <w:lang w:val="es-ES"/>
        </w:rPr>
        <w:t>TECNOLOGÍAS</w:t>
      </w:r>
    </w:p>
    <w:p w14:paraId="212E1259" w14:textId="67022160" w:rsidR="00043EA5" w:rsidRPr="00C36E86" w:rsidRDefault="00043EA5" w:rsidP="00AE1E0D">
      <w:pPr>
        <w:pStyle w:val="BodyText"/>
        <w:ind w:left="360"/>
        <w:jc w:val="center"/>
        <w:rPr>
          <w:b/>
          <w:i/>
          <w:sz w:val="60"/>
          <w:szCs w:val="60"/>
          <w:lang w:val="es-ES"/>
        </w:rPr>
        <w:sectPr w:rsidR="00043EA5" w:rsidRPr="00C36E86" w:rsidSect="0075034E">
          <w:footerReference w:type="first" r:id="rId25"/>
          <w:pgSz w:w="12240" w:h="15840"/>
          <w:pgMar w:top="1440" w:right="1077" w:bottom="1440" w:left="1077" w:header="709" w:footer="709" w:gutter="0"/>
          <w:cols w:space="720"/>
          <w:titlePg/>
          <w:docGrid w:linePitch="360"/>
        </w:sectPr>
      </w:pPr>
      <w:r w:rsidRPr="00C36E86">
        <w:rPr>
          <w:b/>
          <w:i/>
          <w:sz w:val="60"/>
          <w:szCs w:val="60"/>
          <w:lang w:val="es-ES"/>
        </w:rPr>
        <w:t>CON</w:t>
      </w:r>
      <w:r w:rsidR="00D136BB">
        <w:rPr>
          <w:b/>
          <w:i/>
          <w:sz w:val="60"/>
          <w:szCs w:val="60"/>
          <w:lang w:val="es-ES"/>
        </w:rPr>
        <w:t xml:space="preserve"> </w:t>
      </w:r>
      <w:r w:rsidRPr="00C36E86">
        <w:rPr>
          <w:b/>
          <w:i/>
          <w:sz w:val="60"/>
          <w:szCs w:val="60"/>
          <w:lang w:val="es-ES"/>
        </w:rPr>
        <w:t>RADIACIÓN</w:t>
      </w:r>
    </w:p>
    <w:p w14:paraId="7F829A2C" w14:textId="77777777" w:rsidR="00AE1E0D" w:rsidRDefault="00AE1E0D" w:rsidP="00043EA5">
      <w:pPr>
        <w:pStyle w:val="BodyText"/>
        <w:rPr>
          <w:lang w:val="es-ES"/>
        </w:rPr>
      </w:pPr>
    </w:p>
    <w:p w14:paraId="57BE0A0F" w14:textId="77777777" w:rsidR="006D362C" w:rsidRPr="003618E2" w:rsidRDefault="006D362C" w:rsidP="006D362C">
      <w:pPr>
        <w:pStyle w:val="BodyText"/>
        <w:rPr>
          <w:lang w:val="es-ES"/>
        </w:rPr>
      </w:pPr>
    </w:p>
    <w:p w14:paraId="3094BFC9" w14:textId="114786FE" w:rsidR="006D362C" w:rsidRPr="003618E2" w:rsidRDefault="006D362C" w:rsidP="006D362C">
      <w:pPr>
        <w:pStyle w:val="BodyText"/>
        <w:rPr>
          <w:b/>
          <w:bCs/>
          <w:lang w:val="es-ES"/>
        </w:rPr>
      </w:pPr>
      <w:r w:rsidRPr="003618E2">
        <w:rPr>
          <w:b/>
          <w:bCs/>
          <w:lang w:val="es-ES"/>
        </w:rPr>
        <w:t>I.</w:t>
      </w:r>
      <w:r w:rsidR="00D136BB">
        <w:rPr>
          <w:b/>
          <w:bCs/>
          <w:lang w:val="es-ES"/>
        </w:rPr>
        <w:t xml:space="preserve"> </w:t>
      </w:r>
      <w:r w:rsidRPr="003618E2">
        <w:rPr>
          <w:b/>
          <w:bCs/>
          <w:lang w:val="es-ES"/>
        </w:rPr>
        <w:t>Análisis</w:t>
      </w:r>
      <w:r w:rsidR="00D136BB">
        <w:rPr>
          <w:b/>
          <w:bCs/>
          <w:lang w:val="es-ES"/>
        </w:rPr>
        <w:t xml:space="preserve"> </w:t>
      </w:r>
      <w:r w:rsidRPr="003618E2">
        <w:rPr>
          <w:b/>
          <w:bCs/>
          <w:lang w:val="es-ES"/>
        </w:rPr>
        <w:t>de</w:t>
      </w:r>
      <w:r w:rsidR="00D136BB">
        <w:rPr>
          <w:b/>
          <w:bCs/>
          <w:lang w:val="es-ES"/>
        </w:rPr>
        <w:t xml:space="preserve"> </w:t>
      </w:r>
      <w:r w:rsidRPr="003618E2">
        <w:rPr>
          <w:b/>
          <w:bCs/>
          <w:lang w:val="es-ES"/>
        </w:rPr>
        <w:t>la</w:t>
      </w:r>
      <w:r w:rsidR="00D136BB">
        <w:rPr>
          <w:b/>
          <w:bCs/>
          <w:lang w:val="es-ES"/>
        </w:rPr>
        <w:t xml:space="preserve"> </w:t>
      </w:r>
      <w:r w:rsidRPr="003618E2">
        <w:rPr>
          <w:b/>
          <w:bCs/>
          <w:lang w:val="es-ES"/>
        </w:rPr>
        <w:t>Situación</w:t>
      </w:r>
      <w:r w:rsidR="00D136BB">
        <w:rPr>
          <w:b/>
          <w:bCs/>
          <w:lang w:val="es-ES"/>
        </w:rPr>
        <w:t xml:space="preserve"> </w:t>
      </w:r>
      <w:r w:rsidRPr="003618E2">
        <w:rPr>
          <w:b/>
          <w:bCs/>
          <w:lang w:val="es-ES"/>
        </w:rPr>
        <w:t>Regional</w:t>
      </w:r>
    </w:p>
    <w:p w14:paraId="558E4FCB" w14:textId="6E8722AB" w:rsidR="006D362C" w:rsidRPr="003618E2" w:rsidRDefault="006D362C" w:rsidP="006D362C">
      <w:pPr>
        <w:pStyle w:val="BodyText"/>
        <w:rPr>
          <w:lang w:val="es-ES"/>
        </w:rPr>
      </w:pP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para</w:t>
      </w:r>
      <w:r w:rsidR="00D136BB">
        <w:rPr>
          <w:lang w:val="es-ES"/>
        </w:rPr>
        <w:t xml:space="preserve"> </w:t>
      </w:r>
      <w:r w:rsidRPr="003618E2">
        <w:rPr>
          <w:lang w:val="es-ES"/>
        </w:rPr>
        <w:t>mejorar</w:t>
      </w:r>
      <w:r w:rsidR="00D136BB">
        <w:rPr>
          <w:lang w:val="es-ES"/>
        </w:rPr>
        <w:t xml:space="preserve"> </w:t>
      </w:r>
      <w:r w:rsidRPr="003618E2">
        <w:rPr>
          <w:lang w:val="es-ES"/>
        </w:rPr>
        <w:t>la</w:t>
      </w:r>
      <w:r w:rsidR="00D136BB">
        <w:rPr>
          <w:lang w:val="es-ES"/>
        </w:rPr>
        <w:t xml:space="preserve"> </w:t>
      </w:r>
      <w:r w:rsidRPr="003618E2">
        <w:rPr>
          <w:lang w:val="es-ES"/>
        </w:rPr>
        <w:t>calidad</w:t>
      </w:r>
      <w:r w:rsidR="00D136BB">
        <w:rPr>
          <w:lang w:val="es-ES"/>
        </w:rPr>
        <w:t xml:space="preserve"> </w:t>
      </w:r>
      <w:r w:rsidRPr="003618E2">
        <w:rPr>
          <w:lang w:val="es-ES"/>
        </w:rPr>
        <w:t>de</w:t>
      </w:r>
      <w:r w:rsidR="00D136BB">
        <w:rPr>
          <w:lang w:val="es-ES"/>
        </w:rPr>
        <w:t xml:space="preserve"> </w:t>
      </w:r>
      <w:r w:rsidRPr="003618E2">
        <w:rPr>
          <w:lang w:val="es-ES"/>
        </w:rPr>
        <w:t>vida</w:t>
      </w:r>
      <w:r w:rsidR="00D136BB">
        <w:rPr>
          <w:lang w:val="es-ES"/>
        </w:rPr>
        <w:t xml:space="preserve"> </w:t>
      </w:r>
      <w:r w:rsidRPr="003618E2">
        <w:rPr>
          <w:lang w:val="es-ES"/>
        </w:rPr>
        <w:t>tiene</w:t>
      </w:r>
      <w:r w:rsidR="00D136BB">
        <w:rPr>
          <w:lang w:val="es-ES"/>
        </w:rPr>
        <w:t xml:space="preserve"> </w:t>
      </w:r>
      <w:r w:rsidRPr="003618E2">
        <w:rPr>
          <w:lang w:val="es-ES"/>
        </w:rPr>
        <w:t>numerosas</w:t>
      </w:r>
      <w:r w:rsidR="00D136BB">
        <w:rPr>
          <w:lang w:val="es-ES"/>
        </w:rPr>
        <w:t xml:space="preserve"> </w:t>
      </w:r>
      <w:r w:rsidRPr="003618E2">
        <w:rPr>
          <w:lang w:val="es-ES"/>
        </w:rPr>
        <w:t>aplicaciones</w:t>
      </w:r>
      <w:r w:rsidR="00D136BB">
        <w:rPr>
          <w:lang w:val="es-ES"/>
        </w:rPr>
        <w:t xml:space="preserve"> </w:t>
      </w:r>
      <w:r w:rsidRPr="003618E2">
        <w:rPr>
          <w:lang w:val="es-ES"/>
        </w:rPr>
        <w:t>en</w:t>
      </w:r>
      <w:r w:rsidR="00D136BB">
        <w:rPr>
          <w:lang w:val="es-ES"/>
        </w:rPr>
        <w:t xml:space="preserve"> </w:t>
      </w:r>
      <w:r w:rsidRPr="003618E2">
        <w:rPr>
          <w:lang w:val="es-ES"/>
        </w:rPr>
        <w:t>diferentes</w:t>
      </w:r>
      <w:r w:rsidR="00D136BB">
        <w:rPr>
          <w:lang w:val="es-ES"/>
        </w:rPr>
        <w:t xml:space="preserve"> </w:t>
      </w:r>
      <w:r w:rsidRPr="003618E2">
        <w:rPr>
          <w:lang w:val="es-ES"/>
        </w:rPr>
        <w:t>campos</w:t>
      </w:r>
      <w:r w:rsidR="00D136BB">
        <w:rPr>
          <w:lang w:val="es-ES"/>
        </w:rPr>
        <w:t xml:space="preserve"> </w:t>
      </w:r>
      <w:r w:rsidRPr="003618E2">
        <w:rPr>
          <w:lang w:val="es-ES"/>
        </w:rPr>
        <w:t>y</w:t>
      </w:r>
      <w:r w:rsidR="00D136BB">
        <w:rPr>
          <w:lang w:val="es-ES"/>
        </w:rPr>
        <w:t xml:space="preserve"> </w:t>
      </w:r>
      <w:r w:rsidRPr="003618E2">
        <w:rPr>
          <w:lang w:val="es-ES"/>
        </w:rPr>
        <w:t>se</w:t>
      </w:r>
      <w:r w:rsidR="00D136BB">
        <w:rPr>
          <w:lang w:val="es-ES"/>
        </w:rPr>
        <w:t xml:space="preserve"> </w:t>
      </w:r>
      <w:r w:rsidRPr="003618E2">
        <w:rPr>
          <w:lang w:val="es-ES"/>
        </w:rPr>
        <w:t>puede</w:t>
      </w:r>
      <w:r w:rsidR="00D136BB">
        <w:rPr>
          <w:lang w:val="es-ES"/>
        </w:rPr>
        <w:t xml:space="preserve"> </w:t>
      </w:r>
      <w:r w:rsidRPr="003618E2">
        <w:rPr>
          <w:lang w:val="es-ES"/>
        </w:rPr>
        <w:t>abordar</w:t>
      </w:r>
      <w:r w:rsidR="00D136BB">
        <w:rPr>
          <w:lang w:val="es-ES"/>
        </w:rPr>
        <w:t xml:space="preserve"> </w:t>
      </w:r>
      <w:r w:rsidRPr="003618E2">
        <w:rPr>
          <w:lang w:val="es-ES"/>
        </w:rPr>
        <w:t>una</w:t>
      </w:r>
      <w:r w:rsidR="00D136BB">
        <w:rPr>
          <w:lang w:val="es-ES"/>
        </w:rPr>
        <w:t xml:space="preserve"> </w:t>
      </w:r>
      <w:r w:rsidRPr="003618E2">
        <w:rPr>
          <w:lang w:val="es-ES"/>
        </w:rPr>
        <w:t>amplia</w:t>
      </w:r>
      <w:r w:rsidR="00D136BB">
        <w:rPr>
          <w:lang w:val="es-ES"/>
        </w:rPr>
        <w:t xml:space="preserve"> </w:t>
      </w:r>
      <w:r w:rsidRPr="003618E2">
        <w:rPr>
          <w:lang w:val="es-ES"/>
        </w:rPr>
        <w:t>gama</w:t>
      </w:r>
      <w:r w:rsidR="00D136BB">
        <w:rPr>
          <w:lang w:val="es-ES"/>
        </w:rPr>
        <w:t xml:space="preserve"> </w:t>
      </w:r>
      <w:r w:rsidRPr="003618E2">
        <w:rPr>
          <w:lang w:val="es-ES"/>
        </w:rPr>
        <w:t>de</w:t>
      </w:r>
      <w:r w:rsidR="00D136BB">
        <w:rPr>
          <w:lang w:val="es-ES"/>
        </w:rPr>
        <w:t xml:space="preserve"> </w:t>
      </w:r>
      <w:r w:rsidRPr="003618E2">
        <w:rPr>
          <w:lang w:val="es-ES"/>
        </w:rPr>
        <w:t>problemas</w:t>
      </w:r>
      <w:r w:rsidR="00D136BB">
        <w:rPr>
          <w:lang w:val="es-ES"/>
        </w:rPr>
        <w:t xml:space="preserve"> </w:t>
      </w:r>
      <w:r w:rsidRPr="003618E2">
        <w:rPr>
          <w:lang w:val="es-ES"/>
        </w:rPr>
        <w:t>de</w:t>
      </w:r>
      <w:r w:rsidR="00D136BB">
        <w:rPr>
          <w:lang w:val="es-ES"/>
        </w:rPr>
        <w:t xml:space="preserve"> </w:t>
      </w:r>
      <w:r w:rsidRPr="003618E2">
        <w:rPr>
          <w:lang w:val="es-ES"/>
        </w:rPr>
        <w:t>desarrollo</w:t>
      </w:r>
      <w:r w:rsidR="00D136BB">
        <w:rPr>
          <w:lang w:val="es-ES"/>
        </w:rPr>
        <w:t xml:space="preserve"> </w:t>
      </w:r>
      <w:r w:rsidRPr="003618E2">
        <w:rPr>
          <w:lang w:val="es-ES"/>
        </w:rPr>
        <w:t>en</w:t>
      </w:r>
      <w:r w:rsidR="00D136BB">
        <w:rPr>
          <w:lang w:val="es-ES"/>
        </w:rPr>
        <w:t xml:space="preserve"> </w:t>
      </w:r>
      <w:r w:rsidRPr="003618E2">
        <w:rPr>
          <w:lang w:val="es-ES"/>
        </w:rPr>
        <w:t>los</w:t>
      </w:r>
      <w:r w:rsidR="00D136BB">
        <w:rPr>
          <w:lang w:val="es-ES"/>
        </w:rPr>
        <w:t xml:space="preserve"> </w:t>
      </w:r>
      <w:r w:rsidRPr="003618E2">
        <w:rPr>
          <w:lang w:val="es-ES"/>
        </w:rPr>
        <w:t>ámbitos</w:t>
      </w:r>
      <w:r w:rsidR="00D136BB">
        <w:rPr>
          <w:lang w:val="es-ES"/>
        </w:rPr>
        <w:t xml:space="preserve"> </w:t>
      </w:r>
      <w:r w:rsidRPr="003618E2">
        <w:rPr>
          <w:lang w:val="es-ES"/>
        </w:rPr>
        <w:t>del</w:t>
      </w:r>
      <w:r w:rsidR="00D136BB">
        <w:rPr>
          <w:lang w:val="es-ES"/>
        </w:rPr>
        <w:t xml:space="preserve"> </w:t>
      </w:r>
      <w:r w:rsidRPr="003618E2">
        <w:rPr>
          <w:lang w:val="es-ES"/>
        </w:rPr>
        <w:t>agua,</w:t>
      </w:r>
      <w:r w:rsidR="00D136BB">
        <w:rPr>
          <w:lang w:val="es-ES"/>
        </w:rPr>
        <w:t xml:space="preserve"> </w:t>
      </w:r>
      <w:r w:rsidRPr="003618E2">
        <w:rPr>
          <w:lang w:val="es-ES"/>
        </w:rPr>
        <w:t>ambiente,</w:t>
      </w:r>
      <w:r w:rsidR="00D136BB">
        <w:rPr>
          <w:lang w:val="es-ES"/>
        </w:rPr>
        <w:t xml:space="preserve"> </w:t>
      </w:r>
      <w:r w:rsidRPr="003618E2">
        <w:rPr>
          <w:lang w:val="es-ES"/>
        </w:rPr>
        <w:t>ingeniería</w:t>
      </w:r>
      <w:r w:rsidR="00D136BB">
        <w:rPr>
          <w:lang w:val="es-ES"/>
        </w:rPr>
        <w:t xml:space="preserve"> </w:t>
      </w:r>
      <w:r w:rsidRPr="003618E2">
        <w:rPr>
          <w:lang w:val="es-ES"/>
        </w:rPr>
        <w:t>costera,</w:t>
      </w:r>
      <w:r w:rsidR="00D136BB">
        <w:rPr>
          <w:lang w:val="es-ES"/>
        </w:rPr>
        <w:t xml:space="preserve"> </w:t>
      </w:r>
      <w:r w:rsidRPr="003618E2">
        <w:rPr>
          <w:lang w:val="es-ES"/>
        </w:rPr>
        <w:t>medicina,</w:t>
      </w:r>
      <w:r w:rsidR="00D136BB">
        <w:rPr>
          <w:lang w:val="es-ES"/>
        </w:rPr>
        <w:t xml:space="preserve"> </w:t>
      </w:r>
      <w:r w:rsidRPr="003618E2">
        <w:rPr>
          <w:lang w:val="es-ES"/>
        </w:rPr>
        <w:t>patrimonio</w:t>
      </w:r>
      <w:r w:rsidR="00D136BB">
        <w:rPr>
          <w:lang w:val="es-ES"/>
        </w:rPr>
        <w:t xml:space="preserve"> </w:t>
      </w:r>
      <w:r w:rsidRPr="003618E2">
        <w:rPr>
          <w:lang w:val="es-ES"/>
        </w:rPr>
        <w:t>cultural,</w:t>
      </w:r>
      <w:r w:rsidR="00D136BB">
        <w:rPr>
          <w:lang w:val="es-ES"/>
        </w:rPr>
        <w:t xml:space="preserve"> </w:t>
      </w:r>
      <w:r w:rsidRPr="003618E2">
        <w:rPr>
          <w:lang w:val="es-ES"/>
        </w:rPr>
        <w:t>procesos</w:t>
      </w:r>
      <w:r w:rsidR="00D136BB">
        <w:rPr>
          <w:lang w:val="es-ES"/>
        </w:rPr>
        <w:t xml:space="preserve"> </w:t>
      </w:r>
      <w:r w:rsidRPr="003618E2">
        <w:rPr>
          <w:lang w:val="es-ES"/>
        </w:rPr>
        <w:t>y</w:t>
      </w:r>
      <w:r w:rsidR="00D136BB">
        <w:rPr>
          <w:lang w:val="es-ES"/>
        </w:rPr>
        <w:t xml:space="preserve"> </w:t>
      </w:r>
      <w:r w:rsidRPr="003618E2">
        <w:rPr>
          <w:lang w:val="es-ES"/>
        </w:rPr>
        <w:t>producción</w:t>
      </w:r>
      <w:r w:rsidR="00D136BB">
        <w:rPr>
          <w:lang w:val="es-ES"/>
        </w:rPr>
        <w:t xml:space="preserve"> </w:t>
      </w:r>
      <w:r w:rsidRPr="003618E2">
        <w:rPr>
          <w:lang w:val="es-ES"/>
        </w:rPr>
        <w:t>industrial,</w:t>
      </w:r>
      <w:r w:rsidR="00D136BB">
        <w:rPr>
          <w:lang w:val="es-ES"/>
        </w:rPr>
        <w:t xml:space="preserve"> </w:t>
      </w:r>
      <w:r w:rsidRPr="003618E2">
        <w:rPr>
          <w:lang w:val="es-ES"/>
        </w:rPr>
        <w:t>procesamiento</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avanzados,</w:t>
      </w:r>
      <w:r w:rsidR="00D136BB">
        <w:rPr>
          <w:lang w:val="es-ES"/>
        </w:rPr>
        <w:t xml:space="preserve"> </w:t>
      </w:r>
      <w:r w:rsidRPr="003618E2">
        <w:rPr>
          <w:lang w:val="es-ES"/>
        </w:rPr>
        <w:t>recursos</w:t>
      </w:r>
      <w:r w:rsidR="00D136BB">
        <w:rPr>
          <w:lang w:val="es-ES"/>
        </w:rPr>
        <w:t xml:space="preserve"> </w:t>
      </w:r>
      <w:r w:rsidRPr="003618E2">
        <w:rPr>
          <w:lang w:val="es-ES"/>
        </w:rPr>
        <w:t>naturales,</w:t>
      </w:r>
      <w:r w:rsidR="00D136BB">
        <w:rPr>
          <w:lang w:val="es-ES"/>
        </w:rPr>
        <w:t xml:space="preserve"> </w:t>
      </w:r>
      <w:r w:rsidRPr="003618E2">
        <w:rPr>
          <w:lang w:val="es-ES"/>
        </w:rPr>
        <w:t>tecnologías</w:t>
      </w:r>
      <w:r w:rsidR="00D136BB">
        <w:rPr>
          <w:lang w:val="es-ES"/>
        </w:rPr>
        <w:t xml:space="preserve"> </w:t>
      </w:r>
      <w:r w:rsidRPr="003618E2">
        <w:rPr>
          <w:lang w:val="es-ES"/>
        </w:rPr>
        <w:t>de</w:t>
      </w:r>
      <w:r w:rsidR="00D136BB">
        <w:rPr>
          <w:lang w:val="es-ES"/>
        </w:rPr>
        <w:t xml:space="preserve"> </w:t>
      </w:r>
      <w:r w:rsidRPr="003618E2">
        <w:rPr>
          <w:lang w:val="es-ES"/>
        </w:rPr>
        <w:t>inspección,</w:t>
      </w:r>
      <w:r w:rsidR="00D136BB">
        <w:rPr>
          <w:lang w:val="es-ES"/>
        </w:rPr>
        <w:t xml:space="preserve"> </w:t>
      </w:r>
      <w:r w:rsidRPr="003618E2">
        <w:rPr>
          <w:lang w:val="es-ES"/>
        </w:rPr>
        <w:t>entre</w:t>
      </w:r>
      <w:r w:rsidR="00D136BB">
        <w:rPr>
          <w:lang w:val="es-ES"/>
        </w:rPr>
        <w:t xml:space="preserve"> </w:t>
      </w:r>
      <w:r w:rsidRPr="003618E2">
        <w:rPr>
          <w:lang w:val="es-ES"/>
        </w:rPr>
        <w:t>otros</w:t>
      </w:r>
      <w:r w:rsidR="00D136BB">
        <w:rPr>
          <w:lang w:val="es-ES"/>
        </w:rPr>
        <w:t xml:space="preserve"> </w:t>
      </w:r>
      <w:r w:rsidRPr="003618E2">
        <w:rPr>
          <w:lang w:val="es-ES"/>
        </w:rPr>
        <w:t>.</w:t>
      </w:r>
      <w:r w:rsidR="00D136BB">
        <w:rPr>
          <w:lang w:val="es-ES"/>
        </w:rPr>
        <w:t xml:space="preserve"> </w:t>
      </w:r>
      <w:r w:rsidRPr="003618E2">
        <w:rPr>
          <w:lang w:val="es-ES"/>
        </w:rPr>
        <w:t>Los</w:t>
      </w:r>
      <w:r w:rsidR="00D136BB">
        <w:rPr>
          <w:lang w:val="es-ES"/>
        </w:rPr>
        <w:t xml:space="preserve"> </w:t>
      </w:r>
      <w:r w:rsidRPr="003618E2">
        <w:rPr>
          <w:lang w:val="es-ES"/>
        </w:rPr>
        <w:t>principios</w:t>
      </w:r>
      <w:r w:rsidR="00D136BB">
        <w:rPr>
          <w:lang w:val="es-ES"/>
        </w:rPr>
        <w:t xml:space="preserve"> </w:t>
      </w:r>
      <w:r w:rsidRPr="003618E2">
        <w:rPr>
          <w:lang w:val="es-ES"/>
        </w:rPr>
        <w:t>y</w:t>
      </w:r>
      <w:r w:rsidR="00D136BB">
        <w:rPr>
          <w:lang w:val="es-ES"/>
        </w:rPr>
        <w:t xml:space="preserve"> </w:t>
      </w:r>
      <w:r w:rsidRPr="003618E2">
        <w:rPr>
          <w:lang w:val="es-ES"/>
        </w:rPr>
        <w:t>las</w:t>
      </w:r>
      <w:r w:rsidR="00D136BB">
        <w:rPr>
          <w:lang w:val="es-ES"/>
        </w:rPr>
        <w:t xml:space="preserve"> </w:t>
      </w:r>
      <w:r w:rsidRPr="003618E2">
        <w:rPr>
          <w:lang w:val="es-ES"/>
        </w:rPr>
        <w:t>aplicaciones</w:t>
      </w:r>
      <w:r w:rsidR="00D136BB">
        <w:rPr>
          <w:lang w:val="es-ES"/>
        </w:rPr>
        <w:t xml:space="preserve"> </w:t>
      </w:r>
      <w:r w:rsidRPr="003618E2">
        <w:rPr>
          <w:lang w:val="es-ES"/>
        </w:rPr>
        <w:t>se</w:t>
      </w:r>
      <w:r w:rsidR="00D136BB">
        <w:rPr>
          <w:lang w:val="es-ES"/>
        </w:rPr>
        <w:t xml:space="preserve"> </w:t>
      </w:r>
      <w:r w:rsidRPr="003618E2">
        <w:rPr>
          <w:lang w:val="es-ES"/>
        </w:rPr>
        <w:t>resumen</w:t>
      </w:r>
      <w:r w:rsidR="00D136BB">
        <w:rPr>
          <w:lang w:val="es-ES"/>
        </w:rPr>
        <w:t xml:space="preserve"> </w:t>
      </w:r>
      <w:r w:rsidRPr="003618E2">
        <w:rPr>
          <w:lang w:val="es-ES"/>
        </w:rPr>
        <w:t>brevemente</w:t>
      </w:r>
      <w:r w:rsidR="00D136BB">
        <w:rPr>
          <w:lang w:val="es-ES"/>
        </w:rPr>
        <w:t xml:space="preserve"> </w:t>
      </w:r>
      <w:r w:rsidRPr="003618E2">
        <w:rPr>
          <w:lang w:val="es-ES"/>
        </w:rPr>
        <w:t>a</w:t>
      </w:r>
      <w:r w:rsidR="00D136BB">
        <w:rPr>
          <w:lang w:val="es-ES"/>
        </w:rPr>
        <w:t xml:space="preserve"> </w:t>
      </w:r>
      <w:r w:rsidRPr="003618E2">
        <w:rPr>
          <w:lang w:val="es-ES"/>
        </w:rPr>
        <w:t>continuación.</w:t>
      </w:r>
    </w:p>
    <w:p w14:paraId="4F980D6A" w14:textId="3C1FAC6C" w:rsidR="006D362C" w:rsidRPr="003618E2" w:rsidRDefault="006D362C" w:rsidP="006D362C">
      <w:pPr>
        <w:pStyle w:val="BodyText"/>
        <w:rPr>
          <w:lang w:val="es-ES"/>
        </w:rPr>
      </w:pP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de</w:t>
      </w:r>
      <w:r w:rsidR="00D136BB">
        <w:rPr>
          <w:lang w:val="es-ES"/>
        </w:rPr>
        <w:t xml:space="preserve"> </w:t>
      </w:r>
      <w:r w:rsidRPr="003618E2">
        <w:rPr>
          <w:lang w:val="es-ES"/>
        </w:rPr>
        <w:t>procesamiento</w:t>
      </w:r>
      <w:r w:rsidR="00D136BB">
        <w:rPr>
          <w:lang w:val="es-ES"/>
        </w:rPr>
        <w:t xml:space="preserve"> </w:t>
      </w:r>
      <w:r w:rsidRPr="003618E2">
        <w:rPr>
          <w:lang w:val="es-ES"/>
        </w:rPr>
        <w:t>con</w:t>
      </w:r>
      <w:r w:rsidR="00D136BB">
        <w:rPr>
          <w:lang w:val="es-ES"/>
        </w:rPr>
        <w:t xml:space="preserve"> </w:t>
      </w:r>
      <w:r w:rsidRPr="003618E2">
        <w:rPr>
          <w:lang w:val="es-ES"/>
        </w:rPr>
        <w:t>radiaciones</w:t>
      </w:r>
      <w:r w:rsidR="00D136BB">
        <w:rPr>
          <w:lang w:val="es-ES"/>
        </w:rPr>
        <w:t xml:space="preserve"> </w:t>
      </w:r>
      <w:r w:rsidRPr="003618E2">
        <w:rPr>
          <w:lang w:val="es-ES"/>
        </w:rPr>
        <w:t>(PR)</w:t>
      </w:r>
      <w:r w:rsidR="00D136BB">
        <w:rPr>
          <w:lang w:val="es-ES"/>
        </w:rPr>
        <w:t xml:space="preserve"> </w:t>
      </w:r>
      <w:r w:rsidRPr="003618E2">
        <w:rPr>
          <w:lang w:val="es-ES"/>
        </w:rPr>
        <w:t>se</w:t>
      </w:r>
      <w:r w:rsidR="00D136BB">
        <w:rPr>
          <w:lang w:val="es-ES"/>
        </w:rPr>
        <w:t xml:space="preserve"> </w:t>
      </w:r>
      <w:r w:rsidRPr="003618E2">
        <w:rPr>
          <w:lang w:val="es-ES"/>
        </w:rPr>
        <w:t>basa</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radiaciones</w:t>
      </w:r>
      <w:r w:rsidR="00D136BB">
        <w:rPr>
          <w:lang w:val="es-ES"/>
        </w:rPr>
        <w:t xml:space="preserve"> </w:t>
      </w:r>
      <w:r w:rsidRPr="003618E2">
        <w:rPr>
          <w:lang w:val="es-ES"/>
        </w:rPr>
        <w:t>de</w:t>
      </w:r>
      <w:r w:rsidR="00D136BB">
        <w:rPr>
          <w:lang w:val="es-ES"/>
        </w:rPr>
        <w:t xml:space="preserve"> </w:t>
      </w:r>
      <w:r w:rsidRPr="003618E2">
        <w:rPr>
          <w:lang w:val="es-ES"/>
        </w:rPr>
        <w:t>alta</w:t>
      </w:r>
      <w:r w:rsidR="00D136BB">
        <w:rPr>
          <w:lang w:val="es-ES"/>
        </w:rPr>
        <w:t xml:space="preserve"> </w:t>
      </w:r>
      <w:r w:rsidRPr="003618E2">
        <w:rPr>
          <w:lang w:val="es-ES"/>
        </w:rPr>
        <w:t>energía</w:t>
      </w:r>
      <w:r w:rsidR="00D136BB">
        <w:rPr>
          <w:lang w:val="es-ES"/>
        </w:rPr>
        <w:t xml:space="preserve"> </w:t>
      </w:r>
      <w:r w:rsidRPr="003618E2">
        <w:rPr>
          <w:lang w:val="es-ES"/>
        </w:rPr>
        <w:t>a</w:t>
      </w:r>
      <w:r w:rsidR="00D136BB">
        <w:rPr>
          <w:lang w:val="es-ES"/>
        </w:rPr>
        <w:t xml:space="preserve"> </w:t>
      </w:r>
      <w:r w:rsidRPr="003618E2">
        <w:rPr>
          <w:lang w:val="es-ES"/>
        </w:rPr>
        <w:t>partir</w:t>
      </w:r>
      <w:r w:rsidR="00D136BB">
        <w:rPr>
          <w:lang w:val="es-ES"/>
        </w:rPr>
        <w:t xml:space="preserve"> </w:t>
      </w:r>
      <w:r w:rsidRPr="003618E2">
        <w:rPr>
          <w:lang w:val="es-ES"/>
        </w:rPr>
        <w:t>de</w:t>
      </w:r>
      <w:r w:rsidR="00D136BB">
        <w:rPr>
          <w:lang w:val="es-ES"/>
        </w:rPr>
        <w:t xml:space="preserve"> </w:t>
      </w:r>
      <w:r w:rsidRPr="003618E2">
        <w:rPr>
          <w:lang w:val="es-ES"/>
        </w:rPr>
        <w:t>fuentes</w:t>
      </w:r>
      <w:r w:rsidR="00D136BB">
        <w:rPr>
          <w:lang w:val="es-ES"/>
        </w:rPr>
        <w:t xml:space="preserve"> </w:t>
      </w:r>
      <w:r w:rsidRPr="003618E2">
        <w:rPr>
          <w:lang w:val="es-ES"/>
        </w:rPr>
        <w:t>gamma</w:t>
      </w:r>
      <w:r w:rsidR="00D136BB">
        <w:rPr>
          <w:lang w:val="es-ES"/>
        </w:rPr>
        <w:t xml:space="preserve"> </w:t>
      </w:r>
      <w:r w:rsidRPr="003618E2">
        <w:rPr>
          <w:lang w:val="es-ES"/>
        </w:rPr>
        <w:t>(principalmente</w:t>
      </w:r>
      <w:r w:rsidR="00D136BB">
        <w:rPr>
          <w:lang w:val="es-ES"/>
        </w:rPr>
        <w:t xml:space="preserve"> </w:t>
      </w:r>
      <w:r w:rsidRPr="003618E2">
        <w:rPr>
          <w:lang w:val="es-ES"/>
        </w:rPr>
        <w:t>Co-60),</w:t>
      </w:r>
      <w:r w:rsidR="00D136BB">
        <w:rPr>
          <w:lang w:val="es-ES"/>
        </w:rPr>
        <w:t xml:space="preserve"> </w:t>
      </w:r>
      <w:r w:rsidRPr="003618E2">
        <w:rPr>
          <w:lang w:val="es-ES"/>
        </w:rPr>
        <w:t>haces</w:t>
      </w:r>
      <w:r w:rsidR="00D136BB">
        <w:rPr>
          <w:lang w:val="es-ES"/>
        </w:rPr>
        <w:t xml:space="preserve"> </w:t>
      </w:r>
      <w:r w:rsidRPr="003618E2">
        <w:rPr>
          <w:lang w:val="es-ES"/>
        </w:rPr>
        <w:t>de</w:t>
      </w:r>
      <w:r w:rsidR="00D136BB">
        <w:rPr>
          <w:lang w:val="es-ES"/>
        </w:rPr>
        <w:t xml:space="preserve"> </w:t>
      </w:r>
      <w:r w:rsidRPr="003618E2">
        <w:rPr>
          <w:lang w:val="es-ES"/>
        </w:rPr>
        <w:t>electrones</w:t>
      </w:r>
      <w:r w:rsidR="00D136BB">
        <w:rPr>
          <w:lang w:val="es-ES"/>
        </w:rPr>
        <w:t xml:space="preserve"> </w:t>
      </w:r>
      <w:r w:rsidRPr="003618E2">
        <w:rPr>
          <w:lang w:val="es-ES"/>
        </w:rPr>
        <w:t>o</w:t>
      </w:r>
      <w:r w:rsidR="00D136BB">
        <w:rPr>
          <w:lang w:val="es-ES"/>
        </w:rPr>
        <w:t xml:space="preserve"> </w:t>
      </w:r>
      <w:r w:rsidRPr="003618E2">
        <w:rPr>
          <w:lang w:val="es-ES"/>
        </w:rPr>
        <w:t>rayos</w:t>
      </w:r>
      <w:r w:rsidR="00D136BB">
        <w:rPr>
          <w:lang w:val="es-ES"/>
        </w:rPr>
        <w:t xml:space="preserve"> </w:t>
      </w:r>
      <w:r w:rsidRPr="003618E2">
        <w:rPr>
          <w:lang w:val="es-ES"/>
        </w:rPr>
        <w:t>X,</w:t>
      </w:r>
      <w:r w:rsidR="00D136BB">
        <w:rPr>
          <w:lang w:val="es-ES"/>
        </w:rPr>
        <w:t xml:space="preserve"> </w:t>
      </w:r>
      <w:r w:rsidRPr="003618E2">
        <w:rPr>
          <w:lang w:val="es-ES"/>
        </w:rPr>
        <w:t>para</w:t>
      </w:r>
      <w:r w:rsidR="00D136BB">
        <w:rPr>
          <w:lang w:val="es-ES"/>
        </w:rPr>
        <w:t xml:space="preserve"> </w:t>
      </w:r>
      <w:r w:rsidRPr="003618E2">
        <w:rPr>
          <w:lang w:val="es-ES"/>
        </w:rPr>
        <w:t>inducir</w:t>
      </w:r>
      <w:r w:rsidR="00D136BB">
        <w:rPr>
          <w:lang w:val="es-ES"/>
        </w:rPr>
        <w:t xml:space="preserve"> </w:t>
      </w:r>
      <w:r w:rsidRPr="003618E2">
        <w:rPr>
          <w:lang w:val="es-ES"/>
        </w:rPr>
        <w:t>cambios</w:t>
      </w:r>
      <w:r w:rsidR="00D136BB">
        <w:rPr>
          <w:lang w:val="es-ES"/>
        </w:rPr>
        <w:t xml:space="preserve"> </w:t>
      </w:r>
      <w:r w:rsidRPr="003618E2">
        <w:rPr>
          <w:lang w:val="es-ES"/>
        </w:rPr>
        <w:t>biológicos,</w:t>
      </w:r>
      <w:r w:rsidR="00D136BB">
        <w:rPr>
          <w:lang w:val="es-ES"/>
        </w:rPr>
        <w:t xml:space="preserve"> </w:t>
      </w:r>
      <w:r w:rsidRPr="003618E2">
        <w:rPr>
          <w:lang w:val="es-ES"/>
        </w:rPr>
        <w:t>químicos</w:t>
      </w:r>
      <w:r w:rsidR="00D136BB">
        <w:rPr>
          <w:lang w:val="es-ES"/>
        </w:rPr>
        <w:t xml:space="preserve"> </w:t>
      </w:r>
      <w:r w:rsidRPr="003618E2">
        <w:rPr>
          <w:lang w:val="es-ES"/>
        </w:rPr>
        <w:t>y</w:t>
      </w:r>
      <w:r w:rsidR="00D136BB">
        <w:rPr>
          <w:lang w:val="es-ES"/>
        </w:rPr>
        <w:t xml:space="preserve"> </w:t>
      </w:r>
      <w:r w:rsidRPr="003618E2">
        <w:rPr>
          <w:lang w:val="es-ES"/>
        </w:rPr>
        <w:t>físicos</w:t>
      </w:r>
      <w:r w:rsidR="00D136BB">
        <w:rPr>
          <w:lang w:val="es-ES"/>
        </w:rPr>
        <w:t xml:space="preserve"> </w:t>
      </w:r>
      <w:r w:rsidRPr="003618E2">
        <w:rPr>
          <w:lang w:val="es-ES"/>
        </w:rPr>
        <w:t>en</w:t>
      </w:r>
      <w:r w:rsidR="00D136BB">
        <w:rPr>
          <w:lang w:val="es-ES"/>
        </w:rPr>
        <w:t xml:space="preserve"> </w:t>
      </w:r>
      <w:r w:rsidRPr="003618E2">
        <w:rPr>
          <w:lang w:val="es-ES"/>
        </w:rPr>
        <w:t>los</w:t>
      </w:r>
      <w:r w:rsidR="00D136BB">
        <w:rPr>
          <w:lang w:val="es-ES"/>
        </w:rPr>
        <w:t xml:space="preserve"> </w:t>
      </w:r>
      <w:r w:rsidRPr="003618E2">
        <w:rPr>
          <w:lang w:val="es-ES"/>
        </w:rPr>
        <w:t>materiales.</w:t>
      </w:r>
      <w:r w:rsidR="00D136BB">
        <w:rPr>
          <w:lang w:val="es-ES"/>
        </w:rPr>
        <w:t xml:space="preserve"> </w:t>
      </w:r>
      <w:r w:rsidRPr="003618E2">
        <w:rPr>
          <w:lang w:val="es-ES"/>
        </w:rPr>
        <w:t>Las</w:t>
      </w:r>
      <w:r w:rsidR="00D136BB">
        <w:rPr>
          <w:lang w:val="es-ES"/>
        </w:rPr>
        <w:t xml:space="preserve"> </w:t>
      </w:r>
      <w:r w:rsidRPr="003618E2">
        <w:rPr>
          <w:lang w:val="es-ES"/>
        </w:rPr>
        <w:t>principales</w:t>
      </w:r>
      <w:r w:rsidR="00D136BB">
        <w:rPr>
          <w:lang w:val="es-ES"/>
        </w:rPr>
        <w:t xml:space="preserve"> </w:t>
      </w:r>
      <w:r w:rsidRPr="003618E2">
        <w:rPr>
          <w:lang w:val="es-ES"/>
        </w:rPr>
        <w:t>aplicaciones</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r w:rsidR="00D136BB">
        <w:rPr>
          <w:lang w:val="es-ES"/>
        </w:rPr>
        <w:t xml:space="preserve"> </w:t>
      </w:r>
      <w:r w:rsidRPr="003618E2">
        <w:rPr>
          <w:lang w:val="es-ES"/>
        </w:rPr>
        <w:t>son</w:t>
      </w:r>
      <w:r w:rsidR="00D136BB">
        <w:rPr>
          <w:lang w:val="es-ES"/>
        </w:rPr>
        <w:t xml:space="preserve"> </w:t>
      </w:r>
      <w:r w:rsidRPr="003618E2">
        <w:rPr>
          <w:lang w:val="es-ES"/>
        </w:rPr>
        <w:t>la</w:t>
      </w:r>
      <w:r w:rsidR="00D136BB">
        <w:rPr>
          <w:lang w:val="es-ES"/>
        </w:rPr>
        <w:t xml:space="preserve"> </w:t>
      </w:r>
      <w:r w:rsidRPr="003618E2">
        <w:rPr>
          <w:lang w:val="es-ES"/>
        </w:rPr>
        <w:t>esterilización</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médicos,</w:t>
      </w:r>
      <w:r w:rsidR="00D136BB">
        <w:rPr>
          <w:lang w:val="es-ES"/>
        </w:rPr>
        <w:t xml:space="preserve"> </w:t>
      </w:r>
      <w:r w:rsidRPr="003618E2">
        <w:rPr>
          <w:lang w:val="es-ES"/>
        </w:rPr>
        <w:t>la</w:t>
      </w:r>
      <w:r w:rsidR="00D136BB">
        <w:rPr>
          <w:lang w:val="es-ES"/>
        </w:rPr>
        <w:t xml:space="preserve"> </w:t>
      </w:r>
      <w:r w:rsidRPr="003618E2">
        <w:rPr>
          <w:lang w:val="es-ES"/>
        </w:rPr>
        <w:t>irradiación</w:t>
      </w:r>
      <w:r w:rsidR="00D136BB">
        <w:rPr>
          <w:lang w:val="es-ES"/>
        </w:rPr>
        <w:t xml:space="preserve"> </w:t>
      </w:r>
      <w:r w:rsidRPr="003618E2">
        <w:rPr>
          <w:lang w:val="es-ES"/>
        </w:rPr>
        <w:t>de</w:t>
      </w:r>
      <w:r w:rsidR="00D136BB">
        <w:rPr>
          <w:lang w:val="es-ES"/>
        </w:rPr>
        <w:t xml:space="preserve"> </w:t>
      </w:r>
      <w:r w:rsidRPr="003618E2">
        <w:rPr>
          <w:lang w:val="es-ES"/>
        </w:rPr>
        <w:t>alimentos</w:t>
      </w:r>
      <w:r w:rsidR="00D136BB">
        <w:rPr>
          <w:lang w:val="es-ES"/>
        </w:rPr>
        <w:t xml:space="preserve"> </w:t>
      </w:r>
      <w:r w:rsidRPr="003618E2">
        <w:rPr>
          <w:lang w:val="es-ES"/>
        </w:rPr>
        <w:t>y</w:t>
      </w:r>
      <w:r w:rsidR="00D136BB">
        <w:rPr>
          <w:lang w:val="es-ES"/>
        </w:rPr>
        <w:t xml:space="preserve"> </w:t>
      </w:r>
      <w:r w:rsidRPr="003618E2">
        <w:rPr>
          <w:lang w:val="es-ES"/>
        </w:rPr>
        <w:t>productos</w:t>
      </w:r>
      <w:r w:rsidR="00D136BB">
        <w:rPr>
          <w:lang w:val="es-ES"/>
        </w:rPr>
        <w:t xml:space="preserve"> </w:t>
      </w:r>
      <w:r w:rsidRPr="003618E2">
        <w:rPr>
          <w:lang w:val="es-ES"/>
        </w:rPr>
        <w:t>agrícolas,</w:t>
      </w:r>
      <w:r w:rsidR="00D136BB">
        <w:rPr>
          <w:lang w:val="es-ES"/>
        </w:rPr>
        <w:t xml:space="preserve"> </w:t>
      </w:r>
      <w:r w:rsidRPr="003618E2">
        <w:rPr>
          <w:lang w:val="es-ES"/>
        </w:rPr>
        <w:t>la</w:t>
      </w:r>
      <w:r w:rsidR="00D136BB">
        <w:rPr>
          <w:lang w:val="es-ES"/>
        </w:rPr>
        <w:t xml:space="preserve"> </w:t>
      </w:r>
      <w:r w:rsidRPr="003618E2">
        <w:rPr>
          <w:lang w:val="es-ES"/>
        </w:rPr>
        <w:t>irradiación</w:t>
      </w:r>
      <w:r w:rsidR="00D136BB">
        <w:rPr>
          <w:lang w:val="es-ES"/>
        </w:rPr>
        <w:t xml:space="preserve"> </w:t>
      </w:r>
      <w:r w:rsidRPr="003618E2">
        <w:rPr>
          <w:lang w:val="es-ES"/>
        </w:rPr>
        <w:t>de</w:t>
      </w:r>
      <w:r w:rsidR="00D136BB">
        <w:rPr>
          <w:lang w:val="es-ES"/>
        </w:rPr>
        <w:t xml:space="preserve"> </w:t>
      </w:r>
      <w:r w:rsidRPr="003618E2">
        <w:rPr>
          <w:lang w:val="es-ES"/>
        </w:rPr>
        <w:t>sangre</w:t>
      </w:r>
      <w:r w:rsidR="00D136BB">
        <w:rPr>
          <w:lang w:val="es-ES"/>
        </w:rPr>
        <w:t xml:space="preserve"> </w:t>
      </w:r>
      <w:r w:rsidRPr="003618E2">
        <w:rPr>
          <w:lang w:val="es-ES"/>
        </w:rPr>
        <w:t>para</w:t>
      </w:r>
      <w:r w:rsidR="00D136BB">
        <w:rPr>
          <w:lang w:val="es-ES"/>
        </w:rPr>
        <w:t xml:space="preserve"> </w:t>
      </w:r>
      <w:r w:rsidRPr="003618E2">
        <w:rPr>
          <w:lang w:val="es-ES"/>
        </w:rPr>
        <w:t>prevenir</w:t>
      </w:r>
      <w:r w:rsidR="00D136BB">
        <w:rPr>
          <w:lang w:val="es-ES"/>
        </w:rPr>
        <w:t xml:space="preserve"> </w:t>
      </w:r>
      <w:r w:rsidRPr="003618E2">
        <w:rPr>
          <w:lang w:val="es-ES"/>
        </w:rPr>
        <w:t>la</w:t>
      </w:r>
      <w:r w:rsidR="00D136BB">
        <w:rPr>
          <w:lang w:val="es-ES"/>
        </w:rPr>
        <w:t xml:space="preserve"> </w:t>
      </w:r>
      <w:r w:rsidRPr="003618E2">
        <w:rPr>
          <w:lang w:val="es-ES"/>
        </w:rPr>
        <w:t>enfermedad</w:t>
      </w:r>
      <w:r w:rsidR="00D136BB">
        <w:rPr>
          <w:lang w:val="es-ES"/>
        </w:rPr>
        <w:t xml:space="preserve"> </w:t>
      </w:r>
      <w:r w:rsidRPr="003618E2">
        <w:rPr>
          <w:lang w:val="es-ES"/>
        </w:rPr>
        <w:t>donador</w:t>
      </w:r>
      <w:r w:rsidR="00D136BB">
        <w:rPr>
          <w:lang w:val="es-ES"/>
        </w:rPr>
        <w:t xml:space="preserve"> </w:t>
      </w:r>
      <w:r w:rsidRPr="003618E2">
        <w:rPr>
          <w:lang w:val="es-ES"/>
        </w:rPr>
        <w:t>contra</w:t>
      </w:r>
      <w:r w:rsidR="00D136BB">
        <w:rPr>
          <w:lang w:val="es-ES"/>
        </w:rPr>
        <w:t xml:space="preserve"> </w:t>
      </w:r>
      <w:r w:rsidRPr="003618E2">
        <w:rPr>
          <w:lang w:val="es-ES"/>
        </w:rPr>
        <w:t>receptor,</w:t>
      </w:r>
      <w:r w:rsidR="00D136BB">
        <w:rPr>
          <w:lang w:val="es-ES"/>
        </w:rPr>
        <w:t xml:space="preserve"> </w:t>
      </w:r>
      <w:r w:rsidRPr="003618E2">
        <w:rPr>
          <w:lang w:val="es-ES"/>
        </w:rPr>
        <w:t>la</w:t>
      </w:r>
      <w:r w:rsidR="00D136BB">
        <w:rPr>
          <w:lang w:val="es-ES"/>
        </w:rPr>
        <w:t xml:space="preserve"> </w:t>
      </w:r>
      <w:r w:rsidRPr="003618E2">
        <w:rPr>
          <w:lang w:val="es-ES"/>
        </w:rPr>
        <w:t>descontaminación</w:t>
      </w:r>
      <w:r w:rsidR="00D136BB">
        <w:rPr>
          <w:lang w:val="es-ES"/>
        </w:rPr>
        <w:t xml:space="preserve"> </w:t>
      </w:r>
      <w:r w:rsidRPr="003618E2">
        <w:rPr>
          <w:lang w:val="es-ES"/>
        </w:rPr>
        <w:t>de</w:t>
      </w:r>
      <w:r w:rsidR="00D136BB">
        <w:rPr>
          <w:lang w:val="es-ES"/>
        </w:rPr>
        <w:t xml:space="preserve"> </w:t>
      </w:r>
      <w:r w:rsidRPr="003618E2">
        <w:rPr>
          <w:lang w:val="es-ES"/>
        </w:rPr>
        <w:t>suelos,</w:t>
      </w:r>
      <w:r w:rsidR="00D136BB">
        <w:rPr>
          <w:lang w:val="es-ES"/>
        </w:rPr>
        <w:t xml:space="preserve"> </w:t>
      </w:r>
      <w:r w:rsidRPr="003618E2">
        <w:rPr>
          <w:lang w:val="es-ES"/>
        </w:rPr>
        <w:t>modificación</w:t>
      </w:r>
      <w:r w:rsidR="00D136BB">
        <w:rPr>
          <w:lang w:val="es-ES"/>
        </w:rPr>
        <w:t xml:space="preserve"> </w:t>
      </w:r>
      <w:r w:rsidRPr="003618E2">
        <w:rPr>
          <w:lang w:val="es-ES"/>
        </w:rPr>
        <w:t>de</w:t>
      </w:r>
      <w:r w:rsidR="00D136BB">
        <w:rPr>
          <w:lang w:val="es-ES"/>
        </w:rPr>
        <w:t xml:space="preserve"> </w:t>
      </w:r>
      <w:r w:rsidRPr="003618E2">
        <w:rPr>
          <w:lang w:val="es-ES"/>
        </w:rPr>
        <w:t>polímeros</w:t>
      </w:r>
      <w:r w:rsidR="00D136BB">
        <w:rPr>
          <w:lang w:val="es-ES"/>
        </w:rPr>
        <w:t xml:space="preserve"> </w:t>
      </w:r>
      <w:r w:rsidRPr="003618E2">
        <w:rPr>
          <w:lang w:val="es-ES"/>
        </w:rPr>
        <w:t>industriales</w:t>
      </w:r>
      <w:r w:rsidR="00D136BB">
        <w:rPr>
          <w:lang w:val="es-ES"/>
        </w:rPr>
        <w:t xml:space="preserve"> </w:t>
      </w:r>
      <w:r w:rsidRPr="003618E2">
        <w:rPr>
          <w:lang w:val="es-ES"/>
        </w:rPr>
        <w:t>(cables,</w:t>
      </w:r>
      <w:r w:rsidR="00D136BB">
        <w:rPr>
          <w:lang w:val="es-ES"/>
        </w:rPr>
        <w:t xml:space="preserve"> </w:t>
      </w:r>
      <w:r w:rsidRPr="003618E2">
        <w:rPr>
          <w:lang w:val="es-ES"/>
        </w:rPr>
        <w:t>neumáticos,</w:t>
      </w:r>
      <w:r w:rsidR="00D136BB">
        <w:rPr>
          <w:lang w:val="es-ES"/>
        </w:rPr>
        <w:t xml:space="preserve"> </w:t>
      </w:r>
      <w:r w:rsidRPr="003618E2">
        <w:rPr>
          <w:lang w:val="es-ES"/>
        </w:rPr>
        <w:t>semiconductores,</w:t>
      </w:r>
      <w:r w:rsidR="00D136BB">
        <w:rPr>
          <w:lang w:val="es-ES"/>
        </w:rPr>
        <w:t xml:space="preserve"> </w:t>
      </w:r>
      <w:r w:rsidRPr="003618E2">
        <w:rPr>
          <w:lang w:val="es-ES"/>
        </w:rPr>
        <w:t>espumas,</w:t>
      </w:r>
      <w:r w:rsidR="00D136BB">
        <w:rPr>
          <w:lang w:val="es-ES"/>
        </w:rPr>
        <w:t xml:space="preserve"> </w:t>
      </w:r>
      <w:r w:rsidRPr="003618E2">
        <w:rPr>
          <w:lang w:val="es-ES"/>
        </w:rPr>
        <w:t>cintas,</w:t>
      </w:r>
      <w:r w:rsidR="00D136BB">
        <w:rPr>
          <w:lang w:val="es-ES"/>
        </w:rPr>
        <w:t xml:space="preserve"> </w:t>
      </w:r>
      <w:r w:rsidRPr="003618E2">
        <w:rPr>
          <w:lang w:val="es-ES"/>
        </w:rPr>
        <w:t>tubos,</w:t>
      </w:r>
      <w:r w:rsidR="00D136BB">
        <w:rPr>
          <w:lang w:val="es-ES"/>
        </w:rPr>
        <w:t xml:space="preserve"> </w:t>
      </w:r>
      <w:r w:rsidRPr="003618E2">
        <w:rPr>
          <w:lang w:val="es-ES"/>
        </w:rPr>
        <w:t>etc.),</w:t>
      </w:r>
      <w:r w:rsidR="00D136BB">
        <w:rPr>
          <w:lang w:val="es-ES"/>
        </w:rPr>
        <w:t xml:space="preserve"> </w:t>
      </w:r>
      <w:r w:rsidRPr="003618E2">
        <w:rPr>
          <w:lang w:val="es-ES"/>
        </w:rPr>
        <w:t>coloración</w:t>
      </w:r>
      <w:r w:rsidR="00D136BB">
        <w:rPr>
          <w:lang w:val="es-ES"/>
        </w:rPr>
        <w:t xml:space="preserve"> </w:t>
      </w:r>
      <w:r w:rsidRPr="003618E2">
        <w:rPr>
          <w:lang w:val="es-ES"/>
        </w:rPr>
        <w:t>de</w:t>
      </w:r>
      <w:r w:rsidR="00D136BB">
        <w:rPr>
          <w:lang w:val="es-ES"/>
        </w:rPr>
        <w:t xml:space="preserve"> </w:t>
      </w:r>
      <w:r w:rsidRPr="003618E2">
        <w:rPr>
          <w:lang w:val="es-ES"/>
        </w:rPr>
        <w:t>piedras</w:t>
      </w:r>
      <w:r w:rsidR="00D136BB">
        <w:rPr>
          <w:lang w:val="es-ES"/>
        </w:rPr>
        <w:t xml:space="preserve"> </w:t>
      </w:r>
      <w:r w:rsidRPr="003618E2">
        <w:rPr>
          <w:lang w:val="es-ES"/>
        </w:rPr>
        <w:t>preciosas,</w:t>
      </w:r>
      <w:r w:rsidR="00D136BB">
        <w:rPr>
          <w:lang w:val="es-ES"/>
        </w:rPr>
        <w:t xml:space="preserve"> </w:t>
      </w:r>
      <w:r w:rsidRPr="003618E2">
        <w:rPr>
          <w:lang w:val="es-ES"/>
        </w:rPr>
        <w:t>desinfección</w:t>
      </w:r>
      <w:r w:rsidR="00D136BB">
        <w:rPr>
          <w:lang w:val="es-ES"/>
        </w:rPr>
        <w:t xml:space="preserve"> </w:t>
      </w:r>
      <w:r w:rsidRPr="003618E2">
        <w:rPr>
          <w:lang w:val="es-ES"/>
        </w:rPr>
        <w:t>y</w:t>
      </w:r>
      <w:r w:rsidR="00D136BB">
        <w:rPr>
          <w:lang w:val="es-ES"/>
        </w:rPr>
        <w:t xml:space="preserve"> </w:t>
      </w:r>
      <w:r w:rsidRPr="003618E2">
        <w:rPr>
          <w:lang w:val="es-ES"/>
        </w:rPr>
        <w:t>desinfestación</w:t>
      </w:r>
      <w:r w:rsidR="00D136BB">
        <w:rPr>
          <w:lang w:val="es-ES"/>
        </w:rPr>
        <w:t xml:space="preserve"> </w:t>
      </w:r>
      <w:r w:rsidRPr="003618E2">
        <w:rPr>
          <w:lang w:val="es-ES"/>
        </w:rPr>
        <w:t>de</w:t>
      </w:r>
      <w:r w:rsidR="00D136BB">
        <w:rPr>
          <w:lang w:val="es-ES"/>
        </w:rPr>
        <w:t xml:space="preserve"> </w:t>
      </w:r>
      <w:r w:rsidRPr="003618E2">
        <w:rPr>
          <w:lang w:val="es-ES"/>
        </w:rPr>
        <w:t>objetos</w:t>
      </w:r>
      <w:r w:rsidR="00D136BB">
        <w:rPr>
          <w:lang w:val="es-ES"/>
        </w:rPr>
        <w:t xml:space="preserve"> </w:t>
      </w:r>
      <w:r w:rsidRPr="003618E2">
        <w:rPr>
          <w:lang w:val="es-ES"/>
        </w:rPr>
        <w:t>de</w:t>
      </w:r>
      <w:r w:rsidR="00D136BB">
        <w:rPr>
          <w:lang w:val="es-ES"/>
        </w:rPr>
        <w:t xml:space="preserve"> </w:t>
      </w:r>
      <w:r w:rsidRPr="003618E2">
        <w:rPr>
          <w:lang w:val="es-ES"/>
        </w:rPr>
        <w:t>patrimonio</w:t>
      </w:r>
      <w:r w:rsidR="00D136BB">
        <w:rPr>
          <w:lang w:val="es-ES"/>
        </w:rPr>
        <w:t xml:space="preserve"> </w:t>
      </w:r>
      <w:r w:rsidRPr="003618E2">
        <w:rPr>
          <w:lang w:val="es-ES"/>
        </w:rPr>
        <w:t>cultural,</w:t>
      </w:r>
      <w:r w:rsidR="00D136BB">
        <w:rPr>
          <w:lang w:val="es-ES"/>
        </w:rPr>
        <w:t xml:space="preserve"> </w:t>
      </w:r>
      <w:r w:rsidRPr="003618E2">
        <w:rPr>
          <w:lang w:val="es-ES"/>
        </w:rPr>
        <w:t>archivos</w:t>
      </w:r>
      <w:r w:rsidR="00D136BB">
        <w:rPr>
          <w:lang w:val="es-ES"/>
        </w:rPr>
        <w:t xml:space="preserve"> </w:t>
      </w:r>
      <w:r w:rsidRPr="003618E2">
        <w:rPr>
          <w:lang w:val="es-ES"/>
        </w:rPr>
        <w:t>y</w:t>
      </w:r>
      <w:r w:rsidR="00D136BB">
        <w:rPr>
          <w:lang w:val="es-ES"/>
        </w:rPr>
        <w:t xml:space="preserve"> </w:t>
      </w:r>
      <w:r w:rsidRPr="003618E2">
        <w:rPr>
          <w:lang w:val="es-ES"/>
        </w:rPr>
        <w:t>libros,</w:t>
      </w:r>
      <w:r w:rsidR="00D136BB">
        <w:rPr>
          <w:lang w:val="es-ES"/>
        </w:rPr>
        <w:t xml:space="preserve"> </w:t>
      </w:r>
      <w:r w:rsidRPr="003618E2">
        <w:rPr>
          <w:lang w:val="es-ES"/>
        </w:rPr>
        <w:t>consolidación</w:t>
      </w:r>
      <w:r w:rsidR="00D136BB">
        <w:rPr>
          <w:lang w:val="es-ES"/>
        </w:rPr>
        <w:t xml:space="preserve"> </w:t>
      </w:r>
      <w:r w:rsidRPr="003618E2">
        <w:rPr>
          <w:lang w:val="es-ES"/>
        </w:rPr>
        <w:t>de</w:t>
      </w:r>
      <w:r w:rsidR="00D136BB">
        <w:rPr>
          <w:lang w:val="es-ES"/>
        </w:rPr>
        <w:t xml:space="preserve"> </w:t>
      </w:r>
      <w:r w:rsidRPr="003618E2">
        <w:rPr>
          <w:lang w:val="es-ES"/>
        </w:rPr>
        <w:t>objetos</w:t>
      </w:r>
      <w:r w:rsidR="00D136BB">
        <w:rPr>
          <w:lang w:val="es-ES"/>
        </w:rPr>
        <w:t xml:space="preserve"> </w:t>
      </w:r>
      <w:r w:rsidRPr="003618E2">
        <w:rPr>
          <w:lang w:val="es-ES"/>
        </w:rPr>
        <w:t>de</w:t>
      </w:r>
      <w:r w:rsidR="00D136BB">
        <w:rPr>
          <w:lang w:val="es-ES"/>
        </w:rPr>
        <w:t xml:space="preserve"> </w:t>
      </w:r>
      <w:r w:rsidRPr="003618E2">
        <w:rPr>
          <w:lang w:val="es-ES"/>
        </w:rPr>
        <w:t>valor</w:t>
      </w:r>
      <w:r w:rsidR="00D136BB">
        <w:rPr>
          <w:lang w:val="es-ES"/>
        </w:rPr>
        <w:t xml:space="preserve"> </w:t>
      </w:r>
      <w:r w:rsidRPr="003618E2">
        <w:rPr>
          <w:lang w:val="es-ES"/>
        </w:rPr>
        <w:t>cultural</w:t>
      </w:r>
      <w:r w:rsidR="00D136BB">
        <w:rPr>
          <w:lang w:val="es-ES"/>
        </w:rPr>
        <w:t xml:space="preserve"> </w:t>
      </w:r>
      <w:r w:rsidRPr="003618E2">
        <w:rPr>
          <w:lang w:val="es-ES"/>
        </w:rPr>
        <w:t>y</w:t>
      </w:r>
      <w:r w:rsidR="00D136BB">
        <w:rPr>
          <w:lang w:val="es-ES"/>
        </w:rPr>
        <w:t xml:space="preserve"> </w:t>
      </w:r>
      <w:r w:rsidRPr="003618E2">
        <w:rPr>
          <w:lang w:val="es-ES"/>
        </w:rPr>
        <w:t>preservación</w:t>
      </w:r>
      <w:r w:rsidR="00D136BB">
        <w:rPr>
          <w:lang w:val="es-ES"/>
        </w:rPr>
        <w:t xml:space="preserve"> </w:t>
      </w:r>
      <w:r w:rsidRPr="003618E2">
        <w:rPr>
          <w:lang w:val="es-ES"/>
        </w:rPr>
        <w:t>del</w:t>
      </w:r>
      <w:r w:rsidR="00D136BB">
        <w:rPr>
          <w:lang w:val="es-ES"/>
        </w:rPr>
        <w:t xml:space="preserve"> </w:t>
      </w:r>
      <w:r w:rsidRPr="003618E2">
        <w:rPr>
          <w:lang w:val="es-ES"/>
        </w:rPr>
        <w:t>medio</w:t>
      </w:r>
      <w:r w:rsidR="00D136BB">
        <w:rPr>
          <w:lang w:val="es-ES"/>
        </w:rPr>
        <w:t xml:space="preserve"> </w:t>
      </w:r>
      <w:r w:rsidRPr="003618E2">
        <w:rPr>
          <w:lang w:val="es-ES"/>
        </w:rPr>
        <w:t>ambiente</w:t>
      </w:r>
      <w:r w:rsidR="00D136BB">
        <w:rPr>
          <w:lang w:val="es-ES"/>
        </w:rPr>
        <w:t xml:space="preserve"> </w:t>
      </w: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aguas</w:t>
      </w:r>
      <w:r w:rsidR="00D136BB">
        <w:rPr>
          <w:lang w:val="es-ES"/>
        </w:rPr>
        <w:t xml:space="preserve"> </w:t>
      </w:r>
      <w:r w:rsidRPr="003618E2">
        <w:rPr>
          <w:lang w:val="es-ES"/>
        </w:rPr>
        <w:t>residuales</w:t>
      </w:r>
      <w:r w:rsidR="00D136BB">
        <w:rPr>
          <w:lang w:val="es-ES"/>
        </w:rPr>
        <w:t xml:space="preserve"> </w:t>
      </w:r>
      <w:r w:rsidRPr="003618E2">
        <w:rPr>
          <w:lang w:val="es-ES"/>
        </w:rPr>
        <w:t>industriales,</w:t>
      </w:r>
      <w:r w:rsidR="00D136BB">
        <w:rPr>
          <w:lang w:val="es-ES"/>
        </w:rPr>
        <w:t xml:space="preserve"> </w:t>
      </w:r>
      <w:r w:rsidRPr="003618E2">
        <w:rPr>
          <w:lang w:val="es-ES"/>
        </w:rPr>
        <w:t>gases</w:t>
      </w:r>
      <w:r w:rsidR="00D136BB">
        <w:rPr>
          <w:lang w:val="es-ES"/>
        </w:rPr>
        <w:t xml:space="preserve"> </w:t>
      </w:r>
      <w:r w:rsidRPr="003618E2">
        <w:rPr>
          <w:lang w:val="es-ES"/>
        </w:rPr>
        <w:t>de</w:t>
      </w:r>
      <w:r w:rsidR="00D136BB">
        <w:rPr>
          <w:lang w:val="es-ES"/>
        </w:rPr>
        <w:t xml:space="preserve"> </w:t>
      </w:r>
      <w:r w:rsidRPr="003618E2">
        <w:rPr>
          <w:lang w:val="es-ES"/>
        </w:rPr>
        <w:t>combustión</w:t>
      </w:r>
      <w:r w:rsidR="00D136BB">
        <w:rPr>
          <w:lang w:val="es-ES"/>
        </w:rPr>
        <w:t xml:space="preserve"> </w:t>
      </w:r>
      <w:r w:rsidRPr="003618E2">
        <w:rPr>
          <w:lang w:val="es-ES"/>
        </w:rPr>
        <w:t>y</w:t>
      </w:r>
      <w:r w:rsidR="00D136BB">
        <w:rPr>
          <w:lang w:val="es-ES"/>
        </w:rPr>
        <w:t xml:space="preserve"> </w:t>
      </w:r>
      <w:r w:rsidRPr="003618E2">
        <w:rPr>
          <w:lang w:val="es-ES"/>
        </w:rPr>
        <w:t>lodos)</w:t>
      </w:r>
      <w:r w:rsidR="00D136BB">
        <w:rPr>
          <w:lang w:val="es-ES"/>
        </w:rPr>
        <w:t xml:space="preserve"> </w:t>
      </w:r>
      <w:r w:rsidRPr="003618E2">
        <w:rPr>
          <w:lang w:val="es-ES"/>
        </w:rPr>
        <w:t>.</w:t>
      </w:r>
    </w:p>
    <w:p w14:paraId="17478037" w14:textId="0913BF1E" w:rsidR="006D362C" w:rsidRPr="003618E2" w:rsidRDefault="006D362C" w:rsidP="006D362C">
      <w:pPr>
        <w:pStyle w:val="BodyText"/>
        <w:rPr>
          <w:lang w:val="es-ES"/>
        </w:rPr>
      </w:pPr>
      <w:r w:rsidRPr="003618E2">
        <w:rPr>
          <w:lang w:val="es-ES"/>
        </w:rPr>
        <w:t>Los</w:t>
      </w:r>
      <w:r w:rsidR="00D136BB">
        <w:rPr>
          <w:lang w:val="es-ES"/>
        </w:rPr>
        <w:t xml:space="preserve"> </w:t>
      </w:r>
      <w:r w:rsidRPr="003618E2">
        <w:rPr>
          <w:lang w:val="es-ES"/>
        </w:rPr>
        <w:t>radiotrazadores</w:t>
      </w:r>
      <w:r w:rsidR="00D136BB">
        <w:rPr>
          <w:lang w:val="es-ES"/>
        </w:rPr>
        <w:t xml:space="preserve"> </w:t>
      </w:r>
      <w:r w:rsidRPr="003618E2">
        <w:rPr>
          <w:lang w:val="es-ES"/>
        </w:rPr>
        <w:t>(T),</w:t>
      </w:r>
      <w:r w:rsidR="00D136BB">
        <w:rPr>
          <w:lang w:val="es-ES"/>
        </w:rPr>
        <w:t xml:space="preserve"> </w:t>
      </w:r>
      <w:r w:rsidRPr="003618E2">
        <w:rPr>
          <w:lang w:val="es-ES"/>
        </w:rPr>
        <w:t>con</w:t>
      </w:r>
      <w:r w:rsidR="00D136BB">
        <w:rPr>
          <w:lang w:val="es-ES"/>
        </w:rPr>
        <w:t xml:space="preserve"> </w:t>
      </w:r>
      <w:r w:rsidRPr="003618E2">
        <w:rPr>
          <w:lang w:val="es-ES"/>
        </w:rPr>
        <w:t>vida</w:t>
      </w:r>
      <w:r w:rsidR="00D136BB">
        <w:rPr>
          <w:lang w:val="es-ES"/>
        </w:rPr>
        <w:t xml:space="preserve"> </w:t>
      </w:r>
      <w:r w:rsidRPr="003618E2">
        <w:rPr>
          <w:lang w:val="es-ES"/>
        </w:rPr>
        <w:t>media</w:t>
      </w:r>
      <w:r w:rsidR="00D136BB">
        <w:rPr>
          <w:lang w:val="es-ES"/>
        </w:rPr>
        <w:t xml:space="preserve"> </w:t>
      </w:r>
      <w:r w:rsidRPr="003618E2">
        <w:rPr>
          <w:lang w:val="es-ES"/>
        </w:rPr>
        <w:t>corta</w:t>
      </w:r>
      <w:r w:rsidR="00D136BB">
        <w:rPr>
          <w:lang w:val="es-ES"/>
        </w:rPr>
        <w:t xml:space="preserve"> </w:t>
      </w:r>
      <w:r w:rsidRPr="003618E2">
        <w:rPr>
          <w:lang w:val="es-ES"/>
        </w:rPr>
        <w:t>como:</w:t>
      </w:r>
      <w:r w:rsidR="00D136BB">
        <w:rPr>
          <w:lang w:val="es-ES"/>
        </w:rPr>
        <w:t xml:space="preserve"> </w:t>
      </w:r>
      <w:r w:rsidRPr="003618E2">
        <w:rPr>
          <w:lang w:val="es-ES"/>
        </w:rPr>
        <w:t>Na-22,</w:t>
      </w:r>
      <w:r w:rsidR="00D136BB">
        <w:rPr>
          <w:lang w:val="es-ES"/>
        </w:rPr>
        <w:t xml:space="preserve"> </w:t>
      </w:r>
      <w:r w:rsidRPr="003618E2">
        <w:rPr>
          <w:lang w:val="es-ES"/>
        </w:rPr>
        <w:t>Tc-99m,</w:t>
      </w:r>
      <w:r w:rsidR="00D136BB">
        <w:rPr>
          <w:lang w:val="es-ES"/>
        </w:rPr>
        <w:t xml:space="preserve"> </w:t>
      </w:r>
      <w:r w:rsidRPr="003618E2">
        <w:rPr>
          <w:lang w:val="es-ES"/>
        </w:rPr>
        <w:t>I-131,</w:t>
      </w:r>
      <w:r w:rsidR="00D136BB">
        <w:rPr>
          <w:lang w:val="es-ES"/>
        </w:rPr>
        <w:t xml:space="preserve"> </w:t>
      </w:r>
      <w:r w:rsidRPr="003618E2">
        <w:rPr>
          <w:lang w:val="es-ES"/>
        </w:rPr>
        <w:t>Br-82,</w:t>
      </w:r>
      <w:r w:rsidR="00D136BB">
        <w:rPr>
          <w:lang w:val="es-ES"/>
        </w:rPr>
        <w:t xml:space="preserve"> </w:t>
      </w:r>
      <w:r w:rsidRPr="003618E2">
        <w:rPr>
          <w:lang w:val="es-ES"/>
        </w:rPr>
        <w:t>La-140,</w:t>
      </w:r>
      <w:r w:rsidR="00D136BB">
        <w:rPr>
          <w:lang w:val="es-ES"/>
        </w:rPr>
        <w:t xml:space="preserve"> </w:t>
      </w:r>
      <w:r w:rsidRPr="003618E2">
        <w:rPr>
          <w:lang w:val="es-ES"/>
        </w:rPr>
        <w:t>etc.,</w:t>
      </w:r>
      <w:r w:rsidR="00D136BB">
        <w:rPr>
          <w:lang w:val="es-ES"/>
        </w:rPr>
        <w:t xml:space="preserve"> </w:t>
      </w:r>
      <w:r w:rsidRPr="003618E2">
        <w:rPr>
          <w:lang w:val="es-ES"/>
        </w:rPr>
        <w:t>se</w:t>
      </w:r>
      <w:r w:rsidR="00D136BB">
        <w:rPr>
          <w:lang w:val="es-ES"/>
        </w:rPr>
        <w:t xml:space="preserve"> </w:t>
      </w:r>
      <w:r w:rsidRPr="003618E2">
        <w:rPr>
          <w:lang w:val="es-ES"/>
        </w:rPr>
        <w:t>utilizan</w:t>
      </w:r>
      <w:r w:rsidR="00D136BB">
        <w:rPr>
          <w:lang w:val="es-ES"/>
        </w:rPr>
        <w:t xml:space="preserve"> </w:t>
      </w:r>
      <w:r w:rsidRPr="003618E2">
        <w:rPr>
          <w:lang w:val="es-ES"/>
        </w:rPr>
        <w:t>para</w:t>
      </w:r>
      <w:r w:rsidR="00D136BB">
        <w:rPr>
          <w:lang w:val="es-ES"/>
        </w:rPr>
        <w:t xml:space="preserve"> </w:t>
      </w:r>
      <w:r w:rsidRPr="003618E2">
        <w:rPr>
          <w:lang w:val="es-ES"/>
        </w:rPr>
        <w:t>diagnosticar</w:t>
      </w:r>
      <w:r w:rsidR="00D136BB">
        <w:rPr>
          <w:lang w:val="es-ES"/>
        </w:rPr>
        <w:t xml:space="preserve"> </w:t>
      </w:r>
      <w:r w:rsidRPr="003618E2">
        <w:rPr>
          <w:lang w:val="es-ES"/>
        </w:rPr>
        <w:t>procesos</w:t>
      </w:r>
      <w:r w:rsidR="00D136BB">
        <w:rPr>
          <w:lang w:val="es-ES"/>
        </w:rPr>
        <w:t xml:space="preserve"> </w:t>
      </w:r>
      <w:r w:rsidRPr="003618E2">
        <w:rPr>
          <w:lang w:val="es-ES"/>
        </w:rPr>
        <w:t>industriales</w:t>
      </w:r>
      <w:r w:rsidR="00D136BB">
        <w:rPr>
          <w:lang w:val="es-ES"/>
        </w:rPr>
        <w:t xml:space="preserve"> </w:t>
      </w:r>
      <w:r w:rsidRPr="003618E2">
        <w:rPr>
          <w:lang w:val="es-ES"/>
        </w:rPr>
        <w:t>como</w:t>
      </w:r>
      <w:r w:rsidR="00D136BB">
        <w:rPr>
          <w:lang w:val="es-ES"/>
        </w:rPr>
        <w:t xml:space="preserve"> </w:t>
      </w:r>
      <w:r w:rsidRPr="003618E2">
        <w:rPr>
          <w:lang w:val="es-ES"/>
        </w:rPr>
        <w:t>eficiencia,</w:t>
      </w:r>
      <w:r w:rsidR="00D136BB">
        <w:rPr>
          <w:lang w:val="es-ES"/>
        </w:rPr>
        <w:t xml:space="preserve"> </w:t>
      </w:r>
      <w:r w:rsidRPr="003618E2">
        <w:rPr>
          <w:lang w:val="es-ES"/>
        </w:rPr>
        <w:t>desperfectos,</w:t>
      </w:r>
      <w:r w:rsidR="00D136BB">
        <w:rPr>
          <w:lang w:val="es-ES"/>
        </w:rPr>
        <w:t xml:space="preserve"> </w:t>
      </w:r>
      <w:r w:rsidRPr="003618E2">
        <w:rPr>
          <w:lang w:val="es-ES"/>
        </w:rPr>
        <w:t>fugas</w:t>
      </w:r>
      <w:r w:rsidR="00D136BB">
        <w:rPr>
          <w:lang w:val="es-ES"/>
        </w:rPr>
        <w:t xml:space="preserve"> </w:t>
      </w:r>
      <w:r w:rsidRPr="003618E2">
        <w:rPr>
          <w:lang w:val="es-ES"/>
        </w:rPr>
        <w:t>subterráneas,</w:t>
      </w:r>
      <w:r w:rsidR="00D136BB">
        <w:rPr>
          <w:lang w:val="es-ES"/>
        </w:rPr>
        <w:t xml:space="preserve"> </w:t>
      </w:r>
      <w:r w:rsidRPr="003618E2">
        <w:rPr>
          <w:lang w:val="es-ES"/>
        </w:rPr>
        <w:t>distribución</w:t>
      </w:r>
      <w:r w:rsidR="00D136BB">
        <w:rPr>
          <w:lang w:val="es-ES"/>
        </w:rPr>
        <w:t xml:space="preserve"> </w:t>
      </w:r>
      <w:r w:rsidRPr="003618E2">
        <w:rPr>
          <w:lang w:val="es-ES"/>
        </w:rPr>
        <w:t>del</w:t>
      </w:r>
      <w:r w:rsidR="00D136BB">
        <w:rPr>
          <w:lang w:val="es-ES"/>
        </w:rPr>
        <w:t xml:space="preserve"> </w:t>
      </w:r>
      <w:r w:rsidRPr="003618E2">
        <w:rPr>
          <w:lang w:val="es-ES"/>
        </w:rPr>
        <w:t>tiempo</w:t>
      </w:r>
      <w:r w:rsidR="00D136BB">
        <w:rPr>
          <w:lang w:val="es-ES"/>
        </w:rPr>
        <w:t xml:space="preserve"> </w:t>
      </w:r>
      <w:r w:rsidRPr="003618E2">
        <w:rPr>
          <w:lang w:val="es-ES"/>
        </w:rPr>
        <w:t>de</w:t>
      </w:r>
      <w:r w:rsidR="00D136BB">
        <w:rPr>
          <w:lang w:val="es-ES"/>
        </w:rPr>
        <w:t xml:space="preserve"> </w:t>
      </w:r>
      <w:r w:rsidRPr="003618E2">
        <w:rPr>
          <w:lang w:val="es-ES"/>
        </w:rPr>
        <w:t>residencia,</w:t>
      </w:r>
      <w:r w:rsidR="00D136BB">
        <w:rPr>
          <w:lang w:val="es-ES"/>
        </w:rPr>
        <w:t xml:space="preserve"> </w:t>
      </w:r>
      <w:r w:rsidRPr="003618E2">
        <w:rPr>
          <w:lang w:val="es-ES"/>
        </w:rPr>
        <w:t>patrones</w:t>
      </w:r>
      <w:r w:rsidR="00D136BB">
        <w:rPr>
          <w:lang w:val="es-ES"/>
        </w:rPr>
        <w:t xml:space="preserve"> </w:t>
      </w:r>
      <w:r w:rsidRPr="003618E2">
        <w:rPr>
          <w:lang w:val="es-ES"/>
        </w:rPr>
        <w:t>de</w:t>
      </w:r>
      <w:r w:rsidR="00D136BB">
        <w:rPr>
          <w:lang w:val="es-ES"/>
        </w:rPr>
        <w:t xml:space="preserve"> </w:t>
      </w:r>
      <w:r w:rsidRPr="003618E2">
        <w:rPr>
          <w:lang w:val="es-ES"/>
        </w:rPr>
        <w:t>flujo,</w:t>
      </w:r>
      <w:r w:rsidR="00D136BB">
        <w:rPr>
          <w:lang w:val="es-ES"/>
        </w:rPr>
        <w:t xml:space="preserve"> </w:t>
      </w:r>
      <w:r w:rsidRPr="003618E2">
        <w:rPr>
          <w:lang w:val="es-ES"/>
        </w:rPr>
        <w:t>caudales,</w:t>
      </w:r>
      <w:r w:rsidR="00D136BB">
        <w:rPr>
          <w:lang w:val="es-ES"/>
        </w:rPr>
        <w:t xml:space="preserve"> </w:t>
      </w:r>
      <w:r w:rsidRPr="003618E2">
        <w:rPr>
          <w:lang w:val="es-ES"/>
        </w:rPr>
        <w:t>etc.</w:t>
      </w:r>
      <w:r w:rsidR="00D136BB">
        <w:rPr>
          <w:lang w:val="es-ES"/>
        </w:rPr>
        <w:t xml:space="preserve"> </w:t>
      </w:r>
      <w:r w:rsidRPr="003618E2">
        <w:rPr>
          <w:lang w:val="es-ES"/>
        </w:rPr>
        <w:t>Esta</w:t>
      </w:r>
      <w:r w:rsidR="00D136BB">
        <w:rPr>
          <w:lang w:val="es-ES"/>
        </w:rPr>
        <w:t xml:space="preserve"> </w:t>
      </w:r>
      <w:r w:rsidRPr="003618E2">
        <w:rPr>
          <w:lang w:val="es-ES"/>
        </w:rPr>
        <w:t>categoría</w:t>
      </w:r>
      <w:r w:rsidR="00D136BB">
        <w:rPr>
          <w:lang w:val="es-ES"/>
        </w:rPr>
        <w:t xml:space="preserve"> </w:t>
      </w:r>
      <w:r w:rsidRPr="003618E2">
        <w:rPr>
          <w:lang w:val="es-ES"/>
        </w:rPr>
        <w:t>incluye</w:t>
      </w:r>
      <w:r w:rsidR="00D136BB">
        <w:rPr>
          <w:lang w:val="es-ES"/>
        </w:rPr>
        <w:t xml:space="preserve"> </w:t>
      </w:r>
      <w:r w:rsidRPr="003618E2">
        <w:rPr>
          <w:lang w:val="es-ES"/>
        </w:rPr>
        <w:t>las</w:t>
      </w:r>
      <w:r w:rsidR="00D136BB">
        <w:rPr>
          <w:lang w:val="es-ES"/>
        </w:rPr>
        <w:t xml:space="preserve"> </w:t>
      </w:r>
      <w:r w:rsidRPr="003618E2">
        <w:rPr>
          <w:lang w:val="es-ES"/>
        </w:rPr>
        <w:t>aplicaciones</w:t>
      </w:r>
      <w:r w:rsidR="00D136BB">
        <w:rPr>
          <w:lang w:val="es-ES"/>
        </w:rPr>
        <w:t xml:space="preserve"> </w:t>
      </w:r>
      <w:r w:rsidRPr="003618E2">
        <w:rPr>
          <w:lang w:val="es-ES"/>
        </w:rPr>
        <w:t>de</w:t>
      </w:r>
      <w:r w:rsidR="00D136BB">
        <w:rPr>
          <w:lang w:val="es-ES"/>
        </w:rPr>
        <w:t xml:space="preserve"> </w:t>
      </w:r>
      <w:r w:rsidRPr="003618E2">
        <w:rPr>
          <w:lang w:val="es-ES"/>
        </w:rPr>
        <w:t>fuentes</w:t>
      </w:r>
      <w:r w:rsidR="00D136BB">
        <w:rPr>
          <w:lang w:val="es-ES"/>
        </w:rPr>
        <w:t xml:space="preserve"> </w:t>
      </w:r>
      <w:r w:rsidRPr="003618E2">
        <w:rPr>
          <w:lang w:val="es-ES"/>
        </w:rPr>
        <w:t>selladas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escaneo</w:t>
      </w:r>
      <w:r w:rsidR="00D136BB">
        <w:rPr>
          <w:lang w:val="es-ES"/>
        </w:rPr>
        <w:t xml:space="preserve"> </w:t>
      </w:r>
      <w:r w:rsidRPr="003618E2">
        <w:rPr>
          <w:lang w:val="es-ES"/>
        </w:rPr>
        <w:t>de</w:t>
      </w:r>
      <w:r w:rsidR="00D136BB">
        <w:rPr>
          <w:lang w:val="es-ES"/>
        </w:rPr>
        <w:t xml:space="preserve"> </w:t>
      </w:r>
      <w:r w:rsidRPr="003618E2">
        <w:rPr>
          <w:lang w:val="es-ES"/>
        </w:rPr>
        <w:t>componentes</w:t>
      </w:r>
      <w:r w:rsidR="00D136BB">
        <w:rPr>
          <w:lang w:val="es-ES"/>
        </w:rPr>
        <w:t xml:space="preserve"> </w:t>
      </w:r>
      <w:r w:rsidRPr="003618E2">
        <w:rPr>
          <w:lang w:val="es-ES"/>
        </w:rPr>
        <w:t>industriales,</w:t>
      </w:r>
      <w:r w:rsidR="00D136BB">
        <w:rPr>
          <w:lang w:val="es-ES"/>
        </w:rPr>
        <w:t xml:space="preserve"> </w:t>
      </w:r>
      <w:r w:rsidRPr="003618E2">
        <w:rPr>
          <w:lang w:val="es-ES"/>
        </w:rPr>
        <w:t>tales</w:t>
      </w:r>
      <w:r w:rsidR="00D136BB">
        <w:rPr>
          <w:lang w:val="es-ES"/>
        </w:rPr>
        <w:t xml:space="preserve"> </w:t>
      </w:r>
      <w:r w:rsidRPr="003618E2">
        <w:rPr>
          <w:lang w:val="es-ES"/>
        </w:rPr>
        <w:t>como</w:t>
      </w:r>
      <w:r w:rsidR="00D136BB">
        <w:rPr>
          <w:lang w:val="es-ES"/>
        </w:rPr>
        <w:t xml:space="preserve"> </w:t>
      </w:r>
      <w:r w:rsidRPr="003618E2">
        <w:rPr>
          <w:lang w:val="es-ES"/>
        </w:rPr>
        <w:t>columnas</w:t>
      </w:r>
      <w:r w:rsidR="00D136BB">
        <w:rPr>
          <w:lang w:val="es-ES"/>
        </w:rPr>
        <w:t xml:space="preserve"> </w:t>
      </w:r>
      <w:r w:rsidRPr="003618E2">
        <w:rPr>
          <w:lang w:val="es-ES"/>
        </w:rPr>
        <w:t>de</w:t>
      </w:r>
      <w:r w:rsidR="00D136BB">
        <w:rPr>
          <w:lang w:val="es-ES"/>
        </w:rPr>
        <w:t xml:space="preserve"> </w:t>
      </w:r>
      <w:r w:rsidRPr="003618E2">
        <w:rPr>
          <w:lang w:val="es-ES"/>
        </w:rPr>
        <w:t>destilación,</w:t>
      </w:r>
      <w:r w:rsidR="00D136BB">
        <w:rPr>
          <w:lang w:val="es-ES"/>
        </w:rPr>
        <w:t xml:space="preserve"> </w:t>
      </w:r>
      <w:r w:rsidRPr="003618E2">
        <w:rPr>
          <w:lang w:val="es-ES"/>
        </w:rPr>
        <w:t>utilizando</w:t>
      </w:r>
      <w:r w:rsidR="00D136BB">
        <w:rPr>
          <w:lang w:val="es-ES"/>
        </w:rPr>
        <w:t xml:space="preserve"> </w:t>
      </w:r>
      <w:r w:rsidRPr="003618E2">
        <w:rPr>
          <w:lang w:val="es-ES"/>
        </w:rPr>
        <w:t>la</w:t>
      </w:r>
      <w:r w:rsidR="00D136BB">
        <w:rPr>
          <w:lang w:val="es-ES"/>
        </w:rPr>
        <w:t xml:space="preserve"> </w:t>
      </w:r>
      <w:r w:rsidRPr="003618E2">
        <w:rPr>
          <w:lang w:val="es-ES"/>
        </w:rPr>
        <w:t>transmisión</w:t>
      </w:r>
      <w:r w:rsidR="00D136BB">
        <w:rPr>
          <w:lang w:val="es-ES"/>
        </w:rPr>
        <w:t xml:space="preserve"> </w:t>
      </w:r>
      <w:r w:rsidRPr="003618E2">
        <w:rPr>
          <w:lang w:val="es-ES"/>
        </w:rPr>
        <w:t>gamma,</w:t>
      </w:r>
      <w:r w:rsidR="00D136BB">
        <w:rPr>
          <w:lang w:val="es-ES"/>
        </w:rPr>
        <w:t xml:space="preserve"> </w:t>
      </w:r>
      <w:r w:rsidRPr="003618E2">
        <w:rPr>
          <w:lang w:val="es-ES"/>
        </w:rPr>
        <w:t>la</w:t>
      </w:r>
      <w:r w:rsidR="00D136BB">
        <w:rPr>
          <w:lang w:val="es-ES"/>
        </w:rPr>
        <w:t xml:space="preserve"> </w:t>
      </w:r>
      <w:r w:rsidRPr="003618E2">
        <w:rPr>
          <w:lang w:val="es-ES"/>
        </w:rPr>
        <w:t>retrodispersión</w:t>
      </w:r>
      <w:r w:rsidR="00D136BB">
        <w:rPr>
          <w:lang w:val="es-ES"/>
        </w:rPr>
        <w:t xml:space="preserve"> </w:t>
      </w:r>
      <w:r w:rsidRPr="003618E2">
        <w:rPr>
          <w:lang w:val="es-ES"/>
        </w:rPr>
        <w:t>de</w:t>
      </w:r>
      <w:r w:rsidR="00D136BB">
        <w:rPr>
          <w:lang w:val="es-ES"/>
        </w:rPr>
        <w:t xml:space="preserve"> </w:t>
      </w:r>
      <w:r w:rsidRPr="003618E2">
        <w:rPr>
          <w:lang w:val="es-ES"/>
        </w:rPr>
        <w:t>neutrones,</w:t>
      </w:r>
      <w:r w:rsidR="00D136BB">
        <w:rPr>
          <w:lang w:val="es-ES"/>
        </w:rPr>
        <w:t xml:space="preserve"> </w:t>
      </w:r>
      <w:r w:rsidRPr="003618E2">
        <w:rPr>
          <w:lang w:val="es-ES"/>
        </w:rPr>
        <w:t>entre</w:t>
      </w:r>
      <w:r w:rsidR="00D136BB">
        <w:rPr>
          <w:lang w:val="es-ES"/>
        </w:rPr>
        <w:t xml:space="preserve"> </w:t>
      </w:r>
      <w:r w:rsidRPr="003618E2">
        <w:rPr>
          <w:lang w:val="es-ES"/>
        </w:rPr>
        <w:t>otras.</w:t>
      </w:r>
      <w:r w:rsidR="00D136BB">
        <w:rPr>
          <w:lang w:val="es-ES"/>
        </w:rPr>
        <w:t xml:space="preserve"> </w:t>
      </w:r>
      <w:r w:rsidRPr="003618E2">
        <w:rPr>
          <w:lang w:val="es-ES"/>
        </w:rPr>
        <w:t>La</w:t>
      </w:r>
      <w:r w:rsidR="00D136BB">
        <w:rPr>
          <w:lang w:val="es-ES"/>
        </w:rPr>
        <w:t xml:space="preserve"> </w:t>
      </w:r>
      <w:r w:rsidRPr="003618E2">
        <w:rPr>
          <w:lang w:val="es-ES"/>
        </w:rPr>
        <w:t>relación</w:t>
      </w:r>
      <w:r w:rsidR="00D136BB">
        <w:rPr>
          <w:lang w:val="es-ES"/>
        </w:rPr>
        <w:t xml:space="preserve"> </w:t>
      </w:r>
      <w:r w:rsidRPr="003618E2">
        <w:rPr>
          <w:lang w:val="es-ES"/>
        </w:rPr>
        <w:t>beneficio/costo</w:t>
      </w:r>
      <w:r w:rsidR="00D136BB">
        <w:rPr>
          <w:lang w:val="es-ES"/>
        </w:rPr>
        <w:t xml:space="preserve"> </w:t>
      </w:r>
      <w:r w:rsidRPr="003618E2">
        <w:rPr>
          <w:lang w:val="es-ES"/>
        </w:rPr>
        <w:t>es</w:t>
      </w:r>
      <w:r w:rsidR="00D136BB">
        <w:rPr>
          <w:lang w:val="es-ES"/>
        </w:rPr>
        <w:t xml:space="preserve"> </w:t>
      </w:r>
      <w:r w:rsidRPr="003618E2">
        <w:rPr>
          <w:lang w:val="es-ES"/>
        </w:rPr>
        <w:t>mayor</w:t>
      </w:r>
      <w:r w:rsidR="00D136BB">
        <w:rPr>
          <w:lang w:val="es-ES"/>
        </w:rPr>
        <w:t xml:space="preserve"> </w:t>
      </w:r>
      <w:r w:rsidRPr="003618E2">
        <w:rPr>
          <w:lang w:val="es-ES"/>
        </w:rPr>
        <w:t>a</w:t>
      </w:r>
      <w:r w:rsidR="00D136BB">
        <w:rPr>
          <w:lang w:val="es-ES"/>
        </w:rPr>
        <w:t xml:space="preserve"> </w:t>
      </w:r>
      <w:r w:rsidRPr="003618E2">
        <w:rPr>
          <w:lang w:val="es-ES"/>
        </w:rPr>
        <w:t>30</w:t>
      </w:r>
      <w:r w:rsidR="00D136BB">
        <w:rPr>
          <w:lang w:val="es-ES"/>
        </w:rPr>
        <w:t xml:space="preserve"> </w:t>
      </w:r>
      <w:r w:rsidRPr="003618E2">
        <w:rPr>
          <w:lang w:val="es-ES"/>
        </w:rPr>
        <w:t>y</w:t>
      </w:r>
      <w:r w:rsidR="00D136BB">
        <w:rPr>
          <w:lang w:val="es-ES"/>
        </w:rPr>
        <w:t xml:space="preserve"> </w:t>
      </w:r>
      <w:r w:rsidRPr="003618E2">
        <w:rPr>
          <w:lang w:val="es-ES"/>
        </w:rPr>
        <w:t>proporciona</w:t>
      </w:r>
      <w:r w:rsidR="00D136BB">
        <w:rPr>
          <w:lang w:val="es-ES"/>
        </w:rPr>
        <w:t xml:space="preserve"> </w:t>
      </w:r>
      <w:r w:rsidRPr="003618E2">
        <w:rPr>
          <w:lang w:val="es-ES"/>
        </w:rPr>
        <w:t>una</w:t>
      </w:r>
      <w:r w:rsidR="00D136BB">
        <w:rPr>
          <w:lang w:val="es-ES"/>
        </w:rPr>
        <w:t xml:space="preserve"> </w:t>
      </w:r>
      <w:r w:rsidRPr="003618E2">
        <w:rPr>
          <w:lang w:val="es-ES"/>
        </w:rPr>
        <w:t>mejor</w:t>
      </w:r>
      <w:r w:rsidR="00D136BB">
        <w:rPr>
          <w:lang w:val="es-ES"/>
        </w:rPr>
        <w:t xml:space="preserve"> </w:t>
      </w:r>
      <w:r w:rsidRPr="003618E2">
        <w:rPr>
          <w:lang w:val="es-ES"/>
        </w:rPr>
        <w:t>calidad</w:t>
      </w:r>
      <w:r w:rsidR="00D136BB">
        <w:rPr>
          <w:lang w:val="es-ES"/>
        </w:rPr>
        <w:t xml:space="preserve"> </w:t>
      </w:r>
      <w:r w:rsidRPr="003618E2">
        <w:rPr>
          <w:lang w:val="es-ES"/>
        </w:rPr>
        <w:t>del</w:t>
      </w:r>
      <w:r w:rsidR="00D136BB">
        <w:rPr>
          <w:lang w:val="es-ES"/>
        </w:rPr>
        <w:t xml:space="preserve"> </w:t>
      </w:r>
      <w:r w:rsidRPr="003618E2">
        <w:rPr>
          <w:lang w:val="es-ES"/>
        </w:rPr>
        <w:t>producto,</w:t>
      </w:r>
      <w:r w:rsidR="00D136BB">
        <w:rPr>
          <w:lang w:val="es-ES"/>
        </w:rPr>
        <w:t xml:space="preserve"> </w:t>
      </w:r>
      <w:r w:rsidRPr="003618E2">
        <w:rPr>
          <w:lang w:val="es-ES"/>
        </w:rPr>
        <w:t>la</w:t>
      </w:r>
      <w:r w:rsidR="00D136BB">
        <w:rPr>
          <w:lang w:val="es-ES"/>
        </w:rPr>
        <w:t xml:space="preserve"> </w:t>
      </w:r>
      <w:r w:rsidRPr="003618E2">
        <w:rPr>
          <w:lang w:val="es-ES"/>
        </w:rPr>
        <w:t>productividad,</w:t>
      </w:r>
      <w:r w:rsidR="00D136BB">
        <w:rPr>
          <w:lang w:val="es-ES"/>
        </w:rPr>
        <w:t xml:space="preserve"> </w:t>
      </w:r>
      <w:r w:rsidRPr="003618E2">
        <w:rPr>
          <w:lang w:val="es-ES"/>
        </w:rPr>
        <w:t>la</w:t>
      </w:r>
      <w:r w:rsidR="00D136BB">
        <w:rPr>
          <w:lang w:val="es-ES"/>
        </w:rPr>
        <w:t xml:space="preserve"> </w:t>
      </w:r>
      <w:r w:rsidRPr="003618E2">
        <w:rPr>
          <w:lang w:val="es-ES"/>
        </w:rPr>
        <w:t>seguridad</w:t>
      </w:r>
      <w:r w:rsidR="00D136BB">
        <w:rPr>
          <w:lang w:val="es-ES"/>
        </w:rPr>
        <w:t xml:space="preserve"> </w:t>
      </w:r>
      <w:r w:rsidRPr="003618E2">
        <w:rPr>
          <w:lang w:val="es-ES"/>
        </w:rPr>
        <w:t>y</w:t>
      </w:r>
      <w:r w:rsidR="00D136BB">
        <w:rPr>
          <w:lang w:val="es-ES"/>
        </w:rPr>
        <w:t xml:space="preserve"> </w:t>
      </w:r>
      <w:r w:rsidRPr="003618E2">
        <w:rPr>
          <w:lang w:val="es-ES"/>
        </w:rPr>
        <w:t>la</w:t>
      </w:r>
      <w:r w:rsidR="00D136BB">
        <w:rPr>
          <w:lang w:val="es-ES"/>
        </w:rPr>
        <w:t xml:space="preserve"> </w:t>
      </w:r>
      <w:r w:rsidRPr="003618E2">
        <w:rPr>
          <w:lang w:val="es-ES"/>
        </w:rPr>
        <w:t>disponibilidad</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procesos</w:t>
      </w:r>
      <w:r w:rsidR="00D136BB">
        <w:rPr>
          <w:lang w:val="es-ES"/>
        </w:rPr>
        <w:t xml:space="preserve"> </w:t>
      </w:r>
      <w:r w:rsidRPr="003618E2">
        <w:rPr>
          <w:lang w:val="es-ES"/>
        </w:rPr>
        <w:t>.</w:t>
      </w:r>
    </w:p>
    <w:p w14:paraId="2D0E7641" w14:textId="65664969" w:rsidR="006D362C" w:rsidRPr="003618E2" w:rsidRDefault="006D362C" w:rsidP="006D362C">
      <w:pPr>
        <w:pStyle w:val="BodyText"/>
        <w:rPr>
          <w:lang w:val="es-ES"/>
        </w:rPr>
      </w:pPr>
      <w:r w:rsidRPr="003618E2">
        <w:rPr>
          <w:lang w:val="es-ES"/>
        </w:rPr>
        <w:t>Sistemas</w:t>
      </w:r>
      <w:r w:rsidR="00D136BB">
        <w:rPr>
          <w:lang w:val="es-ES"/>
        </w:rPr>
        <w:t xml:space="preserve"> </w:t>
      </w:r>
      <w:r w:rsidRPr="003618E2">
        <w:rPr>
          <w:lang w:val="es-ES"/>
        </w:rPr>
        <w:t>de</w:t>
      </w:r>
      <w:r w:rsidR="00D136BB">
        <w:rPr>
          <w:lang w:val="es-ES"/>
        </w:rPr>
        <w:t xml:space="preserve"> </w:t>
      </w:r>
      <w:r w:rsidRPr="003618E2">
        <w:rPr>
          <w:lang w:val="es-ES"/>
        </w:rPr>
        <w:t>control</w:t>
      </w:r>
      <w:r w:rsidR="00D136BB">
        <w:rPr>
          <w:lang w:val="es-ES"/>
        </w:rPr>
        <w:t xml:space="preserve"> </w:t>
      </w:r>
      <w:r w:rsidRPr="003618E2">
        <w:rPr>
          <w:lang w:val="es-ES"/>
        </w:rPr>
        <w:t>nucleónicos</w:t>
      </w:r>
      <w:r w:rsidR="00D136BB">
        <w:rPr>
          <w:lang w:val="es-ES"/>
        </w:rPr>
        <w:t xml:space="preserve"> </w:t>
      </w:r>
      <w:r w:rsidRPr="003618E2">
        <w:rPr>
          <w:lang w:val="es-ES"/>
        </w:rPr>
        <w:t>(SCN).</w:t>
      </w:r>
      <w:r w:rsidR="00D136BB">
        <w:rPr>
          <w:lang w:val="es-ES"/>
        </w:rPr>
        <w:t xml:space="preserve"> </w:t>
      </w:r>
      <w:r w:rsidRPr="003618E2">
        <w:rPr>
          <w:lang w:val="es-ES"/>
        </w:rPr>
        <w:t>Existen</w:t>
      </w:r>
      <w:r w:rsidR="00D136BB">
        <w:rPr>
          <w:lang w:val="es-ES"/>
        </w:rPr>
        <w:t xml:space="preserve"> </w:t>
      </w:r>
      <w:r w:rsidRPr="003618E2">
        <w:rPr>
          <w:lang w:val="es-ES"/>
        </w:rPr>
        <w:t>diferentes</w:t>
      </w:r>
      <w:r w:rsidR="00D136BB">
        <w:rPr>
          <w:lang w:val="es-ES"/>
        </w:rPr>
        <w:t xml:space="preserve"> </w:t>
      </w:r>
      <w:r w:rsidRPr="003618E2">
        <w:rPr>
          <w:lang w:val="es-ES"/>
        </w:rPr>
        <w:t>sistemas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de</w:t>
      </w:r>
      <w:r w:rsidR="00D136BB">
        <w:rPr>
          <w:lang w:val="es-ES"/>
        </w:rPr>
        <w:t xml:space="preserve"> </w:t>
      </w:r>
      <w:r w:rsidRPr="003618E2">
        <w:rPr>
          <w:lang w:val="es-ES"/>
        </w:rPr>
        <w:t>procesos</w:t>
      </w:r>
      <w:r w:rsidR="00D136BB">
        <w:rPr>
          <w:lang w:val="es-ES"/>
        </w:rPr>
        <w:t xml:space="preserve"> </w:t>
      </w:r>
      <w:r w:rsidRPr="003618E2">
        <w:rPr>
          <w:lang w:val="es-ES"/>
        </w:rPr>
        <w:t>industriales</w:t>
      </w:r>
      <w:r w:rsidR="00D136BB">
        <w:rPr>
          <w:lang w:val="es-ES"/>
        </w:rPr>
        <w:t xml:space="preserve"> </w:t>
      </w:r>
      <w:r w:rsidRPr="003618E2">
        <w:rPr>
          <w:lang w:val="es-ES"/>
        </w:rPr>
        <w:t>y</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para</w:t>
      </w:r>
      <w:r w:rsidR="00D136BB">
        <w:rPr>
          <w:lang w:val="es-ES"/>
        </w:rPr>
        <w:t xml:space="preserve"> </w:t>
      </w:r>
      <w:r w:rsidRPr="003618E2">
        <w:rPr>
          <w:lang w:val="es-ES"/>
        </w:rPr>
        <w:t>obtener</w:t>
      </w:r>
      <w:r w:rsidR="00D136BB">
        <w:rPr>
          <w:lang w:val="es-ES"/>
        </w:rPr>
        <w:t xml:space="preserve"> </w:t>
      </w:r>
      <w:r w:rsidRPr="003618E2">
        <w:rPr>
          <w:lang w:val="es-ES"/>
        </w:rPr>
        <w:t>ganancias</w:t>
      </w:r>
      <w:r w:rsidR="00D136BB">
        <w:rPr>
          <w:lang w:val="es-ES"/>
        </w:rPr>
        <w:t xml:space="preserve"> </w:t>
      </w:r>
      <w:r w:rsidRPr="003618E2">
        <w:rPr>
          <w:lang w:val="es-ES"/>
        </w:rPr>
        <w:t>importantes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industria,</w:t>
      </w:r>
      <w:r w:rsidR="00D136BB">
        <w:rPr>
          <w:lang w:val="es-ES"/>
        </w:rPr>
        <w:t xml:space="preserve"> </w:t>
      </w:r>
      <w:r w:rsidRPr="003618E2">
        <w:rPr>
          <w:lang w:val="es-ES"/>
        </w:rPr>
        <w:t>por</w:t>
      </w:r>
      <w:r w:rsidR="00D136BB">
        <w:rPr>
          <w:lang w:val="es-ES"/>
        </w:rPr>
        <w:t xml:space="preserve"> </w:t>
      </w:r>
      <w:r w:rsidRPr="003618E2">
        <w:rPr>
          <w:lang w:val="es-ES"/>
        </w:rPr>
        <w:t>ejemplo,</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espesor</w:t>
      </w:r>
      <w:r w:rsidR="00D136BB">
        <w:rPr>
          <w:lang w:val="es-ES"/>
        </w:rPr>
        <w:t xml:space="preserve"> </w:t>
      </w:r>
      <w:r w:rsidRPr="003618E2">
        <w:rPr>
          <w:lang w:val="es-ES"/>
        </w:rPr>
        <w:t>de</w:t>
      </w:r>
      <w:r w:rsidR="00D136BB">
        <w:rPr>
          <w:lang w:val="es-ES"/>
        </w:rPr>
        <w:t xml:space="preserve"> </w:t>
      </w:r>
      <w:r w:rsidRPr="003618E2">
        <w:rPr>
          <w:lang w:val="es-ES"/>
        </w:rPr>
        <w:t>láminas</w:t>
      </w:r>
      <w:r w:rsidR="00D136BB">
        <w:rPr>
          <w:lang w:val="es-ES"/>
        </w:rPr>
        <w:t xml:space="preserve"> </w:t>
      </w:r>
      <w:r w:rsidRPr="003618E2">
        <w:rPr>
          <w:lang w:val="es-ES"/>
        </w:rPr>
        <w:t>de</w:t>
      </w:r>
      <w:r w:rsidR="00D136BB">
        <w:rPr>
          <w:lang w:val="es-ES"/>
        </w:rPr>
        <w:t xml:space="preserve"> </w:t>
      </w:r>
      <w:r w:rsidRPr="003618E2">
        <w:rPr>
          <w:lang w:val="es-ES"/>
        </w:rPr>
        <w:t>acero,</w:t>
      </w:r>
      <w:r w:rsidR="00D136BB">
        <w:rPr>
          <w:lang w:val="es-ES"/>
        </w:rPr>
        <w:t xml:space="preserve"> </w:t>
      </w:r>
      <w:r w:rsidRPr="003618E2">
        <w:rPr>
          <w:lang w:val="es-ES"/>
        </w:rPr>
        <w:t>o</w:t>
      </w:r>
      <w:r w:rsidR="00D136BB">
        <w:rPr>
          <w:lang w:val="es-ES"/>
        </w:rPr>
        <w:t xml:space="preserve"> </w:t>
      </w:r>
      <w:r w:rsidRPr="003618E2">
        <w:rPr>
          <w:lang w:val="es-ES"/>
        </w:rPr>
        <w:t>llenado</w:t>
      </w:r>
      <w:r w:rsidR="00D136BB">
        <w:rPr>
          <w:lang w:val="es-ES"/>
        </w:rPr>
        <w:t xml:space="preserve"> </w:t>
      </w:r>
      <w:r w:rsidRPr="003618E2">
        <w:rPr>
          <w:lang w:val="es-ES"/>
        </w:rPr>
        <w:t>de</w:t>
      </w:r>
      <w:r w:rsidR="00D136BB">
        <w:rPr>
          <w:lang w:val="es-ES"/>
        </w:rPr>
        <w:t xml:space="preserve"> </w:t>
      </w:r>
      <w:r w:rsidRPr="003618E2">
        <w:rPr>
          <w:lang w:val="es-ES"/>
        </w:rPr>
        <w:t>botellas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industria</w:t>
      </w:r>
      <w:r w:rsidR="00D136BB">
        <w:rPr>
          <w:lang w:val="es-ES"/>
        </w:rPr>
        <w:t xml:space="preserve"> </w:t>
      </w:r>
      <w:r w:rsidRPr="003618E2">
        <w:rPr>
          <w:lang w:val="es-ES"/>
        </w:rPr>
        <w:t>alimentaria,</w:t>
      </w:r>
      <w:r w:rsidR="00D136BB">
        <w:rPr>
          <w:lang w:val="es-ES"/>
        </w:rPr>
        <w:t xml:space="preserve"> </w:t>
      </w:r>
      <w:r w:rsidRPr="003618E2">
        <w:rPr>
          <w:lang w:val="es-ES"/>
        </w:rPr>
        <w:t>contenido</w:t>
      </w:r>
      <w:r w:rsidR="00D136BB">
        <w:rPr>
          <w:lang w:val="es-ES"/>
        </w:rPr>
        <w:t xml:space="preserve"> </w:t>
      </w:r>
      <w:r w:rsidRPr="003618E2">
        <w:rPr>
          <w:lang w:val="es-ES"/>
        </w:rPr>
        <w:t>en</w:t>
      </w:r>
      <w:r w:rsidR="00D136BB">
        <w:rPr>
          <w:lang w:val="es-ES"/>
        </w:rPr>
        <w:t xml:space="preserve"> </w:t>
      </w:r>
      <w:r w:rsidRPr="003618E2">
        <w:rPr>
          <w:lang w:val="es-ES"/>
        </w:rPr>
        <w:t>minerales,</w:t>
      </w:r>
      <w:r w:rsidR="00D136BB">
        <w:rPr>
          <w:lang w:val="es-ES"/>
        </w:rPr>
        <w:t xml:space="preserve"> </w:t>
      </w:r>
      <w:r w:rsidRPr="003618E2">
        <w:rPr>
          <w:lang w:val="es-ES"/>
        </w:rPr>
        <w:t>etc.</w:t>
      </w:r>
      <w:r w:rsidR="00D136BB">
        <w:rPr>
          <w:lang w:val="es-ES"/>
        </w:rPr>
        <w:t xml:space="preserve"> </w:t>
      </w:r>
      <w:r w:rsidRPr="003618E2">
        <w:rPr>
          <w:lang w:val="es-ES"/>
        </w:rPr>
        <w:t>(Am-Be,</w:t>
      </w:r>
      <w:r w:rsidR="00D136BB">
        <w:rPr>
          <w:lang w:val="es-ES"/>
        </w:rPr>
        <w:t xml:space="preserve"> </w:t>
      </w:r>
      <w:r w:rsidRPr="003618E2">
        <w:rPr>
          <w:lang w:val="es-ES"/>
        </w:rPr>
        <w:t>Cf-252).</w:t>
      </w:r>
      <w:r w:rsidR="00D136BB">
        <w:rPr>
          <w:lang w:val="es-ES"/>
        </w:rPr>
        <w:t xml:space="preserve"> </w:t>
      </w:r>
      <w:r w:rsidRPr="003618E2">
        <w:rPr>
          <w:lang w:val="es-ES"/>
        </w:rPr>
        <w:t>Estos</w:t>
      </w:r>
      <w:r w:rsidR="00D136BB">
        <w:rPr>
          <w:lang w:val="es-ES"/>
        </w:rPr>
        <w:t xml:space="preserve"> </w:t>
      </w:r>
      <w:r w:rsidRPr="003618E2">
        <w:rPr>
          <w:lang w:val="es-ES"/>
        </w:rPr>
        <w:t>sistemas</w:t>
      </w:r>
      <w:r w:rsidR="00D136BB">
        <w:rPr>
          <w:lang w:val="es-ES"/>
        </w:rPr>
        <w:t xml:space="preserve"> </w:t>
      </w:r>
      <w:r w:rsidRPr="003618E2">
        <w:rPr>
          <w:lang w:val="es-ES"/>
        </w:rPr>
        <w:t>utilizan</w:t>
      </w:r>
      <w:r w:rsidR="00D136BB">
        <w:rPr>
          <w:lang w:val="es-ES"/>
        </w:rPr>
        <w:t xml:space="preserve"> </w:t>
      </w:r>
      <w:r w:rsidRPr="003618E2">
        <w:rPr>
          <w:lang w:val="es-ES"/>
        </w:rPr>
        <w:t>fuentes</w:t>
      </w:r>
      <w:r w:rsidR="00D136BB">
        <w:rPr>
          <w:lang w:val="es-ES"/>
        </w:rPr>
        <w:t xml:space="preserve"> </w:t>
      </w:r>
      <w:r w:rsidRPr="003618E2">
        <w:rPr>
          <w:lang w:val="es-ES"/>
        </w:rPr>
        <w:t>de</w:t>
      </w:r>
      <w:r w:rsidR="00D136BB">
        <w:rPr>
          <w:lang w:val="es-ES"/>
        </w:rPr>
        <w:t xml:space="preserve"> </w:t>
      </w:r>
      <w:r w:rsidRPr="003618E2">
        <w:rPr>
          <w:lang w:val="es-ES"/>
        </w:rPr>
        <w:t>radiación</w:t>
      </w:r>
      <w:r w:rsidR="00D136BB">
        <w:rPr>
          <w:lang w:val="es-ES"/>
        </w:rPr>
        <w:t xml:space="preserve"> </w:t>
      </w:r>
      <w:r w:rsidRPr="003618E2">
        <w:rPr>
          <w:lang w:val="es-ES"/>
        </w:rPr>
        <w:t>tales</w:t>
      </w:r>
      <w:r w:rsidR="00D136BB">
        <w:rPr>
          <w:lang w:val="es-ES"/>
        </w:rPr>
        <w:t xml:space="preserve"> </w:t>
      </w:r>
      <w:r w:rsidRPr="003618E2">
        <w:rPr>
          <w:lang w:val="es-ES"/>
        </w:rPr>
        <w:t>como</w:t>
      </w:r>
      <w:r w:rsidR="00D136BB">
        <w:rPr>
          <w:lang w:val="es-ES"/>
        </w:rPr>
        <w:t xml:space="preserve"> </w:t>
      </w:r>
      <w:r w:rsidRPr="003618E2">
        <w:rPr>
          <w:lang w:val="es-ES"/>
        </w:rPr>
        <w:t>Am-241,</w:t>
      </w:r>
      <w:r w:rsidR="00D136BB">
        <w:rPr>
          <w:lang w:val="es-ES"/>
        </w:rPr>
        <w:t xml:space="preserve"> </w:t>
      </w:r>
      <w:r w:rsidRPr="003618E2">
        <w:rPr>
          <w:lang w:val="es-ES"/>
        </w:rPr>
        <w:t>Cs-137,</w:t>
      </w:r>
      <w:r w:rsidR="00D136BB">
        <w:rPr>
          <w:lang w:val="es-ES"/>
        </w:rPr>
        <w:t xml:space="preserve"> </w:t>
      </w:r>
      <w:r w:rsidRPr="003618E2">
        <w:rPr>
          <w:lang w:val="es-ES"/>
        </w:rPr>
        <w:t>y</w:t>
      </w:r>
      <w:r w:rsidR="00D136BB">
        <w:rPr>
          <w:lang w:val="es-ES"/>
        </w:rPr>
        <w:t xml:space="preserve"> </w:t>
      </w:r>
      <w:r w:rsidRPr="003618E2">
        <w:rPr>
          <w:lang w:val="es-ES"/>
        </w:rPr>
        <w:t>generadores</w:t>
      </w:r>
      <w:r w:rsidR="00D136BB">
        <w:rPr>
          <w:lang w:val="es-ES"/>
        </w:rPr>
        <w:t xml:space="preserve"> </w:t>
      </w:r>
      <w:r w:rsidRPr="003618E2">
        <w:rPr>
          <w:lang w:val="es-ES"/>
        </w:rPr>
        <w:t>de</w:t>
      </w:r>
      <w:r w:rsidR="00D136BB">
        <w:rPr>
          <w:lang w:val="es-ES"/>
        </w:rPr>
        <w:t xml:space="preserve"> </w:t>
      </w:r>
      <w:r w:rsidRPr="003618E2">
        <w:rPr>
          <w:lang w:val="es-ES"/>
        </w:rPr>
        <w:t>rayos</w:t>
      </w:r>
      <w:r w:rsidR="00D136BB">
        <w:rPr>
          <w:lang w:val="es-ES"/>
        </w:rPr>
        <w:t xml:space="preserve"> </w:t>
      </w:r>
      <w:r w:rsidRPr="003618E2">
        <w:rPr>
          <w:lang w:val="es-ES"/>
        </w:rPr>
        <w:t>X</w:t>
      </w:r>
      <w:r w:rsidR="00D136BB">
        <w:rPr>
          <w:lang w:val="es-ES"/>
        </w:rPr>
        <w:t xml:space="preserve"> </w:t>
      </w:r>
      <w:r w:rsidRPr="003618E2">
        <w:rPr>
          <w:lang w:val="es-ES"/>
        </w:rPr>
        <w:t>o</w:t>
      </w:r>
      <w:r w:rsidR="00D136BB">
        <w:rPr>
          <w:lang w:val="es-ES"/>
        </w:rPr>
        <w:t xml:space="preserve"> </w:t>
      </w:r>
      <w:r w:rsidRPr="003618E2">
        <w:rPr>
          <w:lang w:val="es-ES"/>
        </w:rPr>
        <w:t>neutrones</w:t>
      </w:r>
      <w:r w:rsidR="00D136BB">
        <w:rPr>
          <w:lang w:val="es-ES"/>
        </w:rPr>
        <w:t xml:space="preserve"> </w:t>
      </w:r>
      <w:r w:rsidRPr="003618E2">
        <w:rPr>
          <w:lang w:val="es-ES"/>
        </w:rPr>
        <w:t>acoplados</w:t>
      </w:r>
      <w:r w:rsidR="00D136BB">
        <w:rPr>
          <w:lang w:val="es-ES"/>
        </w:rPr>
        <w:t xml:space="preserve"> </w:t>
      </w:r>
      <w:r w:rsidRPr="003618E2">
        <w:rPr>
          <w:lang w:val="es-ES"/>
        </w:rPr>
        <w:t>con</w:t>
      </w:r>
      <w:r w:rsidR="00D136BB">
        <w:rPr>
          <w:lang w:val="es-ES"/>
        </w:rPr>
        <w:t xml:space="preserve"> </w:t>
      </w:r>
      <w:r w:rsidRPr="003618E2">
        <w:rPr>
          <w:lang w:val="es-ES"/>
        </w:rPr>
        <w:t>detectores</w:t>
      </w:r>
      <w:r w:rsidR="00D136BB">
        <w:rPr>
          <w:lang w:val="es-ES"/>
        </w:rPr>
        <w:t xml:space="preserve"> </w:t>
      </w:r>
      <w:r w:rsidRPr="003618E2">
        <w:rPr>
          <w:lang w:val="es-ES"/>
        </w:rPr>
        <w:t>que</w:t>
      </w:r>
      <w:r w:rsidR="00D136BB">
        <w:rPr>
          <w:lang w:val="es-ES"/>
        </w:rPr>
        <w:t xml:space="preserve"> </w:t>
      </w:r>
      <w:r w:rsidRPr="003618E2">
        <w:rPr>
          <w:lang w:val="es-ES"/>
        </w:rPr>
        <w:t>proporcionan</w:t>
      </w:r>
      <w:r w:rsidR="00D136BB">
        <w:rPr>
          <w:lang w:val="es-ES"/>
        </w:rPr>
        <w:t xml:space="preserve"> </w:t>
      </w:r>
      <w:r w:rsidRPr="003618E2">
        <w:rPr>
          <w:lang w:val="es-ES"/>
        </w:rPr>
        <w:t>la</w:t>
      </w:r>
      <w:r w:rsidR="00D136BB">
        <w:rPr>
          <w:lang w:val="es-ES"/>
        </w:rPr>
        <w:t xml:space="preserve"> </w:t>
      </w:r>
      <w:r w:rsidRPr="003618E2">
        <w:rPr>
          <w:lang w:val="es-ES"/>
        </w:rPr>
        <w:t>señal</w:t>
      </w:r>
      <w:r w:rsidR="00D136BB">
        <w:rPr>
          <w:lang w:val="es-ES"/>
        </w:rPr>
        <w:t xml:space="preserve"> </w:t>
      </w:r>
      <w:r w:rsidRPr="003618E2">
        <w:rPr>
          <w:lang w:val="es-ES"/>
        </w:rPr>
        <w:t>utilizada</w:t>
      </w:r>
      <w:r w:rsidR="00D136BB">
        <w:rPr>
          <w:lang w:val="es-ES"/>
        </w:rPr>
        <w:t xml:space="preserve"> </w:t>
      </w:r>
      <w:r w:rsidRPr="003618E2">
        <w:rPr>
          <w:lang w:val="es-ES"/>
        </w:rPr>
        <w:t>para</w:t>
      </w:r>
      <w:r w:rsidR="00D136BB">
        <w:rPr>
          <w:lang w:val="es-ES"/>
        </w:rPr>
        <w:t xml:space="preserve"> </w:t>
      </w:r>
      <w:r w:rsidRPr="003618E2">
        <w:rPr>
          <w:lang w:val="es-ES"/>
        </w:rPr>
        <w:t>controlar</w:t>
      </w:r>
      <w:r w:rsidR="00D136BB">
        <w:rPr>
          <w:lang w:val="es-ES"/>
        </w:rPr>
        <w:t xml:space="preserve"> </w:t>
      </w:r>
      <w:r w:rsidRPr="003618E2">
        <w:rPr>
          <w:lang w:val="es-ES"/>
        </w:rPr>
        <w:t>el</w:t>
      </w:r>
      <w:r w:rsidR="00D136BB">
        <w:rPr>
          <w:lang w:val="es-ES"/>
        </w:rPr>
        <w:t xml:space="preserve"> </w:t>
      </w:r>
      <w:r w:rsidRPr="003618E2">
        <w:rPr>
          <w:lang w:val="es-ES"/>
        </w:rPr>
        <w:t>proceso</w:t>
      </w:r>
      <w:r w:rsidR="00D136BB">
        <w:rPr>
          <w:lang w:val="es-ES"/>
        </w:rPr>
        <w:t xml:space="preserve"> </w:t>
      </w:r>
      <w:r w:rsidRPr="003618E2">
        <w:rPr>
          <w:lang w:val="es-ES"/>
        </w:rPr>
        <w:t>.</w:t>
      </w:r>
      <w:r w:rsidR="00D136BB">
        <w:rPr>
          <w:lang w:val="es-ES"/>
        </w:rPr>
        <w:t xml:space="preserve"> </w:t>
      </w:r>
      <w:r w:rsidRPr="003618E2">
        <w:rPr>
          <w:lang w:val="es-ES"/>
        </w:rPr>
        <w:t>Existen</w:t>
      </w:r>
      <w:r w:rsidR="00D136BB">
        <w:rPr>
          <w:lang w:val="es-ES"/>
        </w:rPr>
        <w:t xml:space="preserve"> </w:t>
      </w:r>
      <w:r w:rsidRPr="003618E2">
        <w:rPr>
          <w:lang w:val="es-ES"/>
        </w:rPr>
        <w:t>también</w:t>
      </w:r>
      <w:r w:rsidR="00D136BB">
        <w:rPr>
          <w:lang w:val="es-ES"/>
        </w:rPr>
        <w:t xml:space="preserve"> </w:t>
      </w:r>
      <w:r w:rsidRPr="003618E2">
        <w:rPr>
          <w:lang w:val="es-ES"/>
        </w:rPr>
        <w:t>las</w:t>
      </w:r>
      <w:r w:rsidR="00D136BB">
        <w:rPr>
          <w:lang w:val="es-ES"/>
        </w:rPr>
        <w:t xml:space="preserve"> </w:t>
      </w:r>
      <w:r w:rsidRPr="003618E2">
        <w:rPr>
          <w:lang w:val="es-ES"/>
        </w:rPr>
        <w:t>aplicaciones</w:t>
      </w:r>
      <w:r w:rsidR="00D136BB">
        <w:rPr>
          <w:lang w:val="es-ES"/>
        </w:rPr>
        <w:t xml:space="preserve"> </w:t>
      </w:r>
      <w:r w:rsidRPr="003618E2">
        <w:rPr>
          <w:lang w:val="es-ES"/>
        </w:rPr>
        <w:t>para</w:t>
      </w:r>
      <w:r w:rsidR="00D136BB">
        <w:rPr>
          <w:lang w:val="es-ES"/>
        </w:rPr>
        <w:t xml:space="preserve"> </w:t>
      </w:r>
      <w:r w:rsidRPr="003618E2">
        <w:rPr>
          <w:lang w:val="es-ES"/>
        </w:rPr>
        <w:t>perfilaje</w:t>
      </w:r>
      <w:r w:rsidR="00D136BB">
        <w:rPr>
          <w:lang w:val="es-ES"/>
        </w:rPr>
        <w:t xml:space="preserve"> </w:t>
      </w:r>
      <w:r w:rsidRPr="003618E2">
        <w:rPr>
          <w:lang w:val="es-ES"/>
        </w:rPr>
        <w:t>gamma</w:t>
      </w:r>
      <w:r w:rsidR="00D136BB">
        <w:rPr>
          <w:lang w:val="es-ES"/>
        </w:rPr>
        <w:t xml:space="preserve"> </w:t>
      </w:r>
      <w:r w:rsidRPr="003618E2">
        <w:rPr>
          <w:lang w:val="es-ES"/>
        </w:rPr>
        <w:t>(gamma</w:t>
      </w:r>
      <w:r w:rsidR="00D136BB">
        <w:rPr>
          <w:lang w:val="es-ES"/>
        </w:rPr>
        <w:t xml:space="preserve"> </w:t>
      </w:r>
      <w:r w:rsidRPr="003618E2">
        <w:rPr>
          <w:lang w:val="es-ES"/>
        </w:rPr>
        <w:t>scanning)</w:t>
      </w:r>
      <w:r w:rsidR="00D136BB">
        <w:rPr>
          <w:lang w:val="es-ES"/>
        </w:rPr>
        <w:t xml:space="preserve"> </w:t>
      </w:r>
      <w:r w:rsidRPr="003618E2">
        <w:rPr>
          <w:lang w:val="es-ES"/>
        </w:rPr>
        <w:t>para</w:t>
      </w:r>
      <w:r w:rsidR="00D136BB">
        <w:rPr>
          <w:lang w:val="es-ES"/>
        </w:rPr>
        <w:t xml:space="preserve"> </w:t>
      </w:r>
      <w:r w:rsidRPr="003618E2">
        <w:rPr>
          <w:lang w:val="es-ES"/>
        </w:rPr>
        <w:t>evaluación</w:t>
      </w:r>
      <w:r w:rsidR="00D136BB">
        <w:rPr>
          <w:lang w:val="es-ES"/>
        </w:rPr>
        <w:t xml:space="preserve"> </w:t>
      </w:r>
      <w:r w:rsidRPr="003618E2">
        <w:rPr>
          <w:lang w:val="es-ES"/>
        </w:rPr>
        <w:t>de</w:t>
      </w:r>
      <w:r w:rsidR="00D136BB">
        <w:rPr>
          <w:lang w:val="es-ES"/>
        </w:rPr>
        <w:t xml:space="preserve"> </w:t>
      </w:r>
      <w:r w:rsidRPr="003618E2">
        <w:rPr>
          <w:lang w:val="es-ES"/>
        </w:rPr>
        <w:t>columnas</w:t>
      </w:r>
      <w:r w:rsidR="00D136BB">
        <w:rPr>
          <w:lang w:val="es-ES"/>
        </w:rPr>
        <w:t xml:space="preserve"> </w:t>
      </w:r>
      <w:r w:rsidRPr="003618E2">
        <w:rPr>
          <w:lang w:val="es-ES"/>
        </w:rPr>
        <w:t>de</w:t>
      </w:r>
      <w:r w:rsidR="00D136BB">
        <w:rPr>
          <w:lang w:val="es-ES"/>
        </w:rPr>
        <w:t xml:space="preserve"> </w:t>
      </w:r>
      <w:r w:rsidRPr="003618E2">
        <w:rPr>
          <w:lang w:val="es-ES"/>
        </w:rPr>
        <w:t>destilación</w:t>
      </w:r>
      <w:r w:rsidR="00D136BB">
        <w:rPr>
          <w:lang w:val="es-ES"/>
        </w:rPr>
        <w:t xml:space="preserve"> </w:t>
      </w:r>
      <w:r w:rsidRPr="003618E2">
        <w:rPr>
          <w:lang w:val="es-ES"/>
        </w:rPr>
        <w:t>y</w:t>
      </w:r>
      <w:r w:rsidR="00D136BB">
        <w:rPr>
          <w:lang w:val="es-ES"/>
        </w:rPr>
        <w:t xml:space="preserve"> </w:t>
      </w:r>
      <w:r w:rsidRPr="003618E2">
        <w:rPr>
          <w:lang w:val="es-ES"/>
        </w:rPr>
        <w:t>sistemas</w:t>
      </w:r>
      <w:r w:rsidR="00D136BB">
        <w:rPr>
          <w:lang w:val="es-ES"/>
        </w:rPr>
        <w:t xml:space="preserve"> </w:t>
      </w:r>
      <w:r w:rsidRPr="003618E2">
        <w:rPr>
          <w:lang w:val="es-ES"/>
        </w:rPr>
        <w:t>de</w:t>
      </w:r>
      <w:r w:rsidR="00D136BB">
        <w:rPr>
          <w:lang w:val="es-ES"/>
        </w:rPr>
        <w:t xml:space="preserve"> </w:t>
      </w:r>
      <w:r w:rsidRPr="003618E2">
        <w:rPr>
          <w:lang w:val="es-ES"/>
        </w:rPr>
        <w:t>reacción</w:t>
      </w:r>
      <w:r w:rsidR="00D136BB">
        <w:rPr>
          <w:lang w:val="es-ES"/>
        </w:rPr>
        <w:t xml:space="preserve"> </w:t>
      </w:r>
      <w:r w:rsidRPr="003618E2">
        <w:rPr>
          <w:lang w:val="es-ES"/>
        </w:rPr>
        <w:t>química</w:t>
      </w:r>
      <w:r w:rsidR="00D136BB">
        <w:rPr>
          <w:lang w:val="es-ES"/>
        </w:rPr>
        <w:t xml:space="preserve"> </w:t>
      </w:r>
      <w:r w:rsidRPr="003618E2">
        <w:rPr>
          <w:lang w:val="es-ES"/>
        </w:rPr>
        <w:t>donde</w:t>
      </w:r>
      <w:r w:rsidR="00D136BB">
        <w:rPr>
          <w:lang w:val="es-ES"/>
        </w:rPr>
        <w:t xml:space="preserve"> </w:t>
      </w:r>
      <w:r w:rsidRPr="003618E2">
        <w:rPr>
          <w:lang w:val="es-ES"/>
        </w:rPr>
        <w:t>se</w:t>
      </w:r>
      <w:r w:rsidR="00D136BB">
        <w:rPr>
          <w:lang w:val="es-ES"/>
        </w:rPr>
        <w:t xml:space="preserve"> </w:t>
      </w:r>
      <w:r w:rsidRPr="003618E2">
        <w:rPr>
          <w:lang w:val="es-ES"/>
        </w:rPr>
        <w:t>utilizan</w:t>
      </w:r>
      <w:r w:rsidR="00D136BB">
        <w:rPr>
          <w:lang w:val="es-ES"/>
        </w:rPr>
        <w:t xml:space="preserve"> </w:t>
      </w:r>
      <w:r w:rsidRPr="003618E2">
        <w:rPr>
          <w:lang w:val="es-ES"/>
        </w:rPr>
        <w:t>conjuntos</w:t>
      </w:r>
      <w:r w:rsidR="00D136BB">
        <w:rPr>
          <w:lang w:val="es-ES"/>
        </w:rPr>
        <w:t xml:space="preserve"> </w:t>
      </w:r>
      <w:r w:rsidRPr="003618E2">
        <w:rPr>
          <w:lang w:val="es-ES"/>
        </w:rPr>
        <w:t>de</w:t>
      </w:r>
      <w:r w:rsidR="00D136BB">
        <w:rPr>
          <w:lang w:val="es-ES"/>
        </w:rPr>
        <w:t xml:space="preserve"> </w:t>
      </w:r>
      <w:r w:rsidRPr="003618E2">
        <w:rPr>
          <w:lang w:val="es-ES"/>
        </w:rPr>
        <w:t>fuentes</w:t>
      </w:r>
      <w:r w:rsidR="00D136BB">
        <w:rPr>
          <w:lang w:val="es-ES"/>
        </w:rPr>
        <w:t xml:space="preserve"> </w:t>
      </w:r>
      <w:r w:rsidRPr="003618E2">
        <w:rPr>
          <w:lang w:val="es-ES"/>
        </w:rPr>
        <w:t>móviles</w:t>
      </w:r>
      <w:r w:rsidR="00D136BB">
        <w:rPr>
          <w:lang w:val="es-ES"/>
        </w:rPr>
        <w:t xml:space="preserve"> </w:t>
      </w:r>
      <w:r w:rsidRPr="003618E2">
        <w:rPr>
          <w:lang w:val="es-ES"/>
        </w:rPr>
        <w:t>emisoras</w:t>
      </w:r>
      <w:r w:rsidR="00D136BB">
        <w:rPr>
          <w:lang w:val="es-ES"/>
        </w:rPr>
        <w:t xml:space="preserve"> </w:t>
      </w:r>
      <w:r w:rsidRPr="003618E2">
        <w:rPr>
          <w:lang w:val="es-ES"/>
        </w:rPr>
        <w:t>gamma</w:t>
      </w:r>
      <w:r w:rsidR="00D136BB">
        <w:rPr>
          <w:lang w:val="es-ES"/>
        </w:rPr>
        <w:t xml:space="preserve"> </w:t>
      </w:r>
      <w:r w:rsidRPr="003618E2">
        <w:rPr>
          <w:lang w:val="es-ES"/>
        </w:rPr>
        <w:t>como</w:t>
      </w:r>
      <w:r w:rsidR="00D136BB">
        <w:rPr>
          <w:lang w:val="es-ES"/>
        </w:rPr>
        <w:t xml:space="preserve"> </w:t>
      </w:r>
      <w:r w:rsidRPr="003618E2">
        <w:rPr>
          <w:lang w:val="es-ES"/>
        </w:rPr>
        <w:t>Co-60</w:t>
      </w:r>
      <w:r w:rsidR="00D136BB">
        <w:rPr>
          <w:lang w:val="es-ES"/>
        </w:rPr>
        <w:t xml:space="preserve"> </w:t>
      </w:r>
      <w:r w:rsidRPr="003618E2">
        <w:rPr>
          <w:lang w:val="es-ES"/>
        </w:rPr>
        <w:t>o</w:t>
      </w:r>
      <w:r w:rsidR="00D136BB">
        <w:rPr>
          <w:lang w:val="es-ES"/>
        </w:rPr>
        <w:t xml:space="preserve"> </w:t>
      </w:r>
      <w:r w:rsidRPr="003618E2">
        <w:rPr>
          <w:lang w:val="es-ES"/>
        </w:rPr>
        <w:t>Cs-137</w:t>
      </w:r>
      <w:r w:rsidR="00D136BB">
        <w:rPr>
          <w:lang w:val="es-ES"/>
        </w:rPr>
        <w:t xml:space="preserve"> </w:t>
      </w:r>
      <w:r w:rsidRPr="003618E2">
        <w:rPr>
          <w:lang w:val="es-ES"/>
        </w:rPr>
        <w:t>y</w:t>
      </w:r>
      <w:r w:rsidR="00D136BB">
        <w:rPr>
          <w:lang w:val="es-ES"/>
        </w:rPr>
        <w:t xml:space="preserve"> </w:t>
      </w:r>
      <w:r w:rsidRPr="003618E2">
        <w:rPr>
          <w:lang w:val="es-ES"/>
        </w:rPr>
        <w:t>detectores</w:t>
      </w:r>
      <w:r w:rsidR="00D136BB">
        <w:rPr>
          <w:lang w:val="es-ES"/>
        </w:rPr>
        <w:t xml:space="preserve"> </w:t>
      </w:r>
      <w:r w:rsidRPr="003618E2">
        <w:rPr>
          <w:lang w:val="es-ES"/>
        </w:rPr>
        <w:t>centelladores</w:t>
      </w:r>
      <w:r w:rsidR="00D136BB">
        <w:rPr>
          <w:lang w:val="es-ES"/>
        </w:rPr>
        <w:t xml:space="preserve"> </w:t>
      </w:r>
      <w:r w:rsidRPr="003618E2">
        <w:rPr>
          <w:lang w:val="es-ES"/>
        </w:rPr>
        <w:t>obteniéndose</w:t>
      </w:r>
      <w:r w:rsidR="00D136BB">
        <w:rPr>
          <w:lang w:val="es-ES"/>
        </w:rPr>
        <w:t xml:space="preserve"> </w:t>
      </w:r>
      <w:r w:rsidRPr="003618E2">
        <w:rPr>
          <w:lang w:val="es-ES"/>
        </w:rPr>
        <w:t>señales</w:t>
      </w:r>
      <w:r w:rsidR="00D136BB">
        <w:rPr>
          <w:lang w:val="es-ES"/>
        </w:rPr>
        <w:t xml:space="preserve"> </w:t>
      </w:r>
      <w:r w:rsidRPr="003618E2">
        <w:rPr>
          <w:lang w:val="es-ES"/>
        </w:rPr>
        <w:t>que</w:t>
      </w:r>
      <w:r w:rsidR="00D136BB">
        <w:rPr>
          <w:lang w:val="es-ES"/>
        </w:rPr>
        <w:t xml:space="preserve"> </w:t>
      </w:r>
      <w:r w:rsidRPr="003618E2">
        <w:rPr>
          <w:lang w:val="es-ES"/>
        </w:rPr>
        <w:t>son</w:t>
      </w:r>
      <w:r w:rsidR="00D136BB">
        <w:rPr>
          <w:lang w:val="es-ES"/>
        </w:rPr>
        <w:t xml:space="preserve"> </w:t>
      </w:r>
      <w:r w:rsidRPr="003618E2">
        <w:rPr>
          <w:lang w:val="es-ES"/>
        </w:rPr>
        <w:t>interpretadas</w:t>
      </w:r>
      <w:r w:rsidR="00D136BB">
        <w:rPr>
          <w:lang w:val="es-ES"/>
        </w:rPr>
        <w:t xml:space="preserve"> </w:t>
      </w:r>
      <w:r w:rsidRPr="003618E2">
        <w:rPr>
          <w:lang w:val="es-ES"/>
        </w:rPr>
        <w:t>y</w:t>
      </w:r>
      <w:r w:rsidR="00D136BB">
        <w:rPr>
          <w:lang w:val="es-ES"/>
        </w:rPr>
        <w:t xml:space="preserve"> </w:t>
      </w:r>
      <w:r w:rsidRPr="003618E2">
        <w:rPr>
          <w:lang w:val="es-ES"/>
        </w:rPr>
        <w:t>que</w:t>
      </w:r>
      <w:r w:rsidR="00D136BB">
        <w:rPr>
          <w:lang w:val="es-ES"/>
        </w:rPr>
        <w:t xml:space="preserve"> </w:t>
      </w:r>
      <w:r w:rsidRPr="003618E2">
        <w:rPr>
          <w:lang w:val="es-ES"/>
        </w:rPr>
        <w:t>reflejan</w:t>
      </w:r>
      <w:r w:rsidR="00D136BB">
        <w:rPr>
          <w:lang w:val="es-ES"/>
        </w:rPr>
        <w:t xml:space="preserve"> </w:t>
      </w:r>
      <w:r w:rsidRPr="003618E2">
        <w:rPr>
          <w:lang w:val="es-ES"/>
        </w:rPr>
        <w:t>el</w:t>
      </w:r>
      <w:r w:rsidR="00D136BB">
        <w:rPr>
          <w:lang w:val="es-ES"/>
        </w:rPr>
        <w:t xml:space="preserve"> </w:t>
      </w:r>
      <w:r w:rsidRPr="003618E2">
        <w:rPr>
          <w:lang w:val="es-ES"/>
        </w:rPr>
        <w:t>estado</w:t>
      </w:r>
      <w:r w:rsidR="00D136BB">
        <w:rPr>
          <w:lang w:val="es-ES"/>
        </w:rPr>
        <w:t xml:space="preserve"> </w:t>
      </w:r>
      <w:r w:rsidRPr="003618E2">
        <w:rPr>
          <w:lang w:val="es-ES"/>
        </w:rPr>
        <w:t>interno</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componentes</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sistemas</w:t>
      </w:r>
      <w:r w:rsidR="00D136BB">
        <w:rPr>
          <w:lang w:val="es-ES"/>
        </w:rPr>
        <w:t xml:space="preserve"> </w:t>
      </w:r>
      <w:r w:rsidRPr="003618E2">
        <w:rPr>
          <w:lang w:val="es-ES"/>
        </w:rPr>
        <w:t>estudiados</w:t>
      </w:r>
      <w:r w:rsidR="00D136BB">
        <w:rPr>
          <w:lang w:val="es-ES"/>
        </w:rPr>
        <w:t xml:space="preserve"> </w:t>
      </w:r>
      <w:r w:rsidRPr="003618E2">
        <w:rPr>
          <w:lang w:val="es-ES"/>
        </w:rPr>
        <w:t>(platos,</w:t>
      </w:r>
      <w:r w:rsidR="00D136BB">
        <w:rPr>
          <w:lang w:val="es-ES"/>
        </w:rPr>
        <w:t xml:space="preserve"> </w:t>
      </w:r>
      <w:r w:rsidRPr="003618E2">
        <w:rPr>
          <w:lang w:val="es-ES"/>
        </w:rPr>
        <w:t>columnas</w:t>
      </w:r>
      <w:r w:rsidR="00D136BB">
        <w:rPr>
          <w:lang w:val="es-ES"/>
        </w:rPr>
        <w:t xml:space="preserve"> </w:t>
      </w:r>
      <w:r w:rsidRPr="003618E2">
        <w:rPr>
          <w:lang w:val="es-ES"/>
        </w:rPr>
        <w:t>de</w:t>
      </w:r>
      <w:r w:rsidR="00D136BB">
        <w:rPr>
          <w:lang w:val="es-ES"/>
        </w:rPr>
        <w:t xml:space="preserve"> </w:t>
      </w:r>
      <w:r w:rsidRPr="003618E2">
        <w:rPr>
          <w:lang w:val="es-ES"/>
        </w:rPr>
        <w:t>rellenos,</w:t>
      </w:r>
      <w:r w:rsidR="00D136BB">
        <w:rPr>
          <w:lang w:val="es-ES"/>
        </w:rPr>
        <w:t xml:space="preserve"> </w:t>
      </w:r>
      <w:r w:rsidRPr="003618E2">
        <w:rPr>
          <w:lang w:val="es-ES"/>
        </w:rPr>
        <w:t>etc.).</w:t>
      </w:r>
      <w:r w:rsidR="00D136BB">
        <w:rPr>
          <w:lang w:val="es-ES"/>
        </w:rPr>
        <w:t xml:space="preserve"> </w:t>
      </w:r>
      <w:r w:rsidRPr="003618E2">
        <w:rPr>
          <w:lang w:val="es-ES"/>
        </w:rPr>
        <w:t>Existen</w:t>
      </w:r>
      <w:r w:rsidR="00D136BB">
        <w:rPr>
          <w:lang w:val="es-ES"/>
        </w:rPr>
        <w:t xml:space="preserve"> </w:t>
      </w:r>
      <w:r w:rsidRPr="003618E2">
        <w:rPr>
          <w:lang w:val="es-ES"/>
        </w:rPr>
        <w:t>aplicaciones</w:t>
      </w:r>
      <w:r w:rsidR="00D136BB">
        <w:rPr>
          <w:lang w:val="es-ES"/>
        </w:rPr>
        <w:t xml:space="preserve"> </w:t>
      </w:r>
      <w:r w:rsidRPr="003618E2">
        <w:rPr>
          <w:lang w:val="es-ES"/>
        </w:rPr>
        <w:t>de</w:t>
      </w:r>
      <w:r w:rsidR="00D136BB">
        <w:rPr>
          <w:lang w:val="es-ES"/>
        </w:rPr>
        <w:t xml:space="preserve"> </w:t>
      </w:r>
      <w:r w:rsidRPr="003618E2">
        <w:rPr>
          <w:lang w:val="es-ES"/>
        </w:rPr>
        <w:t>tomografía</w:t>
      </w:r>
      <w:r w:rsidR="00D136BB">
        <w:rPr>
          <w:lang w:val="es-ES"/>
        </w:rPr>
        <w:t xml:space="preserve"> </w:t>
      </w:r>
      <w:r w:rsidRPr="003618E2">
        <w:rPr>
          <w:lang w:val="es-ES"/>
        </w:rPr>
        <w:t>industrial</w:t>
      </w:r>
      <w:r w:rsidR="00D136BB">
        <w:rPr>
          <w:lang w:val="es-ES"/>
        </w:rPr>
        <w:t xml:space="preserve"> </w:t>
      </w:r>
      <w:r w:rsidRPr="003618E2">
        <w:rPr>
          <w:lang w:val="es-ES"/>
        </w:rPr>
        <w:t>computadorizada</w:t>
      </w:r>
      <w:r w:rsidR="00D136BB">
        <w:rPr>
          <w:lang w:val="es-ES"/>
        </w:rPr>
        <w:t xml:space="preserve"> </w:t>
      </w:r>
      <w:r w:rsidRPr="003618E2">
        <w:rPr>
          <w:lang w:val="es-ES"/>
        </w:rPr>
        <w:t>utilizada</w:t>
      </w:r>
      <w:r w:rsidR="00D136BB">
        <w:rPr>
          <w:lang w:val="es-ES"/>
        </w:rPr>
        <w:t xml:space="preserve"> </w:t>
      </w:r>
      <w:r w:rsidRPr="003618E2">
        <w:rPr>
          <w:lang w:val="es-ES"/>
        </w:rPr>
        <w:t>para</w:t>
      </w:r>
      <w:r w:rsidR="00D136BB">
        <w:rPr>
          <w:lang w:val="es-ES"/>
        </w:rPr>
        <w:t xml:space="preserve"> </w:t>
      </w:r>
      <w:r w:rsidRPr="003618E2">
        <w:rPr>
          <w:lang w:val="es-ES"/>
        </w:rPr>
        <w:t>estudiar</w:t>
      </w:r>
      <w:r w:rsidR="00D136BB">
        <w:rPr>
          <w:lang w:val="es-ES"/>
        </w:rPr>
        <w:t xml:space="preserve"> </w:t>
      </w:r>
      <w:r w:rsidRPr="003618E2">
        <w:rPr>
          <w:lang w:val="es-ES"/>
        </w:rPr>
        <w:t>sistemas</w:t>
      </w:r>
      <w:r w:rsidR="00D136BB">
        <w:rPr>
          <w:lang w:val="es-ES"/>
        </w:rPr>
        <w:t xml:space="preserve"> </w:t>
      </w:r>
      <w:r w:rsidRPr="003618E2">
        <w:rPr>
          <w:lang w:val="es-ES"/>
        </w:rPr>
        <w:t>relacionados</w:t>
      </w:r>
      <w:r w:rsidR="00D136BB">
        <w:rPr>
          <w:lang w:val="es-ES"/>
        </w:rPr>
        <w:t xml:space="preserve"> </w:t>
      </w:r>
      <w:r w:rsidRPr="003618E2">
        <w:rPr>
          <w:lang w:val="es-ES"/>
        </w:rPr>
        <w:t>a</w:t>
      </w:r>
      <w:r w:rsidR="00D136BB">
        <w:rPr>
          <w:lang w:val="es-ES"/>
        </w:rPr>
        <w:t xml:space="preserve"> </w:t>
      </w:r>
      <w:r w:rsidRPr="003618E2">
        <w:rPr>
          <w:lang w:val="es-ES"/>
        </w:rPr>
        <w:t>la</w:t>
      </w:r>
      <w:r w:rsidR="00D136BB">
        <w:rPr>
          <w:lang w:val="es-ES"/>
        </w:rPr>
        <w:t xml:space="preserve"> </w:t>
      </w:r>
      <w:r w:rsidRPr="003618E2">
        <w:rPr>
          <w:lang w:val="es-ES"/>
        </w:rPr>
        <w:t>industria.</w:t>
      </w:r>
    </w:p>
    <w:p w14:paraId="1EDB5EE7" w14:textId="15217D78" w:rsidR="006D362C" w:rsidRPr="003618E2" w:rsidRDefault="006D362C" w:rsidP="006D362C">
      <w:pPr>
        <w:pStyle w:val="BodyText"/>
        <w:rPr>
          <w:lang w:val="es-ES"/>
        </w:rPr>
      </w:pPr>
      <w:r w:rsidRPr="003618E2">
        <w:rPr>
          <w:lang w:val="es-ES"/>
        </w:rPr>
        <w:t>Técnicas</w:t>
      </w:r>
      <w:r w:rsidR="00D136BB">
        <w:rPr>
          <w:lang w:val="es-ES"/>
        </w:rPr>
        <w:t xml:space="preserve"> </w:t>
      </w:r>
      <w:r w:rsidRPr="003618E2">
        <w:rPr>
          <w:lang w:val="es-ES"/>
        </w:rPr>
        <w:t>analíticas</w:t>
      </w:r>
      <w:r w:rsidR="00D136BB">
        <w:rPr>
          <w:lang w:val="es-ES"/>
        </w:rPr>
        <w:t xml:space="preserve"> </w:t>
      </w:r>
      <w:r w:rsidRPr="003618E2">
        <w:rPr>
          <w:lang w:val="es-ES"/>
        </w:rPr>
        <w:t>(TAN).</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analíticas</w:t>
      </w:r>
      <w:r w:rsidR="00D136BB">
        <w:rPr>
          <w:lang w:val="es-ES"/>
        </w:rPr>
        <w:t xml:space="preserve"> </w:t>
      </w:r>
      <w:r w:rsidRPr="003618E2">
        <w:rPr>
          <w:lang w:val="es-ES"/>
        </w:rPr>
        <w:t>nucleares</w:t>
      </w:r>
      <w:r w:rsidR="00D136BB">
        <w:rPr>
          <w:lang w:val="es-ES"/>
        </w:rPr>
        <w:t xml:space="preserve"> </w:t>
      </w:r>
      <w:r w:rsidRPr="003618E2">
        <w:rPr>
          <w:lang w:val="es-ES"/>
        </w:rPr>
        <w:t>están</w:t>
      </w:r>
      <w:r w:rsidR="00D136BB">
        <w:rPr>
          <w:lang w:val="es-ES"/>
        </w:rPr>
        <w:t xml:space="preserve"> </w:t>
      </w:r>
      <w:r w:rsidRPr="003618E2">
        <w:rPr>
          <w:lang w:val="es-ES"/>
        </w:rPr>
        <w:t>disponibles</w:t>
      </w:r>
      <w:r w:rsidR="00D136BB">
        <w:rPr>
          <w:lang w:val="es-ES"/>
        </w:rPr>
        <w:t xml:space="preserve"> </w:t>
      </w:r>
      <w:r w:rsidRPr="003618E2">
        <w:rPr>
          <w:lang w:val="es-ES"/>
        </w:rPr>
        <w:t>para</w:t>
      </w:r>
      <w:r w:rsidR="00D136BB">
        <w:rPr>
          <w:lang w:val="es-ES"/>
        </w:rPr>
        <w:t xml:space="preserve"> </w:t>
      </w:r>
      <w:r w:rsidRPr="003618E2">
        <w:rPr>
          <w:lang w:val="es-ES"/>
        </w:rPr>
        <w:t>realizar</w:t>
      </w:r>
      <w:r w:rsidR="00D136BB">
        <w:rPr>
          <w:lang w:val="es-ES"/>
        </w:rPr>
        <w:t xml:space="preserve"> </w:t>
      </w:r>
      <w:r w:rsidRPr="003618E2">
        <w:rPr>
          <w:lang w:val="es-ES"/>
        </w:rPr>
        <w:t>análisis</w:t>
      </w:r>
      <w:r w:rsidR="00D136BB">
        <w:rPr>
          <w:lang w:val="es-ES"/>
        </w:rPr>
        <w:t xml:space="preserve"> </w:t>
      </w:r>
      <w:r w:rsidRPr="003618E2">
        <w:rPr>
          <w:lang w:val="es-ES"/>
        </w:rPr>
        <w:t>de</w:t>
      </w:r>
      <w:r w:rsidR="00D136BB">
        <w:rPr>
          <w:lang w:val="es-ES"/>
        </w:rPr>
        <w:t xml:space="preserve"> </w:t>
      </w:r>
      <w:r w:rsidRPr="003618E2">
        <w:rPr>
          <w:lang w:val="es-ES"/>
        </w:rPr>
        <w:t>laboratorio;</w:t>
      </w:r>
      <w:r w:rsidR="00D136BB">
        <w:rPr>
          <w:lang w:val="es-ES"/>
        </w:rPr>
        <w:t xml:space="preserve"> </w:t>
      </w:r>
      <w:r w:rsidRPr="003618E2">
        <w:rPr>
          <w:lang w:val="es-ES"/>
        </w:rPr>
        <w:t>también</w:t>
      </w:r>
      <w:r w:rsidR="00D136BB">
        <w:rPr>
          <w:lang w:val="es-ES"/>
        </w:rPr>
        <w:t xml:space="preserve"> </w:t>
      </w:r>
      <w:r w:rsidRPr="003618E2">
        <w:rPr>
          <w:lang w:val="es-ES"/>
        </w:rPr>
        <w:t>pueden</w:t>
      </w:r>
      <w:r w:rsidR="00D136BB">
        <w:rPr>
          <w:lang w:val="es-ES"/>
        </w:rPr>
        <w:t xml:space="preserve"> </w:t>
      </w:r>
      <w:r w:rsidRPr="003618E2">
        <w:rPr>
          <w:lang w:val="es-ES"/>
        </w:rPr>
        <w:t>configurarse</w:t>
      </w:r>
      <w:r w:rsidR="00D136BB">
        <w:rPr>
          <w:lang w:val="es-ES"/>
        </w:rPr>
        <w:t xml:space="preserve"> </w:t>
      </w:r>
      <w:r w:rsidRPr="003618E2">
        <w:rPr>
          <w:lang w:val="es-ES"/>
        </w:rPr>
        <w:t>para</w:t>
      </w:r>
      <w:r w:rsidR="00D136BB">
        <w:rPr>
          <w:lang w:val="es-ES"/>
        </w:rPr>
        <w:t xml:space="preserve"> </w:t>
      </w:r>
      <w:r w:rsidRPr="003618E2">
        <w:rPr>
          <w:lang w:val="es-ES"/>
        </w:rPr>
        <w:t>análisis</w:t>
      </w:r>
      <w:r w:rsidR="00D136BB">
        <w:rPr>
          <w:lang w:val="es-ES"/>
        </w:rPr>
        <w:t xml:space="preserve"> </w:t>
      </w:r>
      <w:r w:rsidRPr="003618E2">
        <w:rPr>
          <w:lang w:val="es-ES"/>
        </w:rPr>
        <w:t>en</w:t>
      </w:r>
      <w:r w:rsidR="00D136BB">
        <w:rPr>
          <w:lang w:val="es-ES"/>
        </w:rPr>
        <w:t xml:space="preserve"> </w:t>
      </w:r>
      <w:r w:rsidRPr="003618E2">
        <w:rPr>
          <w:lang w:val="es-ES"/>
        </w:rPr>
        <w:t>línea</w:t>
      </w:r>
      <w:r w:rsidR="00D136BB">
        <w:rPr>
          <w:lang w:val="es-ES"/>
        </w:rPr>
        <w:t xml:space="preserve"> </w:t>
      </w:r>
      <w:r w:rsidRPr="003618E2">
        <w:rPr>
          <w:lang w:val="es-ES"/>
        </w:rPr>
        <w:t>para</w:t>
      </w:r>
      <w:r w:rsidR="00D136BB">
        <w:rPr>
          <w:lang w:val="es-ES"/>
        </w:rPr>
        <w:t xml:space="preserve"> </w:t>
      </w: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procesos</w:t>
      </w:r>
      <w:r w:rsidR="00D136BB">
        <w:rPr>
          <w:lang w:val="es-ES"/>
        </w:rPr>
        <w:t xml:space="preserve"> </w:t>
      </w:r>
      <w:r w:rsidRPr="003618E2">
        <w:rPr>
          <w:lang w:val="es-ES"/>
        </w:rPr>
        <w:t>o</w:t>
      </w:r>
      <w:r w:rsidR="00D136BB">
        <w:rPr>
          <w:lang w:val="es-ES"/>
        </w:rPr>
        <w:t xml:space="preserve"> </w:t>
      </w:r>
      <w:r w:rsidRPr="003618E2">
        <w:rPr>
          <w:lang w:val="es-ES"/>
        </w:rPr>
        <w:t>incluso</w:t>
      </w:r>
      <w:r w:rsidR="00D136BB">
        <w:rPr>
          <w:lang w:val="es-ES"/>
        </w:rPr>
        <w:t xml:space="preserve"> </w:t>
      </w:r>
      <w:r w:rsidRPr="003618E2">
        <w:rPr>
          <w:lang w:val="es-ES"/>
        </w:rPr>
        <w:t>para</w:t>
      </w:r>
      <w:r w:rsidR="00D136BB">
        <w:rPr>
          <w:lang w:val="es-ES"/>
        </w:rPr>
        <w:t xml:space="preserve"> </w:t>
      </w:r>
      <w:r w:rsidRPr="003618E2">
        <w:rPr>
          <w:lang w:val="es-ES"/>
        </w:rPr>
        <w:t>análisis</w:t>
      </w:r>
      <w:r w:rsidR="00D136BB">
        <w:rPr>
          <w:lang w:val="es-ES"/>
        </w:rPr>
        <w:t xml:space="preserve"> </w:t>
      </w:r>
      <w:r w:rsidRPr="003618E2">
        <w:rPr>
          <w:i/>
          <w:iCs/>
          <w:lang w:val="es-ES"/>
        </w:rPr>
        <w:t>in-situ</w:t>
      </w:r>
      <w:r w:rsidR="00D136BB">
        <w:rPr>
          <w:lang w:val="es-ES"/>
        </w:rPr>
        <w:t xml:space="preserve"> </w:t>
      </w:r>
      <w:r w:rsidRPr="003618E2">
        <w:rPr>
          <w:lang w:val="es-ES"/>
        </w:rPr>
        <w:t>de</w:t>
      </w:r>
      <w:r w:rsidR="00D136BB">
        <w:rPr>
          <w:lang w:val="es-ES"/>
        </w:rPr>
        <w:t xml:space="preserve"> </w:t>
      </w:r>
      <w:r w:rsidRPr="003618E2">
        <w:rPr>
          <w:lang w:val="es-ES"/>
        </w:rPr>
        <w:t>objetos</w:t>
      </w:r>
      <w:r w:rsidR="00D136BB">
        <w:rPr>
          <w:lang w:val="es-ES"/>
        </w:rPr>
        <w:t xml:space="preserve"> </w:t>
      </w:r>
      <w:r w:rsidRPr="003618E2">
        <w:rPr>
          <w:lang w:val="es-ES"/>
        </w:rPr>
        <w:t>no</w:t>
      </w:r>
      <w:r w:rsidR="00D136BB">
        <w:rPr>
          <w:lang w:val="es-ES"/>
        </w:rPr>
        <w:t xml:space="preserve"> </w:t>
      </w:r>
      <w:r w:rsidRPr="003618E2">
        <w:rPr>
          <w:lang w:val="es-ES"/>
        </w:rPr>
        <w:t>transportables</w:t>
      </w:r>
      <w:r w:rsidR="00D136BB">
        <w:rPr>
          <w:lang w:val="es-ES"/>
        </w:rPr>
        <w:t xml:space="preserve"> </w:t>
      </w:r>
      <w:r w:rsidRPr="003618E2">
        <w:rPr>
          <w:lang w:val="es-ES"/>
        </w:rPr>
        <w:t>o</w:t>
      </w:r>
      <w:r w:rsidR="00D136BB">
        <w:rPr>
          <w:lang w:val="es-ES"/>
        </w:rPr>
        <w:t xml:space="preserve"> </w:t>
      </w:r>
      <w:r w:rsidRPr="003618E2">
        <w:rPr>
          <w:lang w:val="es-ES"/>
        </w:rPr>
        <w:t>valiosos.</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de</w:t>
      </w:r>
      <w:r w:rsidR="00D136BB">
        <w:rPr>
          <w:lang w:val="es-ES"/>
        </w:rPr>
        <w:t xml:space="preserve"> </w:t>
      </w:r>
      <w:r w:rsidRPr="003618E2">
        <w:rPr>
          <w:lang w:val="es-ES"/>
        </w:rPr>
        <w:t>análisis</w:t>
      </w:r>
      <w:r w:rsidR="00D136BB">
        <w:rPr>
          <w:lang w:val="es-ES"/>
        </w:rPr>
        <w:t xml:space="preserve"> </w:t>
      </w:r>
      <w:r w:rsidRPr="003618E2">
        <w:rPr>
          <w:lang w:val="es-ES"/>
        </w:rPr>
        <w:t>más</w:t>
      </w:r>
      <w:r w:rsidR="00D136BB">
        <w:rPr>
          <w:lang w:val="es-ES"/>
        </w:rPr>
        <w:t xml:space="preserve"> </w:t>
      </w:r>
      <w:r w:rsidRPr="003618E2">
        <w:rPr>
          <w:lang w:val="es-ES"/>
        </w:rPr>
        <w:t>importantes</w:t>
      </w:r>
      <w:r w:rsidR="00D136BB">
        <w:rPr>
          <w:lang w:val="es-ES"/>
        </w:rPr>
        <w:t xml:space="preserve"> </w:t>
      </w:r>
      <w:r w:rsidRPr="003618E2">
        <w:rPr>
          <w:lang w:val="es-ES"/>
        </w:rPr>
        <w:t>son</w:t>
      </w:r>
      <w:r w:rsidR="00D136BB">
        <w:rPr>
          <w:lang w:val="es-ES"/>
        </w:rPr>
        <w:t xml:space="preserve"> </w:t>
      </w:r>
      <w:r w:rsidRPr="003618E2">
        <w:rPr>
          <w:lang w:val="es-ES"/>
        </w:rPr>
        <w:t>el</w:t>
      </w:r>
      <w:r w:rsidR="00D136BB">
        <w:rPr>
          <w:lang w:val="es-ES"/>
        </w:rPr>
        <w:t xml:space="preserve"> </w:t>
      </w:r>
      <w:r w:rsidRPr="003618E2">
        <w:rPr>
          <w:lang w:val="es-ES"/>
        </w:rPr>
        <w:t>análisis</w:t>
      </w:r>
      <w:r w:rsidR="00D136BB">
        <w:rPr>
          <w:lang w:val="es-ES"/>
        </w:rPr>
        <w:t xml:space="preserve"> </w:t>
      </w:r>
      <w:r w:rsidRPr="003618E2">
        <w:rPr>
          <w:lang w:val="es-ES"/>
        </w:rPr>
        <w:t>por</w:t>
      </w:r>
      <w:r w:rsidR="00D136BB">
        <w:rPr>
          <w:lang w:val="es-ES"/>
        </w:rPr>
        <w:t xml:space="preserve"> </w:t>
      </w:r>
      <w:r w:rsidRPr="003618E2">
        <w:rPr>
          <w:lang w:val="es-ES"/>
        </w:rPr>
        <w:t>activación</w:t>
      </w:r>
      <w:r w:rsidR="00D136BB">
        <w:rPr>
          <w:lang w:val="es-ES"/>
        </w:rPr>
        <w:t xml:space="preserve"> </w:t>
      </w:r>
      <w:r w:rsidRPr="003618E2">
        <w:rPr>
          <w:lang w:val="es-ES"/>
        </w:rPr>
        <w:t>neutrónica,</w:t>
      </w:r>
      <w:r w:rsidR="00D136BB">
        <w:rPr>
          <w:lang w:val="es-ES"/>
        </w:rPr>
        <w:t xml:space="preserve"> </w:t>
      </w:r>
      <w:r w:rsidRPr="003618E2">
        <w:rPr>
          <w:lang w:val="es-ES"/>
        </w:rPr>
        <w:t>fluorescencia</w:t>
      </w:r>
      <w:r w:rsidR="00D136BB">
        <w:rPr>
          <w:lang w:val="es-ES"/>
        </w:rPr>
        <w:t xml:space="preserve"> </w:t>
      </w:r>
      <w:r w:rsidRPr="003618E2">
        <w:rPr>
          <w:lang w:val="es-ES"/>
        </w:rPr>
        <w:t>y</w:t>
      </w:r>
      <w:r w:rsidR="00D136BB">
        <w:rPr>
          <w:lang w:val="es-ES"/>
        </w:rPr>
        <w:t xml:space="preserve"> </w:t>
      </w:r>
      <w:r w:rsidRPr="003618E2">
        <w:rPr>
          <w:lang w:val="es-ES"/>
        </w:rPr>
        <w:t>difracción</w:t>
      </w:r>
      <w:r w:rsidR="00D136BB">
        <w:rPr>
          <w:lang w:val="es-ES"/>
        </w:rPr>
        <w:t xml:space="preserve"> </w:t>
      </w:r>
      <w:r w:rsidRPr="003618E2">
        <w:rPr>
          <w:lang w:val="es-ES"/>
        </w:rPr>
        <w:t>de</w:t>
      </w:r>
      <w:r w:rsidR="00D136BB">
        <w:rPr>
          <w:lang w:val="es-ES"/>
        </w:rPr>
        <w:t xml:space="preserve"> </w:t>
      </w:r>
      <w:r w:rsidRPr="003618E2">
        <w:rPr>
          <w:lang w:val="es-ES"/>
        </w:rPr>
        <w:t>rayos</w:t>
      </w:r>
      <w:r w:rsidR="00D136BB">
        <w:rPr>
          <w:lang w:val="es-ES"/>
        </w:rPr>
        <w:t xml:space="preserve"> </w:t>
      </w:r>
      <w:r w:rsidRPr="003618E2">
        <w:rPr>
          <w:lang w:val="es-ES"/>
        </w:rPr>
        <w:t>X,</w:t>
      </w:r>
      <w:r w:rsidR="00D136BB">
        <w:rPr>
          <w:lang w:val="es-ES"/>
        </w:rPr>
        <w:t xml:space="preserve"> </w:t>
      </w:r>
      <w:r w:rsidRPr="003618E2">
        <w:rPr>
          <w:lang w:val="es-ES"/>
        </w:rPr>
        <w:t>microscopia</w:t>
      </w:r>
      <w:r w:rsidR="00D136BB">
        <w:rPr>
          <w:lang w:val="es-ES"/>
        </w:rPr>
        <w:t xml:space="preserve"> </w:t>
      </w:r>
      <w:r w:rsidRPr="003618E2">
        <w:rPr>
          <w:lang w:val="es-ES"/>
        </w:rPr>
        <w:t>electrónica,</w:t>
      </w:r>
      <w:r w:rsidR="00D136BB">
        <w:rPr>
          <w:lang w:val="es-ES"/>
        </w:rPr>
        <w:t xml:space="preserve"> </w:t>
      </w:r>
      <w:r w:rsidRPr="003618E2">
        <w:rPr>
          <w:lang w:val="es-ES"/>
        </w:rPr>
        <w:t>análisis</w:t>
      </w:r>
      <w:r w:rsidR="00D136BB">
        <w:rPr>
          <w:lang w:val="es-ES"/>
        </w:rPr>
        <w:t xml:space="preserve"> </w:t>
      </w:r>
      <w:r w:rsidRPr="003618E2">
        <w:rPr>
          <w:lang w:val="es-ES"/>
        </w:rPr>
        <w:t>por</w:t>
      </w:r>
      <w:r w:rsidR="00D136BB">
        <w:rPr>
          <w:lang w:val="es-ES"/>
        </w:rPr>
        <w:t xml:space="preserve"> </w:t>
      </w:r>
      <w:r w:rsidRPr="003618E2">
        <w:rPr>
          <w:lang w:val="es-ES"/>
        </w:rPr>
        <w:t>activación</w:t>
      </w:r>
      <w:r w:rsidR="00D136BB">
        <w:rPr>
          <w:lang w:val="es-ES"/>
        </w:rPr>
        <w:t xml:space="preserve"> </w:t>
      </w:r>
      <w:r w:rsidRPr="003618E2">
        <w:rPr>
          <w:lang w:val="es-ES"/>
        </w:rPr>
        <w:t>nuclear</w:t>
      </w:r>
      <w:r w:rsidR="00D136BB">
        <w:rPr>
          <w:lang w:val="es-ES"/>
        </w:rPr>
        <w:t xml:space="preserve"> </w:t>
      </w:r>
      <w:r w:rsidRPr="003618E2">
        <w:rPr>
          <w:lang w:val="es-ES"/>
        </w:rPr>
        <w:t>por</w:t>
      </w:r>
      <w:r w:rsidR="00D136BB">
        <w:rPr>
          <w:lang w:val="es-ES"/>
        </w:rPr>
        <w:t xml:space="preserve"> </w:t>
      </w:r>
      <w:r w:rsidRPr="003618E2">
        <w:rPr>
          <w:lang w:val="es-ES"/>
        </w:rPr>
        <w:t>gammas</w:t>
      </w:r>
      <w:r w:rsidR="00D136BB">
        <w:rPr>
          <w:lang w:val="es-ES"/>
        </w:rPr>
        <w:t xml:space="preserve"> </w:t>
      </w:r>
      <w:r w:rsidRPr="003618E2">
        <w:rPr>
          <w:lang w:val="es-ES"/>
        </w:rPr>
        <w:t>inmediatas</w:t>
      </w:r>
      <w:r w:rsidR="00D136BB">
        <w:rPr>
          <w:lang w:val="es-ES"/>
        </w:rPr>
        <w:t xml:space="preserve"> </w:t>
      </w:r>
      <w:r w:rsidRPr="003618E2">
        <w:rPr>
          <w:lang w:val="es-ES"/>
        </w:rPr>
        <w:t>y</w:t>
      </w:r>
      <w:r w:rsidR="00D136BB">
        <w:rPr>
          <w:lang w:val="es-ES"/>
        </w:rPr>
        <w:t xml:space="preserve"> </w:t>
      </w:r>
      <w:r w:rsidRPr="003618E2">
        <w:rPr>
          <w:lang w:val="es-ES"/>
        </w:rPr>
        <w:t>emisión</w:t>
      </w:r>
      <w:r w:rsidR="00D136BB">
        <w:rPr>
          <w:lang w:val="es-ES"/>
        </w:rPr>
        <w:t xml:space="preserve"> </w:t>
      </w:r>
      <w:r w:rsidRPr="003618E2">
        <w:rPr>
          <w:lang w:val="es-ES"/>
        </w:rPr>
        <w:t>de</w:t>
      </w:r>
      <w:r w:rsidR="00D136BB">
        <w:rPr>
          <w:lang w:val="es-ES"/>
        </w:rPr>
        <w:t xml:space="preserve"> </w:t>
      </w:r>
      <w:r w:rsidRPr="003618E2">
        <w:rPr>
          <w:lang w:val="es-ES"/>
        </w:rPr>
        <w:t>rayos</w:t>
      </w:r>
      <w:r w:rsidR="00D136BB">
        <w:rPr>
          <w:lang w:val="es-ES"/>
        </w:rPr>
        <w:t xml:space="preserve"> </w:t>
      </w:r>
      <w:r w:rsidRPr="003618E2">
        <w:rPr>
          <w:lang w:val="es-ES"/>
        </w:rPr>
        <w:t>X</w:t>
      </w:r>
      <w:r w:rsidR="00D136BB">
        <w:rPr>
          <w:lang w:val="es-ES"/>
        </w:rPr>
        <w:t xml:space="preserve"> </w:t>
      </w:r>
      <w:r w:rsidRPr="003618E2">
        <w:rPr>
          <w:lang w:val="es-ES"/>
        </w:rPr>
        <w:t>inducida</w:t>
      </w:r>
      <w:r w:rsidR="00D136BB">
        <w:rPr>
          <w:lang w:val="es-ES"/>
        </w:rPr>
        <w:t xml:space="preserve"> </w:t>
      </w:r>
      <w:r w:rsidRPr="003618E2">
        <w:rPr>
          <w:lang w:val="es-ES"/>
        </w:rPr>
        <w:t>por</w:t>
      </w:r>
      <w:r w:rsidR="00D136BB">
        <w:rPr>
          <w:lang w:val="es-ES"/>
        </w:rPr>
        <w:t xml:space="preserve"> </w:t>
      </w:r>
      <w:r w:rsidRPr="003618E2">
        <w:rPr>
          <w:lang w:val="es-ES"/>
        </w:rPr>
        <w:t>partículas</w:t>
      </w:r>
      <w:r w:rsidR="00D136BB">
        <w:rPr>
          <w:lang w:val="es-ES"/>
        </w:rPr>
        <w:t xml:space="preserve"> </w:t>
      </w:r>
      <w:r w:rsidRPr="003618E2">
        <w:rPr>
          <w:lang w:val="es-ES"/>
        </w:rPr>
        <w:t>.</w:t>
      </w:r>
    </w:p>
    <w:p w14:paraId="60D47BBD" w14:textId="6AF94A43" w:rsidR="006D362C" w:rsidRPr="003618E2" w:rsidRDefault="006D362C" w:rsidP="006D362C">
      <w:pPr>
        <w:pStyle w:val="BodyText"/>
        <w:rPr>
          <w:lang w:val="es-ES"/>
        </w:rPr>
      </w:pPr>
      <w:r w:rsidRPr="003618E2">
        <w:rPr>
          <w:lang w:val="es-ES"/>
        </w:rPr>
        <w:lastRenderedPageBreak/>
        <w:t>Ensayos</w:t>
      </w:r>
      <w:r w:rsidR="00D136BB">
        <w:rPr>
          <w:lang w:val="es-ES"/>
        </w:rPr>
        <w:t xml:space="preserve"> </w:t>
      </w:r>
      <w:r w:rsidRPr="003618E2">
        <w:rPr>
          <w:lang w:val="es-ES"/>
        </w:rPr>
        <w:t>no</w:t>
      </w:r>
      <w:r w:rsidR="00D136BB">
        <w:rPr>
          <w:lang w:val="es-ES"/>
        </w:rPr>
        <w:t xml:space="preserve"> </w:t>
      </w:r>
      <w:r w:rsidRPr="003618E2">
        <w:rPr>
          <w:lang w:val="es-ES"/>
        </w:rPr>
        <w:t>Destructivos</w:t>
      </w:r>
      <w:r w:rsidR="00D136BB">
        <w:rPr>
          <w:lang w:val="es-ES"/>
        </w:rPr>
        <w:t xml:space="preserve"> </w:t>
      </w:r>
      <w:r w:rsidRPr="003618E2">
        <w:rPr>
          <w:lang w:val="es-ES"/>
        </w:rPr>
        <w:t>(END).</w:t>
      </w:r>
      <w:r w:rsidR="00D136BB">
        <w:rPr>
          <w:lang w:val="es-ES"/>
        </w:rPr>
        <w:t xml:space="preserve"> </w:t>
      </w:r>
      <w:r w:rsidRPr="003618E2">
        <w:rPr>
          <w:lang w:val="es-ES"/>
        </w:rPr>
        <w:t>Esta</w:t>
      </w:r>
      <w:r w:rsidR="00D136BB">
        <w:rPr>
          <w:lang w:val="es-ES"/>
        </w:rPr>
        <w:t xml:space="preserve"> </w:t>
      </w:r>
      <w:r w:rsidRPr="003618E2">
        <w:rPr>
          <w:lang w:val="es-ES"/>
        </w:rPr>
        <w:t>categoría</w:t>
      </w:r>
      <w:r w:rsidR="00D136BB">
        <w:rPr>
          <w:lang w:val="es-ES"/>
        </w:rPr>
        <w:t xml:space="preserve"> </w:t>
      </w:r>
      <w:r w:rsidRPr="003618E2">
        <w:rPr>
          <w:lang w:val="es-ES"/>
        </w:rPr>
        <w:t>incluye</w:t>
      </w:r>
      <w:r w:rsidR="00D136BB">
        <w:rPr>
          <w:lang w:val="es-ES"/>
        </w:rPr>
        <w:t xml:space="preserve"> </w:t>
      </w:r>
      <w:r w:rsidRPr="003618E2">
        <w:rPr>
          <w:lang w:val="es-ES"/>
        </w:rPr>
        <w:t>técnicas</w:t>
      </w:r>
      <w:r w:rsidR="00D136BB">
        <w:rPr>
          <w:lang w:val="es-ES"/>
        </w:rPr>
        <w:t xml:space="preserve"> </w:t>
      </w:r>
      <w:r w:rsidRPr="003618E2">
        <w:rPr>
          <w:lang w:val="es-ES"/>
        </w:rPr>
        <w:t>nucleares</w:t>
      </w:r>
      <w:r w:rsidR="00D136BB">
        <w:rPr>
          <w:lang w:val="es-ES"/>
        </w:rPr>
        <w:t xml:space="preserve"> </w:t>
      </w:r>
      <w:r w:rsidRPr="003618E2">
        <w:rPr>
          <w:lang w:val="es-ES"/>
        </w:rPr>
        <w:t>y</w:t>
      </w:r>
      <w:r w:rsidR="00D136BB">
        <w:rPr>
          <w:lang w:val="es-ES"/>
        </w:rPr>
        <w:t xml:space="preserve"> </w:t>
      </w:r>
      <w:r w:rsidRPr="003618E2">
        <w:rPr>
          <w:lang w:val="es-ES"/>
        </w:rPr>
        <w:t>no</w:t>
      </w:r>
      <w:r w:rsidR="00D136BB">
        <w:rPr>
          <w:lang w:val="es-ES"/>
        </w:rPr>
        <w:t xml:space="preserve"> </w:t>
      </w:r>
      <w:r w:rsidRPr="003618E2">
        <w:rPr>
          <w:lang w:val="es-ES"/>
        </w:rPr>
        <w:t>nucleares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diagnóstico</w:t>
      </w:r>
      <w:r w:rsidR="00D136BB">
        <w:rPr>
          <w:lang w:val="es-ES"/>
        </w:rPr>
        <w:t xml:space="preserve"> </w:t>
      </w:r>
      <w:r w:rsidRPr="003618E2">
        <w:rPr>
          <w:lang w:val="es-ES"/>
        </w:rPr>
        <w:t>del</w:t>
      </w:r>
      <w:r w:rsidR="00D136BB">
        <w:rPr>
          <w:lang w:val="es-ES"/>
        </w:rPr>
        <w:t xml:space="preserve"> </w:t>
      </w:r>
      <w:r w:rsidRPr="003618E2">
        <w:rPr>
          <w:lang w:val="es-ES"/>
        </w:rPr>
        <w:t>estado</w:t>
      </w:r>
      <w:r w:rsidR="00D136BB">
        <w:rPr>
          <w:lang w:val="es-ES"/>
        </w:rPr>
        <w:t xml:space="preserve"> </w:t>
      </w:r>
      <w:r w:rsidRPr="003618E2">
        <w:rPr>
          <w:lang w:val="es-ES"/>
        </w:rPr>
        <w:t>de</w:t>
      </w:r>
      <w:r w:rsidR="00D136BB">
        <w:rPr>
          <w:lang w:val="es-ES"/>
        </w:rPr>
        <w:t xml:space="preserve"> </w:t>
      </w:r>
      <w:r w:rsidRPr="003618E2">
        <w:rPr>
          <w:lang w:val="es-ES"/>
        </w:rPr>
        <w:t>componentes</w:t>
      </w:r>
      <w:r w:rsidR="00D136BB">
        <w:rPr>
          <w:lang w:val="es-ES"/>
        </w:rPr>
        <w:t xml:space="preserve"> </w:t>
      </w:r>
      <w:r w:rsidRPr="003618E2">
        <w:rPr>
          <w:lang w:val="es-ES"/>
        </w:rPr>
        <w:t>industriales;</w:t>
      </w:r>
      <w:r w:rsidR="00D136BB">
        <w:rPr>
          <w:lang w:val="es-ES"/>
        </w:rPr>
        <w:t xml:space="preserve"> </w:t>
      </w:r>
      <w:r w:rsidRPr="003618E2">
        <w:rPr>
          <w:lang w:val="es-ES"/>
        </w:rPr>
        <w:t>la</w:t>
      </w:r>
      <w:r w:rsidR="00D136BB">
        <w:rPr>
          <w:lang w:val="es-ES"/>
        </w:rPr>
        <w:t xml:space="preserve"> </w:t>
      </w:r>
      <w:r w:rsidRPr="003618E2">
        <w:rPr>
          <w:lang w:val="es-ES"/>
        </w:rPr>
        <w:t>técnica</w:t>
      </w:r>
      <w:r w:rsidR="00D136BB">
        <w:rPr>
          <w:lang w:val="es-ES"/>
        </w:rPr>
        <w:t xml:space="preserve"> </w:t>
      </w:r>
      <w:r w:rsidRPr="003618E2">
        <w:rPr>
          <w:lang w:val="es-ES"/>
        </w:rPr>
        <w:t>nuclear</w:t>
      </w:r>
      <w:r w:rsidR="00D136BB">
        <w:rPr>
          <w:lang w:val="es-ES"/>
        </w:rPr>
        <w:t xml:space="preserve"> </w:t>
      </w:r>
      <w:r w:rsidRPr="003618E2">
        <w:rPr>
          <w:lang w:val="es-ES"/>
        </w:rPr>
        <w:t>más</w:t>
      </w:r>
      <w:r w:rsidR="00D136BB">
        <w:rPr>
          <w:lang w:val="es-ES"/>
        </w:rPr>
        <w:t xml:space="preserve"> </w:t>
      </w:r>
      <w:r w:rsidRPr="003618E2">
        <w:rPr>
          <w:lang w:val="es-ES"/>
        </w:rPr>
        <w:t>extendida</w:t>
      </w:r>
      <w:r w:rsidR="00D136BB">
        <w:rPr>
          <w:lang w:val="es-ES"/>
        </w:rPr>
        <w:t xml:space="preserve"> </w:t>
      </w:r>
      <w:r w:rsidRPr="003618E2">
        <w:rPr>
          <w:lang w:val="es-ES"/>
        </w:rPr>
        <w:t>es</w:t>
      </w:r>
      <w:r w:rsidR="00D136BB">
        <w:rPr>
          <w:lang w:val="es-ES"/>
        </w:rPr>
        <w:t xml:space="preserve"> </w:t>
      </w:r>
      <w:r w:rsidRPr="003618E2">
        <w:rPr>
          <w:lang w:val="es-ES"/>
        </w:rPr>
        <w:t>la</w:t>
      </w:r>
      <w:r w:rsidR="00D136BB">
        <w:rPr>
          <w:lang w:val="es-ES"/>
        </w:rPr>
        <w:t xml:space="preserve"> </w:t>
      </w:r>
      <w:r w:rsidRPr="003618E2">
        <w:rPr>
          <w:lang w:val="es-ES"/>
        </w:rPr>
        <w:t>radiografía</w:t>
      </w:r>
      <w:r w:rsidR="00D136BB">
        <w:rPr>
          <w:lang w:val="es-ES"/>
        </w:rPr>
        <w:t xml:space="preserve"> </w:t>
      </w:r>
      <w:r w:rsidRPr="003618E2">
        <w:rPr>
          <w:lang w:val="es-ES"/>
        </w:rPr>
        <w:t>para</w:t>
      </w:r>
      <w:r w:rsidR="00D136BB">
        <w:rPr>
          <w:lang w:val="es-ES"/>
        </w:rPr>
        <w:t xml:space="preserve"> </w:t>
      </w:r>
      <w:r w:rsidRPr="003618E2">
        <w:rPr>
          <w:lang w:val="es-ES"/>
        </w:rPr>
        <w:t>detectar,</w:t>
      </w:r>
      <w:r w:rsidR="00D136BB">
        <w:rPr>
          <w:lang w:val="es-ES"/>
        </w:rPr>
        <w:t xml:space="preserve"> </w:t>
      </w:r>
      <w:r w:rsidRPr="003618E2">
        <w:rPr>
          <w:lang w:val="es-ES"/>
        </w:rPr>
        <w:t>por</w:t>
      </w:r>
      <w:r w:rsidR="00D136BB">
        <w:rPr>
          <w:lang w:val="es-ES"/>
        </w:rPr>
        <w:t xml:space="preserve"> </w:t>
      </w:r>
      <w:r w:rsidRPr="003618E2">
        <w:rPr>
          <w:lang w:val="es-ES"/>
        </w:rPr>
        <w:t>ejemplo,</w:t>
      </w:r>
      <w:r w:rsidR="00D136BB">
        <w:rPr>
          <w:lang w:val="es-ES"/>
        </w:rPr>
        <w:t xml:space="preserve"> </w:t>
      </w:r>
      <w:r w:rsidRPr="003618E2">
        <w:rPr>
          <w:lang w:val="es-ES"/>
        </w:rPr>
        <w:t>defectos</w:t>
      </w:r>
      <w:r w:rsidR="00D136BB">
        <w:rPr>
          <w:lang w:val="es-ES"/>
        </w:rPr>
        <w:t xml:space="preserve"> </w:t>
      </w:r>
      <w:r w:rsidRPr="003618E2">
        <w:rPr>
          <w:lang w:val="es-ES"/>
        </w:rPr>
        <w:t>de</w:t>
      </w:r>
      <w:r w:rsidR="00D136BB">
        <w:rPr>
          <w:lang w:val="es-ES"/>
        </w:rPr>
        <w:t xml:space="preserve"> </w:t>
      </w:r>
      <w:r w:rsidRPr="003618E2">
        <w:rPr>
          <w:lang w:val="es-ES"/>
        </w:rPr>
        <w:t>soldaduras</w:t>
      </w:r>
      <w:r w:rsidR="00D136BB">
        <w:rPr>
          <w:lang w:val="es-ES"/>
        </w:rPr>
        <w:t xml:space="preserve"> </w:t>
      </w:r>
      <w:r w:rsidRPr="003618E2">
        <w:rPr>
          <w:lang w:val="es-ES"/>
        </w:rPr>
        <w:t>en</w:t>
      </w:r>
      <w:r w:rsidR="00D136BB">
        <w:rPr>
          <w:lang w:val="es-ES"/>
        </w:rPr>
        <w:t xml:space="preserve"> </w:t>
      </w:r>
      <w:r w:rsidRPr="003618E2">
        <w:rPr>
          <w:lang w:val="es-ES"/>
        </w:rPr>
        <w:t>tuberías</w:t>
      </w:r>
      <w:r w:rsidR="00D136BB">
        <w:rPr>
          <w:lang w:val="es-ES"/>
        </w:rPr>
        <w:t xml:space="preserve"> </w:t>
      </w:r>
      <w:r w:rsidRPr="003618E2">
        <w:rPr>
          <w:lang w:val="es-ES"/>
        </w:rPr>
        <w:t>y</w:t>
      </w:r>
      <w:r w:rsidR="00D136BB">
        <w:rPr>
          <w:lang w:val="es-ES"/>
        </w:rPr>
        <w:t xml:space="preserve"> </w:t>
      </w:r>
      <w:r w:rsidRPr="003618E2">
        <w:rPr>
          <w:lang w:val="es-ES"/>
        </w:rPr>
        <w:t>tanques</w:t>
      </w:r>
      <w:r w:rsidR="00D136BB">
        <w:rPr>
          <w:lang w:val="es-ES"/>
        </w:rPr>
        <w:t xml:space="preserve"> </w:t>
      </w:r>
      <w:r w:rsidRPr="003618E2">
        <w:rPr>
          <w:lang w:val="es-ES"/>
        </w:rPr>
        <w:t>mediante</w:t>
      </w:r>
      <w:r w:rsidR="00D136BB">
        <w:rPr>
          <w:lang w:val="es-ES"/>
        </w:rPr>
        <w:t xml:space="preserve"> </w:t>
      </w:r>
      <w:r w:rsidRPr="003618E2">
        <w:rPr>
          <w:lang w:val="es-ES"/>
        </w:rPr>
        <w:t>rayos</w:t>
      </w:r>
      <w:r w:rsidR="00D136BB">
        <w:rPr>
          <w:lang w:val="es-ES"/>
        </w:rPr>
        <w:t xml:space="preserve"> </w:t>
      </w:r>
      <w:r w:rsidRPr="003618E2">
        <w:rPr>
          <w:lang w:val="es-ES"/>
        </w:rPr>
        <w:t>gamma</w:t>
      </w:r>
      <w:r w:rsidR="00D136BB">
        <w:rPr>
          <w:lang w:val="es-ES"/>
        </w:rPr>
        <w:t xml:space="preserve"> </w:t>
      </w:r>
      <w:r w:rsidRPr="003618E2">
        <w:rPr>
          <w:lang w:val="es-ES"/>
        </w:rPr>
        <w:t>y</w:t>
      </w:r>
      <w:r w:rsidR="00D136BB">
        <w:rPr>
          <w:lang w:val="es-ES"/>
        </w:rPr>
        <w:t xml:space="preserve"> </w:t>
      </w:r>
      <w:r w:rsidRPr="003618E2">
        <w:rPr>
          <w:lang w:val="es-ES"/>
        </w:rPr>
        <w:t>rayos</w:t>
      </w:r>
      <w:r w:rsidR="00D136BB">
        <w:rPr>
          <w:lang w:val="es-ES"/>
        </w:rPr>
        <w:t xml:space="preserve"> </w:t>
      </w:r>
      <w:r w:rsidRPr="003618E2">
        <w:rPr>
          <w:lang w:val="es-ES"/>
        </w:rPr>
        <w:t>X</w:t>
      </w:r>
      <w:r w:rsidR="00D136BB">
        <w:rPr>
          <w:lang w:val="es-ES"/>
        </w:rPr>
        <w:t xml:space="preserve"> </w:t>
      </w:r>
      <w:r w:rsidRPr="003618E2">
        <w:rPr>
          <w:lang w:val="es-ES"/>
        </w:rPr>
        <w:t>[92-106].</w:t>
      </w:r>
      <w:r w:rsidR="00D136BB">
        <w:rPr>
          <w:lang w:val="es-ES"/>
        </w:rPr>
        <w:t xml:space="preserve"> </w:t>
      </w:r>
      <w:r w:rsidRPr="003618E2">
        <w:rPr>
          <w:lang w:val="es-ES"/>
        </w:rPr>
        <w:t>También</w:t>
      </w:r>
      <w:r w:rsidR="00D136BB">
        <w:rPr>
          <w:lang w:val="es-ES"/>
        </w:rPr>
        <w:t xml:space="preserve"> </w:t>
      </w:r>
      <w:r w:rsidRPr="003618E2">
        <w:rPr>
          <w:lang w:val="es-ES"/>
        </w:rPr>
        <w:t>es</w:t>
      </w:r>
      <w:r w:rsidR="00D136BB">
        <w:rPr>
          <w:lang w:val="es-ES"/>
        </w:rPr>
        <w:t xml:space="preserve"> </w:t>
      </w:r>
      <w:r w:rsidRPr="003618E2">
        <w:rPr>
          <w:lang w:val="es-ES"/>
        </w:rPr>
        <w:t>importante</w:t>
      </w:r>
      <w:r w:rsidR="00D136BB">
        <w:rPr>
          <w:lang w:val="es-ES"/>
        </w:rPr>
        <w:t xml:space="preserve"> </w:t>
      </w:r>
      <w:r w:rsidRPr="003618E2">
        <w:rPr>
          <w:lang w:val="es-ES"/>
        </w:rPr>
        <w:t>la</w:t>
      </w:r>
      <w:r w:rsidR="00D136BB">
        <w:rPr>
          <w:lang w:val="es-ES"/>
        </w:rPr>
        <w:t xml:space="preserve"> </w:t>
      </w:r>
      <w:r w:rsidRPr="003618E2">
        <w:rPr>
          <w:lang w:val="es-ES"/>
        </w:rPr>
        <w:t>tomografía</w:t>
      </w:r>
      <w:r w:rsidR="00D136BB">
        <w:rPr>
          <w:lang w:val="es-ES"/>
        </w:rPr>
        <w:t xml:space="preserve"> </w:t>
      </w:r>
      <w:r w:rsidRPr="003618E2">
        <w:rPr>
          <w:lang w:val="es-ES"/>
        </w:rPr>
        <w:t>computarizada,</w:t>
      </w:r>
      <w:r w:rsidR="00D136BB">
        <w:rPr>
          <w:lang w:val="es-ES"/>
        </w:rPr>
        <w:t xml:space="preserve"> </w:t>
      </w:r>
      <w:r w:rsidRPr="003618E2">
        <w:rPr>
          <w:lang w:val="es-ES"/>
        </w:rPr>
        <w:t>la</w:t>
      </w:r>
      <w:r w:rsidR="00D136BB">
        <w:rPr>
          <w:lang w:val="es-ES"/>
        </w:rPr>
        <w:t xml:space="preserve"> </w:t>
      </w:r>
      <w:r w:rsidRPr="003618E2">
        <w:rPr>
          <w:lang w:val="es-ES"/>
        </w:rPr>
        <w:t>neutrografía,</w:t>
      </w:r>
      <w:r w:rsidR="00D136BB">
        <w:rPr>
          <w:lang w:val="es-ES"/>
        </w:rPr>
        <w:t xml:space="preserve"> </w:t>
      </w:r>
      <w:r w:rsidRPr="003618E2">
        <w:rPr>
          <w:lang w:val="es-ES"/>
        </w:rPr>
        <w:t>entre</w:t>
      </w:r>
      <w:r w:rsidR="00D136BB">
        <w:rPr>
          <w:lang w:val="es-ES"/>
        </w:rPr>
        <w:t xml:space="preserve"> </w:t>
      </w:r>
      <w:r w:rsidRPr="003618E2">
        <w:rPr>
          <w:lang w:val="es-ES"/>
        </w:rPr>
        <w:t>otras.</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no</w:t>
      </w:r>
      <w:r w:rsidR="00D136BB">
        <w:rPr>
          <w:lang w:val="es-ES"/>
        </w:rPr>
        <w:t xml:space="preserve"> </w:t>
      </w:r>
      <w:r w:rsidRPr="003618E2">
        <w:rPr>
          <w:lang w:val="es-ES"/>
        </w:rPr>
        <w:t>nucleares</w:t>
      </w:r>
      <w:r w:rsidR="00D136BB">
        <w:rPr>
          <w:lang w:val="es-ES"/>
        </w:rPr>
        <w:t xml:space="preserve"> </w:t>
      </w:r>
      <w:r w:rsidRPr="003618E2">
        <w:rPr>
          <w:lang w:val="es-ES"/>
        </w:rPr>
        <w:t>incluyen</w:t>
      </w:r>
      <w:r w:rsidR="00D136BB">
        <w:rPr>
          <w:lang w:val="es-ES"/>
        </w:rPr>
        <w:t xml:space="preserve"> </w:t>
      </w:r>
      <w:r w:rsidRPr="003618E2">
        <w:rPr>
          <w:lang w:val="es-ES"/>
        </w:rPr>
        <w:t>ultrasonido,</w:t>
      </w:r>
      <w:r w:rsidR="00D136BB">
        <w:rPr>
          <w:lang w:val="es-ES"/>
        </w:rPr>
        <w:t xml:space="preserve"> </w:t>
      </w:r>
      <w:r w:rsidRPr="003618E2">
        <w:rPr>
          <w:lang w:val="es-ES"/>
        </w:rPr>
        <w:t>corrientes</w:t>
      </w:r>
      <w:r w:rsidR="00D136BB">
        <w:rPr>
          <w:lang w:val="es-ES"/>
        </w:rPr>
        <w:t xml:space="preserve"> </w:t>
      </w:r>
      <w:r w:rsidRPr="003618E2">
        <w:rPr>
          <w:lang w:val="es-ES"/>
        </w:rPr>
        <w:t>inducidas,</w:t>
      </w:r>
      <w:r w:rsidR="00D136BB">
        <w:rPr>
          <w:lang w:val="es-ES"/>
        </w:rPr>
        <w:t xml:space="preserve"> </w:t>
      </w:r>
      <w:r w:rsidRPr="003618E2">
        <w:rPr>
          <w:lang w:val="es-ES"/>
        </w:rPr>
        <w:t>líquidos</w:t>
      </w:r>
      <w:r w:rsidR="00D136BB">
        <w:rPr>
          <w:lang w:val="es-ES"/>
        </w:rPr>
        <w:t xml:space="preserve"> </w:t>
      </w:r>
      <w:r w:rsidRPr="003618E2">
        <w:rPr>
          <w:lang w:val="es-ES"/>
        </w:rPr>
        <w:t>penetrantes,</w:t>
      </w:r>
      <w:r w:rsidR="00D136BB">
        <w:rPr>
          <w:lang w:val="es-ES"/>
        </w:rPr>
        <w:t xml:space="preserve"> </w:t>
      </w:r>
      <w:r w:rsidRPr="003618E2">
        <w:rPr>
          <w:lang w:val="es-ES"/>
        </w:rPr>
        <w:t>partículas</w:t>
      </w:r>
      <w:r w:rsidR="00D136BB">
        <w:rPr>
          <w:lang w:val="es-ES"/>
        </w:rPr>
        <w:t xml:space="preserve"> </w:t>
      </w:r>
      <w:r w:rsidRPr="003618E2">
        <w:rPr>
          <w:lang w:val="es-ES"/>
        </w:rPr>
        <w:t>magnéticas,</w:t>
      </w:r>
      <w:r w:rsidR="00D136BB">
        <w:rPr>
          <w:lang w:val="es-ES"/>
        </w:rPr>
        <w:t xml:space="preserve"> </w:t>
      </w:r>
      <w:r w:rsidRPr="003618E2">
        <w:rPr>
          <w:lang w:val="es-ES"/>
        </w:rPr>
        <w:t>etc.</w:t>
      </w:r>
    </w:p>
    <w:p w14:paraId="529BE7DD" w14:textId="01144624" w:rsidR="006D362C" w:rsidRPr="003618E2" w:rsidRDefault="006D362C" w:rsidP="006D362C">
      <w:pPr>
        <w:pStyle w:val="BodyText"/>
        <w:rPr>
          <w:lang w:val="es-PE"/>
        </w:rPr>
      </w:pPr>
      <w:r w:rsidRPr="003618E2">
        <w:rPr>
          <w:lang w:val="es-ES"/>
        </w:rPr>
        <w:t>Los</w:t>
      </w:r>
      <w:r w:rsidR="00D136BB">
        <w:rPr>
          <w:lang w:val="es-ES"/>
        </w:rPr>
        <w:t xml:space="preserve"> </w:t>
      </w:r>
      <w:r w:rsidRPr="003618E2">
        <w:rPr>
          <w:lang w:val="es-ES"/>
        </w:rPr>
        <w:t>principales</w:t>
      </w:r>
      <w:r w:rsidR="00D136BB">
        <w:rPr>
          <w:lang w:val="es-ES"/>
        </w:rPr>
        <w:t xml:space="preserve"> </w:t>
      </w:r>
      <w:r w:rsidRPr="003618E2">
        <w:rPr>
          <w:lang w:val="es-ES"/>
        </w:rPr>
        <w:t>desafíos</w:t>
      </w:r>
      <w:r w:rsidR="00D136BB">
        <w:rPr>
          <w:lang w:val="es-ES"/>
        </w:rPr>
        <w:t xml:space="preserve"> </w:t>
      </w:r>
      <w:r w:rsidRPr="003618E2">
        <w:rPr>
          <w:lang w:val="es-ES"/>
        </w:rPr>
        <w:t>atenderán</w:t>
      </w:r>
      <w:r w:rsidR="00D136BB">
        <w:rPr>
          <w:lang w:val="es-ES"/>
        </w:rPr>
        <w:t xml:space="preserve">  </w:t>
      </w:r>
      <w:r w:rsidRPr="003618E2">
        <w:rPr>
          <w:lang w:val="es-ES"/>
        </w:rPr>
        <w:t>los</w:t>
      </w:r>
      <w:r w:rsidR="00D136BB">
        <w:rPr>
          <w:lang w:val="es-ES"/>
        </w:rPr>
        <w:t xml:space="preserve"> </w:t>
      </w:r>
      <w:r w:rsidRPr="003618E2">
        <w:rPr>
          <w:lang w:val="es-ES"/>
        </w:rPr>
        <w:t>Objetivos</w:t>
      </w:r>
      <w:r w:rsidR="00D136BB">
        <w:rPr>
          <w:lang w:val="es-ES"/>
        </w:rPr>
        <w:t xml:space="preserve"> </w:t>
      </w:r>
      <w:r w:rsidRPr="003618E2">
        <w:rPr>
          <w:lang w:val="es-ES"/>
        </w:rPr>
        <w:t>de</w:t>
      </w:r>
      <w:r w:rsidR="00D136BB">
        <w:rPr>
          <w:lang w:val="es-ES"/>
        </w:rPr>
        <w:t xml:space="preserve"> </w:t>
      </w:r>
      <w:r w:rsidRPr="003618E2">
        <w:rPr>
          <w:lang w:val="es-ES"/>
        </w:rPr>
        <w:t>Desarrollo</w:t>
      </w:r>
      <w:r w:rsidR="00D136BB">
        <w:rPr>
          <w:lang w:val="es-ES"/>
        </w:rPr>
        <w:t xml:space="preserve"> </w:t>
      </w:r>
      <w:r w:rsidRPr="003618E2">
        <w:rPr>
          <w:lang w:val="es-ES"/>
        </w:rPr>
        <w:t>Sostenible</w:t>
      </w:r>
      <w:r w:rsidR="00D136BB">
        <w:rPr>
          <w:lang w:val="es-ES"/>
        </w:rPr>
        <w:t xml:space="preserve"> </w:t>
      </w:r>
      <w:r w:rsidRPr="003618E2">
        <w:rPr>
          <w:lang w:val="es-ES"/>
        </w:rPr>
        <w:t>(ODS)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ONU:</w:t>
      </w:r>
      <w:r w:rsidR="00D136BB">
        <w:rPr>
          <w:lang w:val="es-ES"/>
        </w:rPr>
        <w:t xml:space="preserve"> </w:t>
      </w:r>
      <w:r w:rsidRPr="003618E2">
        <w:rPr>
          <w:lang w:val="es-ES"/>
        </w:rPr>
        <w:t>ODS</w:t>
      </w:r>
      <w:r w:rsidR="00D136BB">
        <w:rPr>
          <w:lang w:val="es-ES"/>
        </w:rPr>
        <w:t xml:space="preserve"> </w:t>
      </w:r>
      <w:r w:rsidRPr="003618E2">
        <w:rPr>
          <w:lang w:val="es-PE"/>
        </w:rPr>
        <w:t>2:</w:t>
      </w:r>
      <w:r w:rsidR="00D136BB">
        <w:rPr>
          <w:lang w:val="es-PE"/>
        </w:rPr>
        <w:t xml:space="preserve"> </w:t>
      </w:r>
      <w:r w:rsidRPr="003618E2">
        <w:rPr>
          <w:lang w:val="es-PE"/>
        </w:rPr>
        <w:t>Poner</w:t>
      </w:r>
      <w:r w:rsidR="00D136BB">
        <w:rPr>
          <w:lang w:val="es-PE"/>
        </w:rPr>
        <w:t xml:space="preserve"> </w:t>
      </w:r>
      <w:r w:rsidRPr="003618E2">
        <w:rPr>
          <w:lang w:val="es-PE"/>
        </w:rPr>
        <w:t>fin</w:t>
      </w:r>
      <w:r w:rsidR="00D136BB">
        <w:rPr>
          <w:lang w:val="es-PE"/>
        </w:rPr>
        <w:t xml:space="preserve"> </w:t>
      </w:r>
      <w:r w:rsidRPr="003618E2">
        <w:rPr>
          <w:lang w:val="es-PE"/>
        </w:rPr>
        <w:t>al</w:t>
      </w:r>
      <w:r w:rsidR="00D136BB">
        <w:rPr>
          <w:lang w:val="es-PE"/>
        </w:rPr>
        <w:t xml:space="preserve"> </w:t>
      </w:r>
      <w:r w:rsidRPr="003618E2">
        <w:rPr>
          <w:lang w:val="es-PE"/>
        </w:rPr>
        <w:t>hambre,</w:t>
      </w:r>
      <w:r w:rsidR="00D136BB">
        <w:rPr>
          <w:lang w:val="es-PE"/>
        </w:rPr>
        <w:t xml:space="preserve"> </w:t>
      </w:r>
      <w:r w:rsidRPr="003618E2">
        <w:rPr>
          <w:lang w:val="es-PE"/>
        </w:rPr>
        <w:t>lograr</w:t>
      </w:r>
      <w:r w:rsidR="00D136BB">
        <w:rPr>
          <w:lang w:val="es-PE"/>
        </w:rPr>
        <w:t xml:space="preserve"> </w:t>
      </w:r>
      <w:r w:rsidRPr="003618E2">
        <w:rPr>
          <w:lang w:val="es-PE"/>
        </w:rPr>
        <w:t>la</w:t>
      </w:r>
      <w:r w:rsidR="00D136BB">
        <w:rPr>
          <w:lang w:val="es-PE"/>
        </w:rPr>
        <w:t xml:space="preserve"> </w:t>
      </w:r>
      <w:r w:rsidRPr="003618E2">
        <w:rPr>
          <w:lang w:val="es-PE"/>
        </w:rPr>
        <w:t>seguridad</w:t>
      </w:r>
      <w:r w:rsidR="00D136BB">
        <w:rPr>
          <w:lang w:val="es-PE"/>
        </w:rPr>
        <w:t xml:space="preserve"> </w:t>
      </w:r>
      <w:r w:rsidRPr="003618E2">
        <w:rPr>
          <w:lang w:val="es-PE"/>
        </w:rPr>
        <w:t>alimentaria</w:t>
      </w:r>
      <w:r w:rsidR="00D136BB">
        <w:rPr>
          <w:lang w:val="es-PE"/>
        </w:rPr>
        <w:t xml:space="preserve">  </w:t>
      </w:r>
      <w:r w:rsidRPr="003618E2">
        <w:rPr>
          <w:lang w:val="es-PE"/>
        </w:rPr>
        <w:t>y</w:t>
      </w:r>
      <w:r w:rsidR="00D136BB">
        <w:rPr>
          <w:lang w:val="es-PE"/>
        </w:rPr>
        <w:t xml:space="preserve"> </w:t>
      </w:r>
      <w:r w:rsidRPr="003618E2">
        <w:rPr>
          <w:lang w:val="es-PE"/>
        </w:rPr>
        <w:t>la</w:t>
      </w:r>
      <w:r w:rsidR="00D136BB">
        <w:rPr>
          <w:lang w:val="es-PE"/>
        </w:rPr>
        <w:t xml:space="preserve"> </w:t>
      </w:r>
      <w:r w:rsidRPr="003618E2">
        <w:rPr>
          <w:lang w:val="es-PE"/>
        </w:rPr>
        <w:t>mejora</w:t>
      </w:r>
      <w:r w:rsidR="00D136BB">
        <w:rPr>
          <w:lang w:val="es-PE"/>
        </w:rPr>
        <w:t xml:space="preserve"> </w:t>
      </w:r>
      <w:r w:rsidRPr="003618E2">
        <w:rPr>
          <w:lang w:val="es-PE"/>
        </w:rPr>
        <w:t>de</w:t>
      </w:r>
      <w:r w:rsidR="00D136BB">
        <w:rPr>
          <w:lang w:val="es-PE"/>
        </w:rPr>
        <w:t xml:space="preserve"> </w:t>
      </w:r>
      <w:r w:rsidRPr="003618E2">
        <w:rPr>
          <w:lang w:val="es-PE"/>
        </w:rPr>
        <w:t>la</w:t>
      </w:r>
      <w:r w:rsidR="00D136BB">
        <w:rPr>
          <w:lang w:val="es-PE"/>
        </w:rPr>
        <w:t xml:space="preserve"> </w:t>
      </w:r>
      <w:r w:rsidRPr="003618E2">
        <w:rPr>
          <w:lang w:val="es-PE"/>
        </w:rPr>
        <w:t>nutrición</w:t>
      </w:r>
      <w:r w:rsidR="00D136BB">
        <w:rPr>
          <w:lang w:val="es-PE"/>
        </w:rPr>
        <w:t xml:space="preserve"> </w:t>
      </w:r>
      <w:r w:rsidRPr="003618E2">
        <w:rPr>
          <w:lang w:val="es-PE"/>
        </w:rPr>
        <w:t>y</w:t>
      </w:r>
      <w:r w:rsidR="00D136BB">
        <w:rPr>
          <w:lang w:val="es-PE"/>
        </w:rPr>
        <w:t xml:space="preserve"> </w:t>
      </w:r>
      <w:r w:rsidRPr="003618E2">
        <w:rPr>
          <w:lang w:val="es-PE"/>
        </w:rPr>
        <w:t>promover</w:t>
      </w:r>
      <w:r w:rsidR="00D136BB">
        <w:rPr>
          <w:lang w:val="es-PE"/>
        </w:rPr>
        <w:t xml:space="preserve"> </w:t>
      </w:r>
      <w:r w:rsidRPr="003618E2">
        <w:rPr>
          <w:lang w:val="es-PE"/>
        </w:rPr>
        <w:t>la</w:t>
      </w:r>
      <w:r w:rsidR="00D136BB">
        <w:rPr>
          <w:lang w:val="es-PE"/>
        </w:rPr>
        <w:t xml:space="preserve"> </w:t>
      </w:r>
      <w:r w:rsidRPr="003618E2">
        <w:rPr>
          <w:lang w:val="es-PE"/>
        </w:rPr>
        <w:t>agricultura</w:t>
      </w:r>
      <w:r w:rsidR="00D136BB">
        <w:rPr>
          <w:lang w:val="es-PE"/>
        </w:rPr>
        <w:t xml:space="preserve"> </w:t>
      </w:r>
      <w:r w:rsidRPr="003618E2">
        <w:rPr>
          <w:lang w:val="es-PE"/>
        </w:rPr>
        <w:t>sostenible</w:t>
      </w:r>
      <w:r w:rsidR="00D136BB">
        <w:rPr>
          <w:lang w:val="es-PE"/>
        </w:rPr>
        <w:t xml:space="preserve"> </w:t>
      </w:r>
      <w:r w:rsidRPr="003618E2">
        <w:rPr>
          <w:lang w:val="es-PE"/>
        </w:rPr>
        <w:t>en</w:t>
      </w:r>
      <w:r w:rsidR="00D136BB">
        <w:rPr>
          <w:lang w:val="es-PE"/>
        </w:rPr>
        <w:t xml:space="preserve"> </w:t>
      </w:r>
      <w:r w:rsidRPr="003618E2">
        <w:rPr>
          <w:lang w:val="es-PE"/>
        </w:rPr>
        <w:t>ALC;</w:t>
      </w:r>
      <w:r w:rsidR="00D136BB">
        <w:rPr>
          <w:lang w:val="es-PE"/>
        </w:rPr>
        <w:t xml:space="preserve"> </w:t>
      </w:r>
      <w:r w:rsidRPr="003618E2">
        <w:rPr>
          <w:lang w:val="es-PE"/>
        </w:rPr>
        <w:t>ODS</w:t>
      </w:r>
      <w:r w:rsidR="00D136BB">
        <w:rPr>
          <w:lang w:val="es-PE"/>
        </w:rPr>
        <w:t xml:space="preserve"> </w:t>
      </w:r>
      <w:r w:rsidRPr="003618E2">
        <w:rPr>
          <w:lang w:val="es-PE"/>
        </w:rPr>
        <w:t>6:</w:t>
      </w:r>
      <w:r w:rsidR="00D136BB">
        <w:rPr>
          <w:lang w:val="es-PE"/>
        </w:rPr>
        <w:t xml:space="preserve"> </w:t>
      </w:r>
      <w:r w:rsidRPr="003618E2">
        <w:rPr>
          <w:lang w:val="es-PE"/>
        </w:rPr>
        <w:t>Garantizar</w:t>
      </w:r>
      <w:r w:rsidR="00D136BB">
        <w:rPr>
          <w:lang w:val="es-PE"/>
        </w:rPr>
        <w:t xml:space="preserve"> </w:t>
      </w:r>
      <w:r w:rsidRPr="003618E2">
        <w:rPr>
          <w:lang w:val="es-PE"/>
        </w:rPr>
        <w:t>la</w:t>
      </w:r>
      <w:r w:rsidR="00D136BB">
        <w:rPr>
          <w:lang w:val="es-PE"/>
        </w:rPr>
        <w:t xml:space="preserve"> </w:t>
      </w:r>
      <w:r w:rsidRPr="003618E2">
        <w:rPr>
          <w:lang w:val="es-PE"/>
        </w:rPr>
        <w:t>disponibilidad</w:t>
      </w:r>
      <w:r w:rsidR="00D136BB">
        <w:rPr>
          <w:lang w:val="es-PE"/>
        </w:rPr>
        <w:t xml:space="preserve"> </w:t>
      </w:r>
      <w:r w:rsidRPr="003618E2">
        <w:rPr>
          <w:lang w:val="es-PE"/>
        </w:rPr>
        <w:t>y</w:t>
      </w:r>
      <w:r w:rsidR="00D136BB">
        <w:rPr>
          <w:lang w:val="es-PE"/>
        </w:rPr>
        <w:t xml:space="preserve"> </w:t>
      </w:r>
      <w:r w:rsidRPr="003618E2">
        <w:rPr>
          <w:lang w:val="es-PE"/>
        </w:rPr>
        <w:t>la</w:t>
      </w:r>
      <w:r w:rsidR="00D136BB">
        <w:rPr>
          <w:lang w:val="es-PE"/>
        </w:rPr>
        <w:t xml:space="preserve"> </w:t>
      </w:r>
      <w:r w:rsidRPr="003618E2">
        <w:rPr>
          <w:lang w:val="es-PE"/>
        </w:rPr>
        <w:t>gestión</w:t>
      </w:r>
      <w:r w:rsidR="00D136BB">
        <w:rPr>
          <w:lang w:val="es-PE"/>
        </w:rPr>
        <w:t xml:space="preserve"> </w:t>
      </w:r>
      <w:r w:rsidRPr="003618E2">
        <w:rPr>
          <w:lang w:val="es-PE"/>
        </w:rPr>
        <w:t>sostenible</w:t>
      </w:r>
      <w:r w:rsidR="00D136BB">
        <w:rPr>
          <w:lang w:val="es-PE"/>
        </w:rPr>
        <w:t xml:space="preserve">  </w:t>
      </w:r>
      <w:r w:rsidRPr="003618E2">
        <w:rPr>
          <w:lang w:val="es-PE"/>
        </w:rPr>
        <w:t>del</w:t>
      </w:r>
      <w:r w:rsidR="00D136BB">
        <w:rPr>
          <w:lang w:val="es-PE"/>
        </w:rPr>
        <w:t xml:space="preserve"> </w:t>
      </w:r>
      <w:r w:rsidRPr="003618E2">
        <w:rPr>
          <w:lang w:val="es-PE"/>
        </w:rPr>
        <w:t>agua</w:t>
      </w:r>
      <w:r w:rsidR="00D136BB">
        <w:rPr>
          <w:lang w:val="es-PE"/>
        </w:rPr>
        <w:t xml:space="preserve"> </w:t>
      </w:r>
      <w:r w:rsidRPr="003618E2">
        <w:rPr>
          <w:lang w:val="es-PE"/>
        </w:rPr>
        <w:t>y</w:t>
      </w:r>
      <w:r w:rsidR="00D136BB">
        <w:rPr>
          <w:lang w:val="es-PE"/>
        </w:rPr>
        <w:t xml:space="preserve"> </w:t>
      </w:r>
      <w:r w:rsidRPr="003618E2">
        <w:rPr>
          <w:lang w:val="es-PE"/>
        </w:rPr>
        <w:t>el</w:t>
      </w:r>
      <w:r w:rsidR="00D136BB">
        <w:rPr>
          <w:lang w:val="es-PE"/>
        </w:rPr>
        <w:t xml:space="preserve"> </w:t>
      </w:r>
      <w:r w:rsidRPr="003618E2">
        <w:rPr>
          <w:lang w:val="es-PE"/>
        </w:rPr>
        <w:t>saneamiento</w:t>
      </w:r>
      <w:r w:rsidR="00D136BB">
        <w:rPr>
          <w:lang w:val="es-PE"/>
        </w:rPr>
        <w:t xml:space="preserve"> </w:t>
      </w:r>
      <w:r w:rsidRPr="003618E2">
        <w:rPr>
          <w:lang w:val="es-PE"/>
        </w:rPr>
        <w:t>para</w:t>
      </w:r>
      <w:r w:rsidR="00D136BB">
        <w:rPr>
          <w:lang w:val="es-PE"/>
        </w:rPr>
        <w:t xml:space="preserve"> </w:t>
      </w:r>
      <w:r w:rsidRPr="003618E2">
        <w:rPr>
          <w:lang w:val="es-PE"/>
        </w:rPr>
        <w:t>todos</w:t>
      </w:r>
      <w:r w:rsidR="00D136BB">
        <w:rPr>
          <w:lang w:val="es-PE"/>
        </w:rPr>
        <w:t xml:space="preserve"> </w:t>
      </w:r>
      <w:r w:rsidRPr="003618E2">
        <w:rPr>
          <w:lang w:val="es-PE"/>
        </w:rPr>
        <w:t>en</w:t>
      </w:r>
      <w:r w:rsidR="00D136BB">
        <w:rPr>
          <w:lang w:val="es-PE"/>
        </w:rPr>
        <w:t xml:space="preserve"> </w:t>
      </w:r>
      <w:r w:rsidRPr="003618E2">
        <w:rPr>
          <w:lang w:val="es-PE"/>
        </w:rPr>
        <w:t>AlC;</w:t>
      </w:r>
      <w:r w:rsidR="00D136BB">
        <w:rPr>
          <w:lang w:val="es-PE"/>
        </w:rPr>
        <w:t xml:space="preserve"> </w:t>
      </w:r>
      <w:r w:rsidRPr="003618E2">
        <w:rPr>
          <w:lang w:val="es-PE"/>
        </w:rPr>
        <w:t>ODS</w:t>
      </w:r>
      <w:r w:rsidR="00D136BB">
        <w:rPr>
          <w:lang w:val="es-PE"/>
        </w:rPr>
        <w:t xml:space="preserve"> </w:t>
      </w:r>
      <w:r w:rsidRPr="003618E2">
        <w:rPr>
          <w:lang w:val="es-PE"/>
        </w:rPr>
        <w:t>9:</w:t>
      </w:r>
      <w:r w:rsidR="00D136BB">
        <w:rPr>
          <w:lang w:val="es-PE"/>
        </w:rPr>
        <w:t xml:space="preserve"> </w:t>
      </w:r>
      <w:r w:rsidRPr="003618E2">
        <w:rPr>
          <w:lang w:val="es-PE"/>
        </w:rPr>
        <w:t>Construir</w:t>
      </w:r>
      <w:r w:rsidR="00D136BB">
        <w:rPr>
          <w:lang w:val="es-PE"/>
        </w:rPr>
        <w:t xml:space="preserve"> </w:t>
      </w:r>
      <w:r w:rsidRPr="003618E2">
        <w:rPr>
          <w:lang w:val="es-PE"/>
        </w:rPr>
        <w:t>infraestructuras</w:t>
      </w:r>
      <w:r w:rsidR="00D136BB">
        <w:rPr>
          <w:lang w:val="es-PE"/>
        </w:rPr>
        <w:t xml:space="preserve"> </w:t>
      </w:r>
      <w:r w:rsidRPr="003618E2">
        <w:rPr>
          <w:lang w:val="es-PE"/>
        </w:rPr>
        <w:t>resilientes,</w:t>
      </w:r>
      <w:r w:rsidR="00D136BB">
        <w:rPr>
          <w:lang w:val="es-PE"/>
        </w:rPr>
        <w:t xml:space="preserve"> </w:t>
      </w:r>
      <w:r w:rsidRPr="003618E2">
        <w:rPr>
          <w:lang w:val="es-PE"/>
        </w:rPr>
        <w:t>promover</w:t>
      </w:r>
      <w:r w:rsidR="00D136BB">
        <w:rPr>
          <w:lang w:val="es-PE"/>
        </w:rPr>
        <w:t xml:space="preserve">  </w:t>
      </w:r>
      <w:r w:rsidRPr="003618E2">
        <w:rPr>
          <w:lang w:val="es-PE"/>
        </w:rPr>
        <w:t>la</w:t>
      </w:r>
      <w:r w:rsidR="00D136BB">
        <w:rPr>
          <w:lang w:val="es-PE"/>
        </w:rPr>
        <w:t xml:space="preserve"> </w:t>
      </w:r>
      <w:r w:rsidRPr="003618E2">
        <w:rPr>
          <w:lang w:val="es-PE"/>
        </w:rPr>
        <w:t>industrialización</w:t>
      </w:r>
      <w:r w:rsidR="00D136BB">
        <w:rPr>
          <w:lang w:val="es-PE"/>
        </w:rPr>
        <w:t xml:space="preserve"> </w:t>
      </w:r>
      <w:r w:rsidRPr="003618E2">
        <w:rPr>
          <w:lang w:val="es-PE"/>
        </w:rPr>
        <w:t>inclusiva</w:t>
      </w:r>
      <w:r w:rsidR="00D136BB">
        <w:rPr>
          <w:lang w:val="es-PE"/>
        </w:rPr>
        <w:t xml:space="preserve"> </w:t>
      </w:r>
      <w:r w:rsidRPr="003618E2">
        <w:rPr>
          <w:lang w:val="es-PE"/>
        </w:rPr>
        <w:t>y</w:t>
      </w:r>
      <w:r w:rsidR="00D136BB">
        <w:rPr>
          <w:lang w:val="es-PE"/>
        </w:rPr>
        <w:t xml:space="preserve"> </w:t>
      </w:r>
      <w:r w:rsidRPr="003618E2">
        <w:rPr>
          <w:lang w:val="es-PE"/>
        </w:rPr>
        <w:t>sostenible</w:t>
      </w:r>
      <w:r w:rsidR="00D136BB">
        <w:rPr>
          <w:lang w:val="es-PE"/>
        </w:rPr>
        <w:t xml:space="preserve"> </w:t>
      </w:r>
      <w:r w:rsidRPr="003618E2">
        <w:rPr>
          <w:lang w:val="es-PE"/>
        </w:rPr>
        <w:t>y</w:t>
      </w:r>
      <w:r w:rsidR="00D136BB">
        <w:rPr>
          <w:lang w:val="es-PE"/>
        </w:rPr>
        <w:t xml:space="preserve"> </w:t>
      </w:r>
      <w:r w:rsidRPr="003618E2">
        <w:rPr>
          <w:lang w:val="es-PE"/>
        </w:rPr>
        <w:t>fomentar</w:t>
      </w:r>
      <w:r w:rsidR="00D136BB">
        <w:rPr>
          <w:lang w:val="es-PE"/>
        </w:rPr>
        <w:t xml:space="preserve"> </w:t>
      </w:r>
      <w:r w:rsidRPr="003618E2">
        <w:rPr>
          <w:lang w:val="es-PE"/>
        </w:rPr>
        <w:t>la</w:t>
      </w:r>
      <w:r w:rsidR="00D136BB">
        <w:rPr>
          <w:lang w:val="es-PE"/>
        </w:rPr>
        <w:t xml:space="preserve"> </w:t>
      </w:r>
      <w:r w:rsidRPr="003618E2">
        <w:rPr>
          <w:lang w:val="es-PE"/>
        </w:rPr>
        <w:t>innovación</w:t>
      </w:r>
      <w:r w:rsidR="00D136BB">
        <w:rPr>
          <w:lang w:val="es-PE"/>
        </w:rPr>
        <w:t xml:space="preserve"> </w:t>
      </w:r>
      <w:r w:rsidRPr="003618E2">
        <w:rPr>
          <w:lang w:val="es-PE"/>
        </w:rPr>
        <w:t>en</w:t>
      </w:r>
      <w:r w:rsidR="00D136BB">
        <w:rPr>
          <w:lang w:val="es-PE"/>
        </w:rPr>
        <w:t xml:space="preserve"> </w:t>
      </w:r>
      <w:r w:rsidRPr="003618E2">
        <w:rPr>
          <w:lang w:val="es-PE"/>
        </w:rPr>
        <w:t>ALC;</w:t>
      </w:r>
      <w:r w:rsidR="00D136BB">
        <w:rPr>
          <w:lang w:val="es-PE"/>
        </w:rPr>
        <w:t xml:space="preserve"> </w:t>
      </w:r>
      <w:r w:rsidRPr="003618E2">
        <w:rPr>
          <w:lang w:val="es-PE"/>
        </w:rPr>
        <w:t>ODS</w:t>
      </w:r>
      <w:r w:rsidR="00D136BB">
        <w:rPr>
          <w:lang w:val="es-PE"/>
        </w:rPr>
        <w:t xml:space="preserve"> </w:t>
      </w:r>
      <w:r w:rsidRPr="003618E2">
        <w:rPr>
          <w:lang w:val="es-PE"/>
        </w:rPr>
        <w:t>13:</w:t>
      </w:r>
      <w:r w:rsidR="00D136BB">
        <w:rPr>
          <w:lang w:val="es-PE"/>
        </w:rPr>
        <w:t xml:space="preserve"> </w:t>
      </w:r>
      <w:r w:rsidRPr="003618E2">
        <w:rPr>
          <w:lang w:val="es-PE"/>
        </w:rPr>
        <w:t>Adoptar</w:t>
      </w:r>
      <w:r w:rsidR="00D136BB">
        <w:rPr>
          <w:lang w:val="es-PE"/>
        </w:rPr>
        <w:t xml:space="preserve"> </w:t>
      </w:r>
      <w:r w:rsidRPr="003618E2">
        <w:rPr>
          <w:lang w:val="es-PE"/>
        </w:rPr>
        <w:t>medidas</w:t>
      </w:r>
      <w:r w:rsidR="00D136BB">
        <w:rPr>
          <w:lang w:val="es-PE"/>
        </w:rPr>
        <w:t xml:space="preserve"> </w:t>
      </w:r>
      <w:r w:rsidRPr="003618E2">
        <w:rPr>
          <w:lang w:val="es-PE"/>
        </w:rPr>
        <w:t>urgentes</w:t>
      </w:r>
      <w:r w:rsidR="00D136BB">
        <w:rPr>
          <w:lang w:val="es-PE"/>
        </w:rPr>
        <w:t xml:space="preserve"> </w:t>
      </w:r>
      <w:r w:rsidRPr="003618E2">
        <w:rPr>
          <w:lang w:val="es-PE"/>
        </w:rPr>
        <w:t>para</w:t>
      </w:r>
      <w:r w:rsidR="00D136BB">
        <w:rPr>
          <w:lang w:val="es-PE"/>
        </w:rPr>
        <w:t xml:space="preserve"> </w:t>
      </w:r>
      <w:r w:rsidRPr="003618E2">
        <w:rPr>
          <w:lang w:val="es-PE"/>
        </w:rPr>
        <w:t>combatir</w:t>
      </w:r>
      <w:r w:rsidR="00D136BB">
        <w:rPr>
          <w:lang w:val="es-PE"/>
        </w:rPr>
        <w:t xml:space="preserve">  </w:t>
      </w:r>
      <w:r w:rsidRPr="003618E2">
        <w:rPr>
          <w:lang w:val="es-PE"/>
        </w:rPr>
        <w:t>el</w:t>
      </w:r>
      <w:r w:rsidR="00D136BB">
        <w:rPr>
          <w:lang w:val="es-PE"/>
        </w:rPr>
        <w:t xml:space="preserve"> </w:t>
      </w:r>
      <w:r w:rsidRPr="003618E2">
        <w:rPr>
          <w:lang w:val="es-PE"/>
        </w:rPr>
        <w:t>cambio</w:t>
      </w:r>
      <w:r w:rsidR="00D136BB">
        <w:rPr>
          <w:lang w:val="es-PE"/>
        </w:rPr>
        <w:t xml:space="preserve"> </w:t>
      </w:r>
      <w:r w:rsidRPr="003618E2">
        <w:rPr>
          <w:lang w:val="es-PE"/>
        </w:rPr>
        <w:t>climático</w:t>
      </w:r>
      <w:r w:rsidR="00D136BB">
        <w:rPr>
          <w:lang w:val="es-PE"/>
        </w:rPr>
        <w:t xml:space="preserve"> </w:t>
      </w:r>
      <w:r w:rsidRPr="003618E2">
        <w:rPr>
          <w:lang w:val="es-PE"/>
        </w:rPr>
        <w:t>y</w:t>
      </w:r>
      <w:r w:rsidR="00D136BB">
        <w:rPr>
          <w:lang w:val="es-PE"/>
        </w:rPr>
        <w:t xml:space="preserve"> </w:t>
      </w:r>
      <w:r w:rsidRPr="003618E2">
        <w:rPr>
          <w:lang w:val="es-PE"/>
        </w:rPr>
        <w:t>sus</w:t>
      </w:r>
      <w:r w:rsidR="00D136BB">
        <w:rPr>
          <w:lang w:val="es-PE"/>
        </w:rPr>
        <w:t xml:space="preserve"> </w:t>
      </w:r>
      <w:r w:rsidRPr="003618E2">
        <w:rPr>
          <w:lang w:val="es-PE"/>
        </w:rPr>
        <w:t>efectos</w:t>
      </w:r>
      <w:r w:rsidR="00D136BB">
        <w:rPr>
          <w:lang w:val="es-PE"/>
        </w:rPr>
        <w:t xml:space="preserve"> </w:t>
      </w:r>
      <w:r w:rsidRPr="003618E2">
        <w:rPr>
          <w:lang w:val="es-PE"/>
        </w:rPr>
        <w:t>en</w:t>
      </w:r>
      <w:r w:rsidR="00D136BB">
        <w:rPr>
          <w:lang w:val="es-PE"/>
        </w:rPr>
        <w:t xml:space="preserve"> </w:t>
      </w:r>
      <w:r w:rsidRPr="003618E2">
        <w:rPr>
          <w:lang w:val="es-PE"/>
        </w:rPr>
        <w:t>ALC;</w:t>
      </w:r>
      <w:r w:rsidR="00D136BB">
        <w:rPr>
          <w:lang w:val="es-PE"/>
        </w:rPr>
        <w:t xml:space="preserve"> </w:t>
      </w:r>
      <w:r w:rsidRPr="003618E2">
        <w:rPr>
          <w:lang w:val="es-PE"/>
        </w:rPr>
        <w:t>ODS</w:t>
      </w:r>
      <w:r w:rsidR="00D136BB">
        <w:rPr>
          <w:lang w:val="es-PE"/>
        </w:rPr>
        <w:t xml:space="preserve"> </w:t>
      </w:r>
      <w:r w:rsidRPr="003618E2">
        <w:rPr>
          <w:lang w:val="es-PE"/>
        </w:rPr>
        <w:t>15:</w:t>
      </w:r>
      <w:r w:rsidR="00D136BB">
        <w:rPr>
          <w:lang w:val="es-PE"/>
        </w:rPr>
        <w:t xml:space="preserve"> </w:t>
      </w:r>
      <w:r w:rsidRPr="003618E2">
        <w:rPr>
          <w:lang w:val="es-PE"/>
        </w:rPr>
        <w:t>Proteger,</w:t>
      </w:r>
      <w:r w:rsidR="00D136BB">
        <w:rPr>
          <w:lang w:val="es-PE"/>
        </w:rPr>
        <w:t xml:space="preserve"> </w:t>
      </w:r>
      <w:r w:rsidRPr="003618E2">
        <w:rPr>
          <w:lang w:val="es-PE"/>
        </w:rPr>
        <w:t>restablecer</w:t>
      </w:r>
      <w:r w:rsidR="00D136BB">
        <w:rPr>
          <w:lang w:val="es-PE"/>
        </w:rPr>
        <w:t xml:space="preserve"> </w:t>
      </w:r>
      <w:r w:rsidRPr="003618E2">
        <w:rPr>
          <w:lang w:val="es-PE"/>
        </w:rPr>
        <w:t>y</w:t>
      </w:r>
      <w:r w:rsidR="00D136BB">
        <w:rPr>
          <w:lang w:val="es-PE"/>
        </w:rPr>
        <w:t xml:space="preserve"> </w:t>
      </w:r>
      <w:r w:rsidRPr="003618E2">
        <w:rPr>
          <w:lang w:val="es-PE"/>
        </w:rPr>
        <w:t>promover</w:t>
      </w:r>
      <w:r w:rsidR="00D136BB">
        <w:rPr>
          <w:lang w:val="es-PE"/>
        </w:rPr>
        <w:t xml:space="preserve"> </w:t>
      </w:r>
      <w:r w:rsidRPr="003618E2">
        <w:rPr>
          <w:lang w:val="es-PE"/>
        </w:rPr>
        <w:t>el</w:t>
      </w:r>
      <w:r w:rsidR="00D136BB">
        <w:rPr>
          <w:lang w:val="es-PE"/>
        </w:rPr>
        <w:t xml:space="preserve"> </w:t>
      </w:r>
      <w:r w:rsidRPr="003618E2">
        <w:rPr>
          <w:lang w:val="es-PE"/>
        </w:rPr>
        <w:t>uso</w:t>
      </w:r>
      <w:r w:rsidR="00D136BB">
        <w:rPr>
          <w:lang w:val="es-PE"/>
        </w:rPr>
        <w:t xml:space="preserve"> </w:t>
      </w:r>
      <w:r w:rsidRPr="003618E2">
        <w:rPr>
          <w:lang w:val="es-PE"/>
        </w:rPr>
        <w:t>sostenible</w:t>
      </w:r>
      <w:r w:rsidR="00D136BB">
        <w:rPr>
          <w:lang w:val="es-PE"/>
        </w:rPr>
        <w:t xml:space="preserve"> </w:t>
      </w:r>
      <w:r w:rsidRPr="003618E2">
        <w:rPr>
          <w:lang w:val="es-PE"/>
        </w:rPr>
        <w:t>de</w:t>
      </w:r>
      <w:r w:rsidR="00D136BB">
        <w:rPr>
          <w:lang w:val="es-PE"/>
        </w:rPr>
        <w:t xml:space="preserve"> </w:t>
      </w:r>
      <w:r w:rsidRPr="003618E2">
        <w:rPr>
          <w:lang w:val="es-PE"/>
        </w:rPr>
        <w:t>los</w:t>
      </w:r>
      <w:r w:rsidR="00D136BB">
        <w:rPr>
          <w:lang w:val="es-PE"/>
        </w:rPr>
        <w:t xml:space="preserve"> </w:t>
      </w:r>
      <w:r w:rsidRPr="003618E2">
        <w:rPr>
          <w:lang w:val="es-PE"/>
        </w:rPr>
        <w:t>ecosistemas</w:t>
      </w:r>
      <w:r w:rsidR="00D136BB">
        <w:rPr>
          <w:lang w:val="es-PE"/>
        </w:rPr>
        <w:t xml:space="preserve"> </w:t>
      </w:r>
      <w:r w:rsidRPr="003618E2">
        <w:rPr>
          <w:lang w:val="es-PE"/>
        </w:rPr>
        <w:t>terrestres,</w:t>
      </w:r>
      <w:r w:rsidR="00D136BB">
        <w:rPr>
          <w:lang w:val="es-PE"/>
        </w:rPr>
        <w:t xml:space="preserve"> </w:t>
      </w:r>
      <w:r w:rsidRPr="003618E2">
        <w:rPr>
          <w:lang w:val="es-PE"/>
        </w:rPr>
        <w:t>gestionar</w:t>
      </w:r>
      <w:r w:rsidR="00D136BB">
        <w:rPr>
          <w:lang w:val="es-PE"/>
        </w:rPr>
        <w:t xml:space="preserve"> </w:t>
      </w:r>
      <w:r w:rsidRPr="003618E2">
        <w:rPr>
          <w:lang w:val="es-PE"/>
        </w:rPr>
        <w:t>sosteniblemente</w:t>
      </w:r>
      <w:r w:rsidR="00D136BB">
        <w:rPr>
          <w:lang w:val="es-PE"/>
        </w:rPr>
        <w:t xml:space="preserve"> </w:t>
      </w:r>
      <w:r w:rsidRPr="003618E2">
        <w:rPr>
          <w:lang w:val="es-PE"/>
        </w:rPr>
        <w:t>los</w:t>
      </w:r>
      <w:r w:rsidR="00D136BB">
        <w:rPr>
          <w:lang w:val="es-PE"/>
        </w:rPr>
        <w:t xml:space="preserve"> </w:t>
      </w:r>
      <w:r w:rsidRPr="003618E2">
        <w:rPr>
          <w:lang w:val="es-PE"/>
        </w:rPr>
        <w:t>bosques,</w:t>
      </w:r>
      <w:r w:rsidR="00D136BB">
        <w:rPr>
          <w:lang w:val="es-PE"/>
        </w:rPr>
        <w:t xml:space="preserve"> </w:t>
      </w:r>
      <w:r w:rsidRPr="003618E2">
        <w:rPr>
          <w:lang w:val="es-PE"/>
        </w:rPr>
        <w:t>luchar</w:t>
      </w:r>
      <w:r w:rsidR="00D136BB">
        <w:rPr>
          <w:lang w:val="es-PE"/>
        </w:rPr>
        <w:t xml:space="preserve"> </w:t>
      </w:r>
      <w:r w:rsidRPr="003618E2">
        <w:rPr>
          <w:lang w:val="es-PE"/>
        </w:rPr>
        <w:t>contra</w:t>
      </w:r>
      <w:r w:rsidR="00D136BB">
        <w:rPr>
          <w:lang w:val="es-PE"/>
        </w:rPr>
        <w:t xml:space="preserve"> </w:t>
      </w:r>
      <w:r w:rsidRPr="003618E2">
        <w:rPr>
          <w:lang w:val="es-PE"/>
        </w:rPr>
        <w:t>la</w:t>
      </w:r>
      <w:r w:rsidR="00D136BB">
        <w:rPr>
          <w:lang w:val="es-PE"/>
        </w:rPr>
        <w:t xml:space="preserve"> </w:t>
      </w:r>
      <w:r w:rsidRPr="003618E2">
        <w:rPr>
          <w:lang w:val="es-PE"/>
        </w:rPr>
        <w:t>desertificación,</w:t>
      </w:r>
      <w:r w:rsidR="00D136BB">
        <w:rPr>
          <w:lang w:val="es-PE"/>
        </w:rPr>
        <w:t xml:space="preserve"> </w:t>
      </w:r>
      <w:r w:rsidRPr="003618E2">
        <w:rPr>
          <w:lang w:val="es-PE"/>
        </w:rPr>
        <w:t>detener</w:t>
      </w:r>
      <w:r w:rsidR="00D136BB">
        <w:rPr>
          <w:lang w:val="es-PE"/>
        </w:rPr>
        <w:t xml:space="preserve"> </w:t>
      </w:r>
      <w:r w:rsidRPr="003618E2">
        <w:rPr>
          <w:lang w:val="es-PE"/>
        </w:rPr>
        <w:t>e</w:t>
      </w:r>
      <w:r w:rsidR="00D136BB">
        <w:rPr>
          <w:lang w:val="es-PE"/>
        </w:rPr>
        <w:t xml:space="preserve"> </w:t>
      </w:r>
      <w:r w:rsidRPr="003618E2">
        <w:rPr>
          <w:lang w:val="es-PE"/>
        </w:rPr>
        <w:t>invertir</w:t>
      </w:r>
      <w:r w:rsidR="00D136BB">
        <w:rPr>
          <w:lang w:val="es-PE"/>
        </w:rPr>
        <w:t xml:space="preserve"> </w:t>
      </w:r>
      <w:r w:rsidRPr="003618E2">
        <w:rPr>
          <w:lang w:val="es-PE"/>
        </w:rPr>
        <w:t>la</w:t>
      </w:r>
      <w:r w:rsidR="00D136BB">
        <w:rPr>
          <w:lang w:val="es-PE"/>
        </w:rPr>
        <w:t xml:space="preserve"> </w:t>
      </w:r>
      <w:r w:rsidRPr="003618E2">
        <w:rPr>
          <w:lang w:val="es-PE"/>
        </w:rPr>
        <w:t>degradación</w:t>
      </w:r>
      <w:r w:rsidR="00D136BB">
        <w:rPr>
          <w:lang w:val="es-PE"/>
        </w:rPr>
        <w:t xml:space="preserve"> </w:t>
      </w:r>
      <w:r w:rsidRPr="003618E2">
        <w:rPr>
          <w:lang w:val="es-PE"/>
        </w:rPr>
        <w:t>de</w:t>
      </w:r>
      <w:r w:rsidR="00D136BB">
        <w:rPr>
          <w:lang w:val="es-PE"/>
        </w:rPr>
        <w:t xml:space="preserve"> </w:t>
      </w:r>
      <w:r w:rsidRPr="003618E2">
        <w:rPr>
          <w:lang w:val="es-PE"/>
        </w:rPr>
        <w:t>las</w:t>
      </w:r>
      <w:r w:rsidR="00D136BB">
        <w:rPr>
          <w:lang w:val="es-PE"/>
        </w:rPr>
        <w:t xml:space="preserve"> </w:t>
      </w:r>
      <w:r w:rsidRPr="003618E2">
        <w:rPr>
          <w:lang w:val="es-PE"/>
        </w:rPr>
        <w:t>tierras</w:t>
      </w:r>
      <w:r w:rsidR="00D136BB">
        <w:rPr>
          <w:lang w:val="es-PE"/>
        </w:rPr>
        <w:t xml:space="preserve"> </w:t>
      </w:r>
      <w:r w:rsidRPr="003618E2">
        <w:rPr>
          <w:lang w:val="es-PE"/>
        </w:rPr>
        <w:t>y</w:t>
      </w:r>
      <w:r w:rsidR="00D136BB">
        <w:rPr>
          <w:lang w:val="es-PE"/>
        </w:rPr>
        <w:t xml:space="preserve"> </w:t>
      </w:r>
      <w:r w:rsidRPr="003618E2">
        <w:rPr>
          <w:lang w:val="es-PE"/>
        </w:rPr>
        <w:t>detener</w:t>
      </w:r>
      <w:r w:rsidR="00D136BB">
        <w:rPr>
          <w:lang w:val="es-PE"/>
        </w:rPr>
        <w:t xml:space="preserve"> </w:t>
      </w:r>
      <w:r w:rsidRPr="003618E2">
        <w:rPr>
          <w:lang w:val="es-PE"/>
        </w:rPr>
        <w:t>la</w:t>
      </w:r>
      <w:r w:rsidR="00D136BB">
        <w:rPr>
          <w:lang w:val="es-PE"/>
        </w:rPr>
        <w:t xml:space="preserve"> </w:t>
      </w:r>
      <w:r w:rsidRPr="003618E2">
        <w:rPr>
          <w:lang w:val="es-PE"/>
        </w:rPr>
        <w:t>pérdida</w:t>
      </w:r>
      <w:r w:rsidR="00D136BB">
        <w:rPr>
          <w:lang w:val="es-PE"/>
        </w:rPr>
        <w:t xml:space="preserve"> </w:t>
      </w:r>
      <w:r w:rsidRPr="003618E2">
        <w:rPr>
          <w:lang w:val="es-PE"/>
        </w:rPr>
        <w:t>de</w:t>
      </w:r>
      <w:r w:rsidR="00D136BB">
        <w:rPr>
          <w:lang w:val="es-PE"/>
        </w:rPr>
        <w:t xml:space="preserve"> </w:t>
      </w:r>
      <w:r w:rsidRPr="003618E2">
        <w:rPr>
          <w:lang w:val="es-PE"/>
        </w:rPr>
        <w:t>biodiversidad</w:t>
      </w:r>
      <w:r w:rsidR="00D136BB">
        <w:rPr>
          <w:lang w:val="es-PE"/>
        </w:rPr>
        <w:t xml:space="preserve"> </w:t>
      </w:r>
      <w:r w:rsidRPr="003618E2">
        <w:rPr>
          <w:lang w:val="es-PE"/>
        </w:rPr>
        <w:t>en</w:t>
      </w:r>
      <w:r w:rsidR="00D136BB">
        <w:rPr>
          <w:lang w:val="es-PE"/>
        </w:rPr>
        <w:t xml:space="preserve"> </w:t>
      </w:r>
      <w:r w:rsidRPr="003618E2">
        <w:rPr>
          <w:lang w:val="es-PE"/>
        </w:rPr>
        <w:t>ALC;</w:t>
      </w:r>
      <w:r w:rsidR="00D136BB">
        <w:rPr>
          <w:lang w:val="es-PE"/>
        </w:rPr>
        <w:t xml:space="preserve"> </w:t>
      </w:r>
      <w:r w:rsidRPr="003618E2">
        <w:rPr>
          <w:lang w:val="es-PE"/>
        </w:rPr>
        <w:t>ODS</w:t>
      </w:r>
      <w:r w:rsidR="00D136BB">
        <w:rPr>
          <w:lang w:val="es-PE"/>
        </w:rPr>
        <w:t xml:space="preserve"> </w:t>
      </w:r>
      <w:r w:rsidRPr="003618E2">
        <w:rPr>
          <w:lang w:val="es-PE"/>
        </w:rPr>
        <w:t>17:</w:t>
      </w:r>
      <w:r w:rsidR="00D136BB">
        <w:rPr>
          <w:lang w:val="es-PE"/>
        </w:rPr>
        <w:t xml:space="preserve"> </w:t>
      </w:r>
      <w:r w:rsidRPr="003618E2">
        <w:rPr>
          <w:lang w:val="es-PE"/>
        </w:rPr>
        <w:t>Fortalecer</w:t>
      </w:r>
      <w:r w:rsidR="00D136BB">
        <w:rPr>
          <w:lang w:val="es-PE"/>
        </w:rPr>
        <w:t xml:space="preserve"> </w:t>
      </w:r>
      <w:r w:rsidRPr="003618E2">
        <w:rPr>
          <w:lang w:val="es-PE"/>
        </w:rPr>
        <w:t>los</w:t>
      </w:r>
      <w:r w:rsidR="00D136BB">
        <w:rPr>
          <w:lang w:val="es-PE"/>
        </w:rPr>
        <w:t xml:space="preserve"> </w:t>
      </w:r>
      <w:r w:rsidRPr="003618E2">
        <w:rPr>
          <w:lang w:val="es-PE"/>
        </w:rPr>
        <w:t>medios</w:t>
      </w:r>
      <w:r w:rsidR="00D136BB">
        <w:rPr>
          <w:lang w:val="es-PE"/>
        </w:rPr>
        <w:t xml:space="preserve"> </w:t>
      </w:r>
      <w:r w:rsidRPr="003618E2">
        <w:rPr>
          <w:lang w:val="es-PE"/>
        </w:rPr>
        <w:t>de</w:t>
      </w:r>
      <w:r w:rsidR="00D136BB">
        <w:rPr>
          <w:lang w:val="es-PE"/>
        </w:rPr>
        <w:t xml:space="preserve"> </w:t>
      </w:r>
      <w:r w:rsidRPr="003618E2">
        <w:rPr>
          <w:lang w:val="es-PE"/>
        </w:rPr>
        <w:t>implementación</w:t>
      </w:r>
      <w:r w:rsidR="00D136BB">
        <w:rPr>
          <w:lang w:val="es-PE"/>
        </w:rPr>
        <w:t xml:space="preserve"> </w:t>
      </w:r>
      <w:r w:rsidRPr="003618E2">
        <w:rPr>
          <w:lang w:val="es-PE"/>
        </w:rPr>
        <w:t>y</w:t>
      </w:r>
      <w:r w:rsidR="00D136BB">
        <w:rPr>
          <w:lang w:val="es-PE"/>
        </w:rPr>
        <w:t xml:space="preserve"> </w:t>
      </w:r>
      <w:r w:rsidRPr="003618E2">
        <w:rPr>
          <w:lang w:val="es-PE"/>
        </w:rPr>
        <w:t>revitalizar</w:t>
      </w:r>
      <w:r w:rsidR="00D136BB">
        <w:rPr>
          <w:lang w:val="es-PE"/>
        </w:rPr>
        <w:t xml:space="preserve"> </w:t>
      </w:r>
      <w:r w:rsidRPr="003618E2">
        <w:rPr>
          <w:lang w:val="es-PE"/>
        </w:rPr>
        <w:t>la</w:t>
      </w:r>
      <w:r w:rsidR="00D136BB">
        <w:rPr>
          <w:lang w:val="es-PE"/>
        </w:rPr>
        <w:t xml:space="preserve"> </w:t>
      </w:r>
      <w:r w:rsidRPr="003618E2">
        <w:rPr>
          <w:lang w:val="es-PE"/>
        </w:rPr>
        <w:t>Alianza</w:t>
      </w:r>
      <w:r w:rsidR="00D136BB">
        <w:rPr>
          <w:lang w:val="es-PE"/>
        </w:rPr>
        <w:t xml:space="preserve"> </w:t>
      </w:r>
      <w:r w:rsidRPr="003618E2">
        <w:rPr>
          <w:lang w:val="es-PE"/>
        </w:rPr>
        <w:t>Mundial</w:t>
      </w:r>
      <w:r w:rsidR="00D136BB">
        <w:rPr>
          <w:lang w:val="es-PE"/>
        </w:rPr>
        <w:t xml:space="preserve"> </w:t>
      </w:r>
      <w:r w:rsidRPr="003618E2">
        <w:rPr>
          <w:lang w:val="es-PE"/>
        </w:rPr>
        <w:t>para</w:t>
      </w:r>
      <w:r w:rsidR="00D136BB">
        <w:rPr>
          <w:lang w:val="es-PE"/>
        </w:rPr>
        <w:t xml:space="preserve"> </w:t>
      </w:r>
      <w:r w:rsidRPr="003618E2">
        <w:rPr>
          <w:lang w:val="es-PE"/>
        </w:rPr>
        <w:t>el</w:t>
      </w:r>
      <w:r w:rsidR="00D136BB">
        <w:rPr>
          <w:lang w:val="es-PE"/>
        </w:rPr>
        <w:t xml:space="preserve"> </w:t>
      </w:r>
      <w:r w:rsidRPr="003618E2">
        <w:rPr>
          <w:lang w:val="es-PE"/>
        </w:rPr>
        <w:t>Desarrollo</w:t>
      </w:r>
      <w:r w:rsidR="00D136BB">
        <w:rPr>
          <w:lang w:val="es-PE"/>
        </w:rPr>
        <w:t xml:space="preserve"> </w:t>
      </w:r>
      <w:r w:rsidRPr="003618E2">
        <w:rPr>
          <w:lang w:val="es-PE"/>
        </w:rPr>
        <w:t>Sostenible</w:t>
      </w:r>
      <w:r w:rsidR="00D136BB">
        <w:rPr>
          <w:lang w:val="es-PE"/>
        </w:rPr>
        <w:t xml:space="preserve"> </w:t>
      </w:r>
      <w:r w:rsidRPr="003618E2">
        <w:rPr>
          <w:lang w:val="es-PE"/>
        </w:rPr>
        <w:t>en</w:t>
      </w:r>
      <w:r w:rsidR="00D136BB">
        <w:rPr>
          <w:lang w:val="es-PE"/>
        </w:rPr>
        <w:t xml:space="preserve"> </w:t>
      </w:r>
      <w:r w:rsidRPr="003618E2">
        <w:rPr>
          <w:lang w:val="es-PE"/>
        </w:rPr>
        <w:t>ALyC</w:t>
      </w:r>
      <w:r w:rsidR="00D136BB">
        <w:rPr>
          <w:lang w:val="es-PE"/>
        </w:rPr>
        <w:t xml:space="preserve"> </w:t>
      </w:r>
      <w:r w:rsidRPr="003618E2">
        <w:rPr>
          <w:lang w:val="es-PE"/>
        </w:rPr>
        <w:t>[3,</w:t>
      </w:r>
      <w:r w:rsidR="00D136BB">
        <w:rPr>
          <w:lang w:val="es-PE"/>
        </w:rPr>
        <w:t xml:space="preserve"> </w:t>
      </w:r>
      <w:r w:rsidRPr="003618E2">
        <w:rPr>
          <w:lang w:val="es-PE"/>
        </w:rPr>
        <w:t>4].</w:t>
      </w:r>
    </w:p>
    <w:p w14:paraId="421AD9D5" w14:textId="0EA6CB90" w:rsidR="006D362C" w:rsidRPr="003618E2" w:rsidRDefault="006D362C" w:rsidP="006D362C">
      <w:pPr>
        <w:pStyle w:val="BodyText"/>
        <w:rPr>
          <w:lang w:val="es-ES"/>
        </w:rPr>
      </w:pP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de</w:t>
      </w:r>
      <w:r w:rsidR="00D136BB">
        <w:rPr>
          <w:lang w:val="es-ES"/>
        </w:rPr>
        <w:t xml:space="preserve"> </w:t>
      </w:r>
      <w:r w:rsidRPr="003618E2">
        <w:rPr>
          <w:lang w:val="es-ES"/>
        </w:rPr>
        <w:t>América</w:t>
      </w:r>
      <w:r w:rsidR="00D136BB">
        <w:rPr>
          <w:lang w:val="es-ES"/>
        </w:rPr>
        <w:t xml:space="preserve"> </w:t>
      </w:r>
      <w:r w:rsidRPr="003618E2">
        <w:rPr>
          <w:lang w:val="es-ES"/>
        </w:rPr>
        <w:t>Latina</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Caribe</w:t>
      </w:r>
      <w:r w:rsidR="00D136BB">
        <w:rPr>
          <w:lang w:val="es-ES"/>
        </w:rPr>
        <w:t xml:space="preserve"> </w:t>
      </w:r>
      <w:r w:rsidRPr="003618E2">
        <w:rPr>
          <w:lang w:val="es-ES"/>
        </w:rPr>
        <w:t>está</w:t>
      </w:r>
      <w:r w:rsidR="00D136BB">
        <w:rPr>
          <w:lang w:val="es-ES"/>
        </w:rPr>
        <w:t xml:space="preserve"> </w:t>
      </w:r>
      <w:r w:rsidRPr="003618E2">
        <w:rPr>
          <w:lang w:val="es-ES"/>
        </w:rPr>
        <w:t>compuesta</w:t>
      </w:r>
      <w:r w:rsidR="00D136BB">
        <w:rPr>
          <w:lang w:val="es-ES"/>
        </w:rPr>
        <w:t xml:space="preserve"> </w:t>
      </w:r>
      <w:r w:rsidRPr="003618E2">
        <w:rPr>
          <w:lang w:val="es-ES"/>
        </w:rPr>
        <w:t>por</w:t>
      </w:r>
      <w:r w:rsidR="00D136BB">
        <w:rPr>
          <w:lang w:val="es-ES"/>
        </w:rPr>
        <w:t xml:space="preserve"> </w:t>
      </w:r>
      <w:r w:rsidRPr="003618E2">
        <w:rPr>
          <w:lang w:val="es-ES"/>
        </w:rPr>
        <w:t>45</w:t>
      </w:r>
      <w:r w:rsidR="00D136BB">
        <w:rPr>
          <w:lang w:val="es-ES"/>
        </w:rPr>
        <w:t xml:space="preserve"> </w:t>
      </w:r>
      <w:r w:rsidRPr="003618E2">
        <w:rPr>
          <w:lang w:val="es-ES"/>
        </w:rPr>
        <w:t>países</w:t>
      </w:r>
      <w:r w:rsidR="00D136BB">
        <w:rPr>
          <w:lang w:val="es-ES"/>
        </w:rPr>
        <w:t xml:space="preserve"> </w:t>
      </w:r>
      <w:r w:rsidRPr="003618E2">
        <w:rPr>
          <w:lang w:val="es-ES"/>
        </w:rPr>
        <w:t>en</w:t>
      </w:r>
      <w:r w:rsidR="00D136BB">
        <w:rPr>
          <w:lang w:val="es-ES"/>
        </w:rPr>
        <w:t xml:space="preserve"> </w:t>
      </w:r>
      <w:r w:rsidRPr="003618E2">
        <w:rPr>
          <w:lang w:val="es-ES"/>
        </w:rPr>
        <w:t>un</w:t>
      </w:r>
      <w:r w:rsidR="00D136BB">
        <w:rPr>
          <w:lang w:val="es-ES"/>
        </w:rPr>
        <w:t xml:space="preserve"> </w:t>
      </w:r>
      <w:r w:rsidRPr="003618E2">
        <w:rPr>
          <w:lang w:val="es-ES"/>
        </w:rPr>
        <w:t>territorio</w:t>
      </w:r>
      <w:r w:rsidR="00D136BB">
        <w:rPr>
          <w:lang w:val="es-ES"/>
        </w:rPr>
        <w:t xml:space="preserve"> </w:t>
      </w:r>
      <w:r w:rsidRPr="003618E2">
        <w:rPr>
          <w:lang w:val="es-ES"/>
        </w:rPr>
        <w:t>que</w:t>
      </w:r>
      <w:r w:rsidR="00D136BB">
        <w:rPr>
          <w:lang w:val="es-ES"/>
        </w:rPr>
        <w:t xml:space="preserve"> </w:t>
      </w:r>
      <w:r w:rsidRPr="003618E2">
        <w:rPr>
          <w:lang w:val="es-ES"/>
        </w:rPr>
        <w:t>abarca</w:t>
      </w:r>
      <w:r w:rsidR="00D136BB">
        <w:rPr>
          <w:lang w:val="es-ES"/>
        </w:rPr>
        <w:t xml:space="preserve"> </w:t>
      </w:r>
      <w:r w:rsidRPr="003618E2">
        <w:rPr>
          <w:lang w:val="es-ES"/>
        </w:rPr>
        <w:t>20,4</w:t>
      </w:r>
      <w:r w:rsidR="00D136BB">
        <w:rPr>
          <w:lang w:val="es-ES"/>
        </w:rPr>
        <w:t xml:space="preserve"> </w:t>
      </w:r>
      <w:r w:rsidRPr="003618E2">
        <w:rPr>
          <w:lang w:val="es-ES"/>
        </w:rPr>
        <w:t>millones</w:t>
      </w:r>
      <w:r w:rsidR="00D136BB">
        <w:rPr>
          <w:lang w:val="es-ES"/>
        </w:rPr>
        <w:t xml:space="preserve"> </w:t>
      </w:r>
      <w:r w:rsidRPr="003618E2">
        <w:rPr>
          <w:lang w:val="es-ES"/>
        </w:rPr>
        <w:t>de</w:t>
      </w:r>
      <w:r w:rsidR="00D136BB">
        <w:rPr>
          <w:lang w:val="es-ES"/>
        </w:rPr>
        <w:t xml:space="preserve"> </w:t>
      </w:r>
      <w:r w:rsidRPr="003618E2">
        <w:rPr>
          <w:lang w:val="es-ES"/>
        </w:rPr>
        <w:t>kilómetros</w:t>
      </w:r>
      <w:r w:rsidR="00D136BB">
        <w:rPr>
          <w:lang w:val="es-ES"/>
        </w:rPr>
        <w:t xml:space="preserve"> </w:t>
      </w:r>
      <w:r w:rsidRPr="003618E2">
        <w:rPr>
          <w:lang w:val="es-ES"/>
        </w:rPr>
        <w:t>cuadrados.</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tenía</w:t>
      </w:r>
      <w:r w:rsidR="00D136BB">
        <w:rPr>
          <w:lang w:val="es-ES"/>
        </w:rPr>
        <w:t xml:space="preserve"> </w:t>
      </w:r>
      <w:r w:rsidRPr="003618E2">
        <w:rPr>
          <w:lang w:val="es-ES"/>
        </w:rPr>
        <w:t>581,4</w:t>
      </w:r>
      <w:r w:rsidR="00D136BB">
        <w:rPr>
          <w:lang w:val="es-ES"/>
        </w:rPr>
        <w:t xml:space="preserve"> </w:t>
      </w:r>
      <w:r w:rsidRPr="003618E2">
        <w:rPr>
          <w:lang w:val="es-ES"/>
        </w:rPr>
        <w:t>millones</w:t>
      </w:r>
      <w:r w:rsidR="00D136BB">
        <w:rPr>
          <w:lang w:val="es-ES"/>
        </w:rPr>
        <w:t xml:space="preserve"> </w:t>
      </w:r>
      <w:r w:rsidRPr="003618E2">
        <w:rPr>
          <w:lang w:val="es-ES"/>
        </w:rPr>
        <w:t>de</w:t>
      </w:r>
      <w:r w:rsidR="00D136BB">
        <w:rPr>
          <w:lang w:val="es-ES"/>
        </w:rPr>
        <w:t xml:space="preserve"> </w:t>
      </w:r>
      <w:r w:rsidRPr="003618E2">
        <w:rPr>
          <w:lang w:val="es-ES"/>
        </w:rPr>
        <w:t>habitantes</w:t>
      </w:r>
      <w:r w:rsidR="00D136BB">
        <w:rPr>
          <w:lang w:val="es-ES"/>
        </w:rPr>
        <w:t xml:space="preserve"> </w:t>
      </w:r>
      <w:r w:rsidRPr="003618E2">
        <w:rPr>
          <w:lang w:val="es-ES"/>
        </w:rPr>
        <w:t>en</w:t>
      </w:r>
      <w:r w:rsidR="00D136BB">
        <w:rPr>
          <w:lang w:val="es-ES"/>
        </w:rPr>
        <w:t xml:space="preserve"> </w:t>
      </w:r>
      <w:r w:rsidRPr="003618E2">
        <w:rPr>
          <w:lang w:val="es-ES"/>
        </w:rPr>
        <w:t>2017,</w:t>
      </w:r>
      <w:r w:rsidR="00D136BB">
        <w:rPr>
          <w:lang w:val="es-ES"/>
        </w:rPr>
        <w:t xml:space="preserve"> </w:t>
      </w:r>
      <w:r w:rsidRPr="003618E2">
        <w:rPr>
          <w:lang w:val="es-ES"/>
        </w:rPr>
        <w:t>con</w:t>
      </w:r>
      <w:r w:rsidR="00D136BB">
        <w:rPr>
          <w:lang w:val="es-ES"/>
        </w:rPr>
        <w:t xml:space="preserve"> </w:t>
      </w:r>
      <w:r w:rsidRPr="003618E2">
        <w:rPr>
          <w:lang w:val="es-ES"/>
        </w:rPr>
        <w:t>un</w:t>
      </w:r>
      <w:r w:rsidR="00D136BB">
        <w:rPr>
          <w:lang w:val="es-ES"/>
        </w:rPr>
        <w:t xml:space="preserve"> </w:t>
      </w:r>
      <w:r w:rsidRPr="003618E2">
        <w:rPr>
          <w:lang w:val="es-ES"/>
        </w:rPr>
        <w:t>crecimiento</w:t>
      </w:r>
      <w:r w:rsidR="00D136BB">
        <w:rPr>
          <w:lang w:val="es-ES"/>
        </w:rPr>
        <w:t xml:space="preserve"> </w:t>
      </w:r>
      <w:r w:rsidRPr="003618E2">
        <w:rPr>
          <w:lang w:val="es-ES"/>
        </w:rPr>
        <w:t>anual</w:t>
      </w:r>
      <w:r w:rsidR="00D136BB">
        <w:rPr>
          <w:lang w:val="es-ES"/>
        </w:rPr>
        <w:t xml:space="preserve"> </w:t>
      </w:r>
      <w:r w:rsidRPr="003618E2">
        <w:rPr>
          <w:lang w:val="es-ES"/>
        </w:rPr>
        <w:t>de</w:t>
      </w:r>
      <w:r w:rsidR="00D136BB">
        <w:rPr>
          <w:lang w:val="es-ES"/>
        </w:rPr>
        <w:t xml:space="preserve"> </w:t>
      </w:r>
      <w:r w:rsidRPr="003618E2">
        <w:rPr>
          <w:lang w:val="es-ES"/>
        </w:rPr>
        <w:t>1,2%.</w:t>
      </w:r>
      <w:r w:rsidR="00D136BB">
        <w:rPr>
          <w:lang w:val="es-ES"/>
        </w:rPr>
        <w:t xml:space="preserve"> </w:t>
      </w:r>
      <w:r w:rsidRPr="003618E2">
        <w:rPr>
          <w:lang w:val="es-ES"/>
        </w:rPr>
        <w:t>El</w:t>
      </w:r>
      <w:r w:rsidR="00D136BB">
        <w:rPr>
          <w:lang w:val="es-ES"/>
        </w:rPr>
        <w:t xml:space="preserve"> </w:t>
      </w:r>
      <w:r w:rsidRPr="003618E2">
        <w:rPr>
          <w:lang w:val="es-ES"/>
        </w:rPr>
        <w:t>Producto</w:t>
      </w:r>
      <w:r w:rsidR="00D136BB">
        <w:rPr>
          <w:lang w:val="es-ES"/>
        </w:rPr>
        <w:t xml:space="preserve"> </w:t>
      </w:r>
      <w:r w:rsidRPr="003618E2">
        <w:rPr>
          <w:lang w:val="es-ES"/>
        </w:rPr>
        <w:t>Interno</w:t>
      </w:r>
      <w:r w:rsidR="00D136BB">
        <w:rPr>
          <w:lang w:val="es-ES"/>
        </w:rPr>
        <w:t xml:space="preserve"> </w:t>
      </w:r>
      <w:r w:rsidRPr="003618E2">
        <w:rPr>
          <w:lang w:val="es-ES"/>
        </w:rPr>
        <w:t>Bruto</w:t>
      </w:r>
      <w:r w:rsidR="00D136BB">
        <w:rPr>
          <w:lang w:val="es-ES"/>
        </w:rPr>
        <w:t xml:space="preserve"> </w:t>
      </w:r>
      <w:r w:rsidRPr="003618E2">
        <w:rPr>
          <w:lang w:val="es-ES"/>
        </w:rPr>
        <w:t>(PIB)</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fue</w:t>
      </w:r>
      <w:r w:rsidR="00D136BB">
        <w:rPr>
          <w:lang w:val="es-ES"/>
        </w:rPr>
        <w:t xml:space="preserve"> </w:t>
      </w:r>
      <w:r w:rsidRPr="003618E2">
        <w:rPr>
          <w:lang w:val="es-ES"/>
        </w:rPr>
        <w:t>de</w:t>
      </w:r>
      <w:r w:rsidR="00D136BB">
        <w:rPr>
          <w:lang w:val="es-ES"/>
        </w:rPr>
        <w:t xml:space="preserve"> </w:t>
      </w:r>
      <w:r w:rsidRPr="003618E2">
        <w:rPr>
          <w:lang w:val="es-ES"/>
        </w:rPr>
        <w:t>5344</w:t>
      </w:r>
      <w:r w:rsidR="00D136BB">
        <w:rPr>
          <w:lang w:val="es-ES"/>
        </w:rPr>
        <w:t xml:space="preserve"> </w:t>
      </w:r>
      <w:r w:rsidRPr="003618E2">
        <w:rPr>
          <w:lang w:val="es-ES"/>
        </w:rPr>
        <w:t>miles</w:t>
      </w:r>
      <w:r w:rsidR="00D136BB">
        <w:rPr>
          <w:lang w:val="es-ES"/>
        </w:rPr>
        <w:t xml:space="preserve"> </w:t>
      </w:r>
      <w:r w:rsidRPr="003618E2">
        <w:rPr>
          <w:lang w:val="es-ES"/>
        </w:rPr>
        <w:t>de</w:t>
      </w:r>
      <w:r w:rsidR="00D136BB">
        <w:rPr>
          <w:lang w:val="es-ES"/>
        </w:rPr>
        <w:t xml:space="preserve"> </w:t>
      </w:r>
      <w:r w:rsidRPr="003618E2">
        <w:rPr>
          <w:lang w:val="es-ES"/>
        </w:rPr>
        <w:t>millones</w:t>
      </w:r>
      <w:r w:rsidR="00D136BB">
        <w:rPr>
          <w:lang w:val="es-ES"/>
        </w:rPr>
        <w:t xml:space="preserve"> </w:t>
      </w:r>
      <w:r w:rsidRPr="003618E2">
        <w:rPr>
          <w:lang w:val="es-ES"/>
        </w:rPr>
        <w:t>de</w:t>
      </w:r>
      <w:r w:rsidR="00D136BB">
        <w:rPr>
          <w:lang w:val="es-ES"/>
        </w:rPr>
        <w:t xml:space="preserve"> </w:t>
      </w:r>
      <w:r w:rsidRPr="003618E2">
        <w:rPr>
          <w:lang w:val="es-ES"/>
        </w:rPr>
        <w:t>USD</w:t>
      </w:r>
      <w:r w:rsidR="00D136BB">
        <w:rPr>
          <w:lang w:val="es-ES"/>
        </w:rPr>
        <w:t xml:space="preserve"> </w:t>
      </w:r>
      <w:r w:rsidRPr="003618E2">
        <w:rPr>
          <w:lang w:val="es-ES"/>
        </w:rPr>
        <w:t>en</w:t>
      </w:r>
      <w:r w:rsidR="00D136BB">
        <w:rPr>
          <w:lang w:val="es-ES"/>
        </w:rPr>
        <w:t xml:space="preserve"> </w:t>
      </w:r>
      <w:r w:rsidRPr="003618E2">
        <w:rPr>
          <w:lang w:val="es-ES"/>
        </w:rPr>
        <w:t>2012.</w:t>
      </w:r>
      <w:r w:rsidR="00D136BB">
        <w:rPr>
          <w:lang w:val="es-ES"/>
        </w:rPr>
        <w:t xml:space="preserve"> </w:t>
      </w:r>
      <w:r w:rsidRPr="003618E2">
        <w:rPr>
          <w:lang w:val="es-ES"/>
        </w:rPr>
        <w:t>En</w:t>
      </w:r>
      <w:r w:rsidR="00D136BB">
        <w:rPr>
          <w:lang w:val="es-ES"/>
        </w:rPr>
        <w:t xml:space="preserve"> </w:t>
      </w:r>
      <w:r w:rsidRPr="003618E2">
        <w:rPr>
          <w:lang w:val="es-ES"/>
        </w:rPr>
        <w:t>este</w:t>
      </w:r>
      <w:r w:rsidR="00D136BB">
        <w:rPr>
          <w:lang w:val="es-ES"/>
        </w:rPr>
        <w:t xml:space="preserve"> </w:t>
      </w:r>
      <w:r w:rsidRPr="003618E2">
        <w:rPr>
          <w:lang w:val="es-ES"/>
        </w:rPr>
        <w:t>año</w:t>
      </w:r>
      <w:r w:rsidR="00D136BB">
        <w:rPr>
          <w:lang w:val="es-ES"/>
        </w:rPr>
        <w:t xml:space="preserve"> </w:t>
      </w:r>
      <w:r w:rsidRPr="003618E2">
        <w:rPr>
          <w:lang w:val="es-ES"/>
        </w:rPr>
        <w:t>el</w:t>
      </w:r>
      <w:r w:rsidR="00D136BB">
        <w:rPr>
          <w:lang w:val="es-ES"/>
        </w:rPr>
        <w:t xml:space="preserve"> </w:t>
      </w:r>
      <w:r w:rsidRPr="003618E2">
        <w:rPr>
          <w:lang w:val="es-ES"/>
        </w:rPr>
        <w:t>ingreso</w:t>
      </w:r>
      <w:r w:rsidR="00D136BB">
        <w:rPr>
          <w:lang w:val="es-ES"/>
        </w:rPr>
        <w:t xml:space="preserve"> </w:t>
      </w:r>
      <w:r w:rsidRPr="003618E2">
        <w:rPr>
          <w:lang w:val="es-ES"/>
        </w:rPr>
        <w:t>per</w:t>
      </w:r>
      <w:r w:rsidR="00D136BB">
        <w:rPr>
          <w:lang w:val="es-ES"/>
        </w:rPr>
        <w:t xml:space="preserve"> </w:t>
      </w:r>
      <w:r w:rsidRPr="003618E2">
        <w:rPr>
          <w:lang w:val="es-ES"/>
        </w:rPr>
        <w:t>cápita</w:t>
      </w:r>
      <w:r w:rsidR="00D136BB">
        <w:rPr>
          <w:lang w:val="es-ES"/>
        </w:rPr>
        <w:t xml:space="preserve"> </w:t>
      </w:r>
      <w:r w:rsidRPr="003618E2">
        <w:rPr>
          <w:lang w:val="es-ES"/>
        </w:rPr>
        <w:t>anual</w:t>
      </w:r>
      <w:r w:rsidR="00D136BB">
        <w:rPr>
          <w:lang w:val="es-ES"/>
        </w:rPr>
        <w:t xml:space="preserve"> </w:t>
      </w:r>
      <w:r w:rsidRPr="003618E2">
        <w:rPr>
          <w:lang w:val="es-ES"/>
        </w:rPr>
        <w:t>fue</w:t>
      </w:r>
      <w:r w:rsidR="00D136BB">
        <w:rPr>
          <w:lang w:val="es-ES"/>
        </w:rPr>
        <w:t xml:space="preserve"> </w:t>
      </w:r>
      <w:r w:rsidRPr="003618E2">
        <w:rPr>
          <w:lang w:val="es-ES"/>
        </w:rPr>
        <w:t>de</w:t>
      </w:r>
      <w:r w:rsidR="00D136BB">
        <w:rPr>
          <w:lang w:val="es-ES"/>
        </w:rPr>
        <w:t xml:space="preserve"> </w:t>
      </w:r>
      <w:r w:rsidRPr="003618E2">
        <w:rPr>
          <w:lang w:val="es-ES"/>
        </w:rPr>
        <w:t>8981</w:t>
      </w:r>
      <w:r w:rsidR="00D136BB">
        <w:rPr>
          <w:lang w:val="es-ES"/>
        </w:rPr>
        <w:t xml:space="preserve"> </w:t>
      </w:r>
      <w:r w:rsidRPr="003618E2">
        <w:rPr>
          <w:lang w:val="es-ES"/>
        </w:rPr>
        <w:t>USD.</w:t>
      </w:r>
      <w:r w:rsidR="00D136BB">
        <w:rPr>
          <w:lang w:val="es-ES"/>
        </w:rPr>
        <w:t xml:space="preserve"> </w:t>
      </w:r>
      <w:r w:rsidRPr="003618E2">
        <w:rPr>
          <w:lang w:val="es-ES"/>
        </w:rPr>
        <w:t>La</w:t>
      </w:r>
      <w:r w:rsidR="00D136BB">
        <w:rPr>
          <w:lang w:val="es-ES"/>
        </w:rPr>
        <w:t xml:space="preserve"> </w:t>
      </w:r>
      <w:r w:rsidRPr="003618E2">
        <w:rPr>
          <w:lang w:val="es-ES"/>
        </w:rPr>
        <w:t>esperanza</w:t>
      </w:r>
      <w:r w:rsidR="00D136BB">
        <w:rPr>
          <w:lang w:val="es-ES"/>
        </w:rPr>
        <w:t xml:space="preserve"> </w:t>
      </w:r>
      <w:r w:rsidRPr="003618E2">
        <w:rPr>
          <w:lang w:val="es-ES"/>
        </w:rPr>
        <w:t>de</w:t>
      </w:r>
      <w:r w:rsidR="00D136BB">
        <w:rPr>
          <w:lang w:val="es-ES"/>
        </w:rPr>
        <w:t xml:space="preserve"> </w:t>
      </w:r>
      <w:r w:rsidRPr="003618E2">
        <w:rPr>
          <w:lang w:val="es-ES"/>
        </w:rPr>
        <w:t>vida</w:t>
      </w:r>
      <w:r w:rsidR="00D136BB">
        <w:rPr>
          <w:lang w:val="es-ES"/>
        </w:rPr>
        <w:t xml:space="preserve"> </w:t>
      </w:r>
      <w:r w:rsidRPr="003618E2">
        <w:rPr>
          <w:lang w:val="es-ES"/>
        </w:rPr>
        <w:t>al</w:t>
      </w:r>
      <w:r w:rsidR="00D136BB">
        <w:rPr>
          <w:lang w:val="es-ES"/>
        </w:rPr>
        <w:t xml:space="preserve"> </w:t>
      </w:r>
      <w:r w:rsidRPr="003618E2">
        <w:rPr>
          <w:lang w:val="es-ES"/>
        </w:rPr>
        <w:t>nacer</w:t>
      </w:r>
      <w:r w:rsidR="00D136BB">
        <w:rPr>
          <w:lang w:val="es-ES"/>
        </w:rPr>
        <w:t xml:space="preserve"> </w:t>
      </w:r>
      <w:r w:rsidRPr="003618E2">
        <w:rPr>
          <w:lang w:val="es-ES"/>
        </w:rPr>
        <w:t>es</w:t>
      </w:r>
      <w:r w:rsidR="00D136BB">
        <w:rPr>
          <w:lang w:val="es-ES"/>
        </w:rPr>
        <w:t xml:space="preserve"> </w:t>
      </w:r>
      <w:r w:rsidRPr="003618E2">
        <w:rPr>
          <w:lang w:val="es-ES"/>
        </w:rPr>
        <w:t>de</w:t>
      </w:r>
      <w:r w:rsidR="00D136BB">
        <w:rPr>
          <w:lang w:val="es-ES"/>
        </w:rPr>
        <w:t xml:space="preserve"> </w:t>
      </w:r>
      <w:r w:rsidRPr="003618E2">
        <w:rPr>
          <w:lang w:val="es-ES"/>
        </w:rPr>
        <w:t>74</w:t>
      </w:r>
      <w:r w:rsidR="00D136BB">
        <w:rPr>
          <w:lang w:val="es-ES"/>
        </w:rPr>
        <w:t xml:space="preserve"> </w:t>
      </w:r>
      <w:r w:rsidRPr="003618E2">
        <w:rPr>
          <w:lang w:val="es-ES"/>
        </w:rPr>
        <w:t>años</w:t>
      </w:r>
      <w:r w:rsidR="00D136BB">
        <w:rPr>
          <w:lang w:val="es-ES"/>
        </w:rPr>
        <w:t xml:space="preserve"> </w:t>
      </w:r>
      <w:r w:rsidRPr="003618E2">
        <w:rPr>
          <w:lang w:val="es-ES"/>
        </w:rPr>
        <w:t>en</w:t>
      </w:r>
      <w:r w:rsidR="00D136BB">
        <w:rPr>
          <w:lang w:val="es-ES"/>
        </w:rPr>
        <w:t xml:space="preserve"> </w:t>
      </w:r>
      <w:r w:rsidRPr="003618E2">
        <w:rPr>
          <w:lang w:val="es-ES"/>
        </w:rPr>
        <w:t>2015.</w:t>
      </w:r>
      <w:r w:rsidR="00D136BB">
        <w:rPr>
          <w:lang w:val="es-ES"/>
        </w:rPr>
        <w:t xml:space="preserve"> </w:t>
      </w:r>
      <w:r w:rsidRPr="003618E2">
        <w:rPr>
          <w:lang w:val="es-ES"/>
        </w:rPr>
        <w:t>La</w:t>
      </w:r>
      <w:r w:rsidR="00D136BB">
        <w:rPr>
          <w:lang w:val="es-ES"/>
        </w:rPr>
        <w:t xml:space="preserve"> </w:t>
      </w:r>
      <w:r w:rsidRPr="003618E2">
        <w:rPr>
          <w:lang w:val="es-ES"/>
        </w:rPr>
        <w:t>matrícula</w:t>
      </w:r>
      <w:r w:rsidR="00D136BB">
        <w:rPr>
          <w:lang w:val="es-ES"/>
        </w:rPr>
        <w:t xml:space="preserve"> </w:t>
      </w:r>
      <w:r w:rsidRPr="003618E2">
        <w:rPr>
          <w:lang w:val="es-ES"/>
        </w:rPr>
        <w:t>para</w:t>
      </w:r>
      <w:r w:rsidR="00D136BB">
        <w:rPr>
          <w:lang w:val="es-ES"/>
        </w:rPr>
        <w:t xml:space="preserve"> </w:t>
      </w:r>
      <w:r w:rsidRPr="003618E2">
        <w:rPr>
          <w:lang w:val="es-ES"/>
        </w:rPr>
        <w:t>educación</w:t>
      </w:r>
      <w:r w:rsidR="00D136BB">
        <w:rPr>
          <w:lang w:val="es-ES"/>
        </w:rPr>
        <w:t xml:space="preserve"> </w:t>
      </w:r>
      <w:r w:rsidRPr="003618E2">
        <w:rPr>
          <w:lang w:val="es-ES"/>
        </w:rPr>
        <w:t>primaria</w:t>
      </w:r>
      <w:r w:rsidR="00D136BB">
        <w:rPr>
          <w:lang w:val="es-ES"/>
        </w:rPr>
        <w:t xml:space="preserve"> </w:t>
      </w:r>
      <w:r w:rsidRPr="003618E2">
        <w:rPr>
          <w:lang w:val="es-ES"/>
        </w:rPr>
        <w:t>alcanza</w:t>
      </w:r>
      <w:r w:rsidR="00D136BB">
        <w:rPr>
          <w:lang w:val="es-ES"/>
        </w:rPr>
        <w:t xml:space="preserve"> </w:t>
      </w:r>
      <w:r w:rsidRPr="003618E2">
        <w:rPr>
          <w:lang w:val="es-ES"/>
        </w:rPr>
        <w:t>el</w:t>
      </w:r>
      <w:r w:rsidR="00D136BB">
        <w:rPr>
          <w:lang w:val="es-ES"/>
        </w:rPr>
        <w:t xml:space="preserve"> </w:t>
      </w:r>
      <w:r w:rsidRPr="003618E2">
        <w:rPr>
          <w:lang w:val="es-ES"/>
        </w:rPr>
        <w:t>107%</w:t>
      </w:r>
      <w:r w:rsidR="00D136BB">
        <w:rPr>
          <w:lang w:val="es-ES"/>
        </w:rPr>
        <w:t xml:space="preserve"> </w:t>
      </w:r>
      <w:r w:rsidRPr="003618E2">
        <w:rPr>
          <w:lang w:val="es-ES"/>
        </w:rPr>
        <w:t>.</w:t>
      </w:r>
      <w:r w:rsidR="00D136BB">
        <w:rPr>
          <w:lang w:val="es-ES"/>
        </w:rPr>
        <w:t xml:space="preserve">  </w:t>
      </w:r>
      <w:r w:rsidRPr="003618E2">
        <w:rPr>
          <w:lang w:val="es-ES"/>
        </w:rPr>
        <w:t>Se</w:t>
      </w:r>
      <w:r w:rsidR="00D136BB">
        <w:rPr>
          <w:lang w:val="es-ES"/>
        </w:rPr>
        <w:t xml:space="preserve"> </w:t>
      </w:r>
      <w:r w:rsidRPr="003618E2">
        <w:rPr>
          <w:lang w:val="es-ES"/>
        </w:rPr>
        <w:t>pronostica</w:t>
      </w:r>
      <w:r w:rsidR="00D136BB">
        <w:rPr>
          <w:lang w:val="es-ES"/>
        </w:rPr>
        <w:t xml:space="preserve"> </w:t>
      </w:r>
      <w:r w:rsidRPr="003618E2">
        <w:rPr>
          <w:lang w:val="es-ES"/>
        </w:rPr>
        <w:t>que</w:t>
      </w:r>
      <w:r w:rsidR="00D136BB">
        <w:rPr>
          <w:lang w:val="es-ES"/>
        </w:rPr>
        <w:t xml:space="preserve"> </w:t>
      </w:r>
      <w:r w:rsidRPr="003618E2">
        <w:rPr>
          <w:lang w:val="es-ES"/>
        </w:rPr>
        <w:t>la</w:t>
      </w:r>
      <w:r w:rsidR="00D136BB">
        <w:rPr>
          <w:lang w:val="es-ES"/>
        </w:rPr>
        <w:t xml:space="preserve"> </w:t>
      </w:r>
      <w:r w:rsidRPr="003618E2">
        <w:rPr>
          <w:lang w:val="es-ES"/>
        </w:rPr>
        <w:t>población</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ascenderá</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año</w:t>
      </w:r>
      <w:r w:rsidR="00D136BB">
        <w:rPr>
          <w:lang w:val="es-ES"/>
        </w:rPr>
        <w:t xml:space="preserve"> </w:t>
      </w:r>
      <w:r w:rsidRPr="003618E2">
        <w:rPr>
          <w:lang w:val="es-ES"/>
        </w:rPr>
        <w:t>2050</w:t>
      </w:r>
      <w:r w:rsidR="00D136BB">
        <w:rPr>
          <w:lang w:val="es-ES"/>
        </w:rPr>
        <w:t xml:space="preserve"> </w:t>
      </w:r>
      <w:r w:rsidRPr="003618E2">
        <w:rPr>
          <w:lang w:val="es-ES"/>
        </w:rPr>
        <w:t>a</w:t>
      </w:r>
      <w:r w:rsidR="00D136BB">
        <w:rPr>
          <w:lang w:val="es-ES"/>
        </w:rPr>
        <w:t xml:space="preserve"> </w:t>
      </w:r>
      <w:r w:rsidRPr="003618E2">
        <w:rPr>
          <w:lang w:val="es-ES"/>
        </w:rPr>
        <w:t>unos</w:t>
      </w:r>
      <w:r w:rsidR="00D136BB">
        <w:rPr>
          <w:lang w:val="es-ES"/>
        </w:rPr>
        <w:t xml:space="preserve"> </w:t>
      </w:r>
      <w:r w:rsidRPr="003618E2">
        <w:rPr>
          <w:lang w:val="es-ES"/>
        </w:rPr>
        <w:t>902</w:t>
      </w:r>
      <w:r w:rsidR="00D136BB">
        <w:rPr>
          <w:lang w:val="es-ES"/>
        </w:rPr>
        <w:t xml:space="preserve"> </w:t>
      </w:r>
      <w:r w:rsidRPr="003618E2">
        <w:rPr>
          <w:lang w:val="es-ES"/>
        </w:rPr>
        <w:t>millones</w:t>
      </w:r>
      <w:r w:rsidR="00D136BB">
        <w:rPr>
          <w:lang w:val="es-ES"/>
        </w:rPr>
        <w:t xml:space="preserve"> </w:t>
      </w:r>
      <w:r w:rsidRPr="003618E2">
        <w:rPr>
          <w:lang w:val="es-ES"/>
        </w:rPr>
        <w:t>de</w:t>
      </w:r>
      <w:r w:rsidR="00D136BB">
        <w:rPr>
          <w:lang w:val="es-ES"/>
        </w:rPr>
        <w:t xml:space="preserve"> </w:t>
      </w:r>
      <w:r w:rsidRPr="003618E2">
        <w:rPr>
          <w:lang w:val="es-ES"/>
        </w:rPr>
        <w:t>habitantes</w:t>
      </w:r>
      <w:r w:rsidR="00D136BB">
        <w:rPr>
          <w:lang w:val="es-ES"/>
        </w:rPr>
        <w:t xml:space="preserve"> </w:t>
      </w:r>
      <w:r w:rsidRPr="003618E2">
        <w:rPr>
          <w:lang w:val="es-ES"/>
        </w:rPr>
        <w:t>[49-50].</w:t>
      </w:r>
    </w:p>
    <w:p w14:paraId="1B23A456" w14:textId="76366BB7" w:rsidR="006D362C" w:rsidRPr="003618E2" w:rsidRDefault="006D362C" w:rsidP="006D362C">
      <w:pPr>
        <w:pStyle w:val="BodyText"/>
        <w:rPr>
          <w:lang w:val="es-ES"/>
        </w:rPr>
      </w:pPr>
      <w:r w:rsidRPr="003618E2">
        <w:rPr>
          <w:lang w:val="es-ES"/>
        </w:rPr>
        <w:t>La</w:t>
      </w:r>
      <w:r w:rsidR="00D136BB">
        <w:rPr>
          <w:lang w:val="es-ES"/>
        </w:rPr>
        <w:t xml:space="preserve"> </w:t>
      </w:r>
      <w:r w:rsidRPr="003618E2">
        <w:rPr>
          <w:lang w:val="es-ES"/>
        </w:rPr>
        <w:t>Tabla</w:t>
      </w:r>
      <w:r w:rsidR="00D136BB">
        <w:rPr>
          <w:lang w:val="es-ES"/>
        </w:rPr>
        <w:t xml:space="preserve"> </w:t>
      </w:r>
      <w:r w:rsidRPr="003618E2">
        <w:rPr>
          <w:lang w:val="es-ES"/>
        </w:rPr>
        <w:t>(a)</w:t>
      </w:r>
      <w:r w:rsidR="00D136BB">
        <w:rPr>
          <w:lang w:val="es-ES"/>
        </w:rPr>
        <w:t xml:space="preserve"> </w:t>
      </w:r>
      <w:r w:rsidRPr="003618E2">
        <w:rPr>
          <w:lang w:val="es-ES"/>
        </w:rPr>
        <w:t>presenta</w:t>
      </w:r>
      <w:r w:rsidR="00D136BB">
        <w:rPr>
          <w:lang w:val="es-ES"/>
        </w:rPr>
        <w:t xml:space="preserve"> </w:t>
      </w:r>
      <w:r w:rsidRPr="003618E2">
        <w:rPr>
          <w:lang w:val="es-ES"/>
        </w:rPr>
        <w:t>el</w:t>
      </w:r>
      <w:r w:rsidR="00D136BB">
        <w:rPr>
          <w:lang w:val="es-ES"/>
        </w:rPr>
        <w:t xml:space="preserve"> </w:t>
      </w:r>
      <w:r w:rsidRPr="003618E2">
        <w:rPr>
          <w:lang w:val="es-ES"/>
        </w:rPr>
        <w:t>porcentaje</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población</w:t>
      </w:r>
      <w:r w:rsidR="00D136BB">
        <w:rPr>
          <w:lang w:val="es-ES"/>
        </w:rPr>
        <w:t xml:space="preserve"> </w:t>
      </w:r>
      <w:r w:rsidRPr="003618E2">
        <w:rPr>
          <w:lang w:val="es-ES"/>
        </w:rPr>
        <w:t>total</w:t>
      </w:r>
      <w:r w:rsidR="00D136BB">
        <w:rPr>
          <w:lang w:val="es-ES"/>
        </w:rPr>
        <w:t xml:space="preserve"> </w:t>
      </w:r>
      <w:r w:rsidRPr="003618E2">
        <w:rPr>
          <w:lang w:val="es-ES"/>
        </w:rPr>
        <w:t>empleada</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industria</w:t>
      </w:r>
      <w:r w:rsidR="00D136BB">
        <w:rPr>
          <w:lang w:val="es-ES"/>
        </w:rPr>
        <w:t xml:space="preserve"> </w:t>
      </w:r>
      <w:r w:rsidRPr="003618E2">
        <w:rPr>
          <w:lang w:val="es-ES"/>
        </w:rPr>
        <w:t>en</w:t>
      </w:r>
      <w:r w:rsidR="00D136BB">
        <w:rPr>
          <w:lang w:val="es-ES"/>
        </w:rPr>
        <w:t xml:space="preserve"> </w:t>
      </w:r>
      <w:r w:rsidRPr="003618E2">
        <w:rPr>
          <w:lang w:val="es-ES"/>
        </w:rPr>
        <w:t>2017</w:t>
      </w:r>
      <w:r w:rsidR="00D136BB">
        <w:rPr>
          <w:lang w:val="es-ES"/>
        </w:rPr>
        <w:t xml:space="preserve"> </w:t>
      </w:r>
      <w:r w:rsidRPr="003618E2">
        <w:rPr>
          <w:lang w:val="es-ES"/>
        </w:rPr>
        <w:t>[49].</w:t>
      </w:r>
    </w:p>
    <w:p w14:paraId="4164368F" w14:textId="7A916565" w:rsidR="006D362C" w:rsidRPr="003618E2" w:rsidRDefault="006D362C" w:rsidP="006D362C">
      <w:pPr>
        <w:pStyle w:val="BodyText"/>
        <w:jc w:val="center"/>
        <w:rPr>
          <w:b/>
          <w:bCs/>
          <w:lang w:val="es-ES"/>
        </w:rPr>
      </w:pPr>
      <w:r w:rsidRPr="003618E2">
        <w:rPr>
          <w:b/>
          <w:bCs/>
          <w:lang w:val="es-ES"/>
        </w:rPr>
        <w:t>Tabla</w:t>
      </w:r>
      <w:r w:rsidR="00D136BB">
        <w:rPr>
          <w:b/>
          <w:bCs/>
          <w:lang w:val="es-ES"/>
        </w:rPr>
        <w:t xml:space="preserve"> </w:t>
      </w:r>
      <w:r w:rsidRPr="003618E2">
        <w:rPr>
          <w:b/>
          <w:bCs/>
          <w:lang w:val="es-ES"/>
        </w:rPr>
        <w:t>(a).</w:t>
      </w:r>
      <w:r w:rsidR="00D136BB">
        <w:rPr>
          <w:b/>
          <w:bCs/>
          <w:lang w:val="es-ES"/>
        </w:rPr>
        <w:t xml:space="preserve"> </w:t>
      </w:r>
      <w:r w:rsidRPr="003618E2">
        <w:rPr>
          <w:b/>
          <w:bCs/>
          <w:lang w:val="es-ES"/>
        </w:rPr>
        <w:t>Porcentaje</w:t>
      </w:r>
      <w:r w:rsidR="00D136BB">
        <w:rPr>
          <w:b/>
          <w:bCs/>
          <w:lang w:val="es-ES"/>
        </w:rPr>
        <w:t xml:space="preserve"> </w:t>
      </w:r>
      <w:r w:rsidRPr="003618E2">
        <w:rPr>
          <w:b/>
          <w:bCs/>
          <w:lang w:val="es-ES"/>
        </w:rPr>
        <w:t>de</w:t>
      </w:r>
      <w:r w:rsidR="00D136BB">
        <w:rPr>
          <w:b/>
          <w:bCs/>
          <w:lang w:val="es-ES"/>
        </w:rPr>
        <w:t xml:space="preserve"> </w:t>
      </w:r>
      <w:r w:rsidRPr="003618E2">
        <w:rPr>
          <w:b/>
          <w:bCs/>
          <w:lang w:val="es-ES"/>
        </w:rPr>
        <w:t>la</w:t>
      </w:r>
      <w:r w:rsidR="00D136BB">
        <w:rPr>
          <w:b/>
          <w:bCs/>
          <w:lang w:val="es-ES"/>
        </w:rPr>
        <w:t xml:space="preserve"> </w:t>
      </w:r>
      <w:r w:rsidRPr="003618E2">
        <w:rPr>
          <w:b/>
          <w:bCs/>
          <w:lang w:val="es-ES"/>
        </w:rPr>
        <w:t>población</w:t>
      </w:r>
      <w:r w:rsidR="00D136BB">
        <w:rPr>
          <w:b/>
          <w:bCs/>
          <w:lang w:val="es-ES"/>
        </w:rPr>
        <w:t xml:space="preserve"> </w:t>
      </w:r>
      <w:r w:rsidRPr="003618E2">
        <w:rPr>
          <w:b/>
          <w:bCs/>
          <w:lang w:val="es-ES"/>
        </w:rPr>
        <w:t>empleada</w:t>
      </w:r>
      <w:r w:rsidR="00D136BB">
        <w:rPr>
          <w:b/>
          <w:bCs/>
          <w:lang w:val="es-ES"/>
        </w:rPr>
        <w:t xml:space="preserve"> </w:t>
      </w:r>
      <w:r w:rsidRPr="003618E2">
        <w:rPr>
          <w:b/>
          <w:bCs/>
          <w:lang w:val="es-ES"/>
        </w:rPr>
        <w:t>en</w:t>
      </w:r>
      <w:r w:rsidR="00D136BB">
        <w:rPr>
          <w:b/>
          <w:bCs/>
          <w:lang w:val="es-ES"/>
        </w:rPr>
        <w:t xml:space="preserve"> </w:t>
      </w:r>
      <w:r w:rsidRPr="003618E2">
        <w:rPr>
          <w:b/>
          <w:bCs/>
          <w:lang w:val="es-ES"/>
        </w:rPr>
        <w:t>la</w:t>
      </w:r>
      <w:r w:rsidR="00D136BB">
        <w:rPr>
          <w:b/>
          <w:bCs/>
          <w:lang w:val="es-ES"/>
        </w:rPr>
        <w:t xml:space="preserve"> </w:t>
      </w:r>
      <w:r w:rsidRPr="003618E2">
        <w:rPr>
          <w:b/>
          <w:bCs/>
          <w:lang w:val="es-ES"/>
        </w:rPr>
        <w:t>industria</w:t>
      </w:r>
      <w:r w:rsidR="00D136BB">
        <w:rPr>
          <w:b/>
          <w:bCs/>
          <w:lang w:val="es-ES"/>
        </w:rPr>
        <w:t xml:space="preserve"> </w:t>
      </w:r>
      <w:r w:rsidRPr="003618E2">
        <w:rPr>
          <w:b/>
          <w:bCs/>
          <w:lang w:val="es-ES"/>
        </w:rPr>
        <w:t>en</w:t>
      </w:r>
      <w:r w:rsidR="00D136BB">
        <w:rPr>
          <w:b/>
          <w:bCs/>
          <w:lang w:val="es-ES"/>
        </w:rPr>
        <w:t xml:space="preserve"> </w:t>
      </w:r>
      <w:r w:rsidRPr="003618E2">
        <w:rPr>
          <w:b/>
          <w:bCs/>
          <w:lang w:val="es-ES"/>
        </w:rPr>
        <w:t>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276"/>
        <w:gridCol w:w="1559"/>
        <w:gridCol w:w="1559"/>
        <w:gridCol w:w="1560"/>
        <w:gridCol w:w="992"/>
      </w:tblGrid>
      <w:tr w:rsidR="006D362C" w:rsidRPr="003618E2" w14:paraId="4803305A" w14:textId="77777777" w:rsidTr="00D136BB">
        <w:trPr>
          <w:trHeight w:val="406"/>
          <w:jc w:val="center"/>
        </w:trPr>
        <w:tc>
          <w:tcPr>
            <w:tcW w:w="1459" w:type="dxa"/>
            <w:shd w:val="clear" w:color="auto" w:fill="FF81AB"/>
            <w:vAlign w:val="center"/>
            <w:hideMark/>
          </w:tcPr>
          <w:p w14:paraId="3C8DD215" w14:textId="77777777" w:rsidR="006D362C" w:rsidRPr="003618E2" w:rsidRDefault="006D362C" w:rsidP="00D136BB">
            <w:pPr>
              <w:pStyle w:val="BodyText"/>
              <w:rPr>
                <w:b/>
                <w:lang w:val="es-ES"/>
              </w:rPr>
            </w:pPr>
            <w:r w:rsidRPr="003618E2">
              <w:rPr>
                <w:b/>
                <w:lang w:val="es-ES"/>
              </w:rPr>
              <w:t>País</w:t>
            </w:r>
          </w:p>
        </w:tc>
        <w:tc>
          <w:tcPr>
            <w:tcW w:w="1276" w:type="dxa"/>
            <w:shd w:val="clear" w:color="auto" w:fill="FF81AB"/>
            <w:vAlign w:val="center"/>
            <w:hideMark/>
          </w:tcPr>
          <w:p w14:paraId="27C14A12" w14:textId="77777777" w:rsidR="006D362C" w:rsidRPr="003618E2" w:rsidRDefault="006D362C" w:rsidP="00D136BB">
            <w:pPr>
              <w:pStyle w:val="BodyText"/>
              <w:rPr>
                <w:b/>
                <w:lang w:val="es-ES"/>
              </w:rPr>
            </w:pPr>
            <w:r w:rsidRPr="003618E2">
              <w:rPr>
                <w:b/>
                <w:lang w:val="es-ES"/>
              </w:rPr>
              <w:t>%</w:t>
            </w:r>
          </w:p>
        </w:tc>
        <w:tc>
          <w:tcPr>
            <w:tcW w:w="1559" w:type="dxa"/>
            <w:shd w:val="clear" w:color="auto" w:fill="FF81AB"/>
            <w:vAlign w:val="center"/>
            <w:hideMark/>
          </w:tcPr>
          <w:p w14:paraId="3D43513B" w14:textId="77777777" w:rsidR="006D362C" w:rsidRPr="003618E2" w:rsidRDefault="006D362C" w:rsidP="00D136BB">
            <w:pPr>
              <w:pStyle w:val="BodyText"/>
              <w:rPr>
                <w:b/>
                <w:lang w:val="es-ES"/>
              </w:rPr>
            </w:pPr>
            <w:r w:rsidRPr="003618E2">
              <w:rPr>
                <w:b/>
                <w:lang w:val="es-ES"/>
              </w:rPr>
              <w:t>País</w:t>
            </w:r>
          </w:p>
        </w:tc>
        <w:tc>
          <w:tcPr>
            <w:tcW w:w="1559" w:type="dxa"/>
            <w:shd w:val="clear" w:color="auto" w:fill="FF81AB"/>
            <w:vAlign w:val="center"/>
            <w:hideMark/>
          </w:tcPr>
          <w:p w14:paraId="5A902337" w14:textId="77777777" w:rsidR="006D362C" w:rsidRPr="003618E2" w:rsidRDefault="006D362C" w:rsidP="00D136BB">
            <w:pPr>
              <w:pStyle w:val="BodyText"/>
              <w:rPr>
                <w:b/>
                <w:lang w:val="es-ES"/>
              </w:rPr>
            </w:pPr>
            <w:r w:rsidRPr="003618E2">
              <w:rPr>
                <w:b/>
                <w:lang w:val="es-ES"/>
              </w:rPr>
              <w:t>%</w:t>
            </w:r>
          </w:p>
        </w:tc>
        <w:tc>
          <w:tcPr>
            <w:tcW w:w="1560" w:type="dxa"/>
            <w:shd w:val="clear" w:color="auto" w:fill="FF81AB"/>
            <w:vAlign w:val="center"/>
            <w:hideMark/>
          </w:tcPr>
          <w:p w14:paraId="66A3EC90" w14:textId="77777777" w:rsidR="006D362C" w:rsidRPr="003618E2" w:rsidRDefault="006D362C" w:rsidP="00D136BB">
            <w:pPr>
              <w:pStyle w:val="BodyText"/>
              <w:rPr>
                <w:b/>
                <w:lang w:val="es-ES"/>
              </w:rPr>
            </w:pPr>
            <w:r w:rsidRPr="003618E2">
              <w:rPr>
                <w:b/>
                <w:lang w:val="es-ES"/>
              </w:rPr>
              <w:t>País</w:t>
            </w:r>
          </w:p>
        </w:tc>
        <w:tc>
          <w:tcPr>
            <w:tcW w:w="992" w:type="dxa"/>
            <w:shd w:val="clear" w:color="auto" w:fill="FF81AB"/>
            <w:vAlign w:val="center"/>
            <w:hideMark/>
          </w:tcPr>
          <w:p w14:paraId="39B74C9F" w14:textId="77777777" w:rsidR="006D362C" w:rsidRPr="003618E2" w:rsidRDefault="006D362C" w:rsidP="00D136BB">
            <w:pPr>
              <w:pStyle w:val="BodyText"/>
              <w:rPr>
                <w:b/>
                <w:i/>
                <w:iCs/>
                <w:lang w:val="es-ES"/>
              </w:rPr>
            </w:pPr>
            <w:r w:rsidRPr="003618E2">
              <w:rPr>
                <w:b/>
                <w:i/>
                <w:iCs/>
                <w:lang w:val="es-ES"/>
              </w:rPr>
              <w:t>%</w:t>
            </w:r>
          </w:p>
        </w:tc>
      </w:tr>
      <w:tr w:rsidR="006D362C" w:rsidRPr="003618E2" w14:paraId="6D4BF9D2" w14:textId="77777777" w:rsidTr="00D136BB">
        <w:trPr>
          <w:jc w:val="center"/>
        </w:trPr>
        <w:tc>
          <w:tcPr>
            <w:tcW w:w="1459" w:type="dxa"/>
            <w:shd w:val="clear" w:color="auto" w:fill="FF81AB"/>
            <w:vAlign w:val="center"/>
            <w:hideMark/>
          </w:tcPr>
          <w:p w14:paraId="3D62B633" w14:textId="77777777" w:rsidR="006D362C" w:rsidRPr="003618E2" w:rsidRDefault="006D362C" w:rsidP="00D136BB">
            <w:pPr>
              <w:pStyle w:val="BodyText"/>
              <w:rPr>
                <w:lang w:val="es-ES"/>
              </w:rPr>
            </w:pPr>
            <w:r w:rsidRPr="003618E2">
              <w:rPr>
                <w:lang w:val="es-ES"/>
              </w:rPr>
              <w:t>Argentina</w:t>
            </w:r>
          </w:p>
        </w:tc>
        <w:tc>
          <w:tcPr>
            <w:tcW w:w="1276" w:type="dxa"/>
            <w:vAlign w:val="center"/>
            <w:hideMark/>
          </w:tcPr>
          <w:p w14:paraId="0EF4A3A3" w14:textId="77777777" w:rsidR="006D362C" w:rsidRPr="003618E2" w:rsidRDefault="006D362C" w:rsidP="00D136BB">
            <w:pPr>
              <w:pStyle w:val="BodyText"/>
              <w:rPr>
                <w:lang w:val="es-ES"/>
              </w:rPr>
            </w:pPr>
            <w:r w:rsidRPr="003618E2">
              <w:rPr>
                <w:lang w:val="es-ES"/>
              </w:rPr>
              <w:t>23,8</w:t>
            </w:r>
          </w:p>
        </w:tc>
        <w:tc>
          <w:tcPr>
            <w:tcW w:w="1559" w:type="dxa"/>
            <w:shd w:val="clear" w:color="auto" w:fill="FF81AB"/>
            <w:vAlign w:val="center"/>
            <w:hideMark/>
          </w:tcPr>
          <w:p w14:paraId="5A366746" w14:textId="77777777" w:rsidR="006D362C" w:rsidRPr="003618E2" w:rsidRDefault="006D362C" w:rsidP="00D136BB">
            <w:pPr>
              <w:pStyle w:val="BodyText"/>
              <w:rPr>
                <w:lang w:val="es-ES"/>
              </w:rPr>
            </w:pPr>
            <w:r w:rsidRPr="003618E2">
              <w:rPr>
                <w:lang w:val="es-ES"/>
              </w:rPr>
              <w:t>Ecuador</w:t>
            </w:r>
          </w:p>
        </w:tc>
        <w:tc>
          <w:tcPr>
            <w:tcW w:w="1559" w:type="dxa"/>
            <w:vAlign w:val="center"/>
            <w:hideMark/>
          </w:tcPr>
          <w:p w14:paraId="7424D812" w14:textId="77777777" w:rsidR="006D362C" w:rsidRPr="003618E2" w:rsidRDefault="006D362C" w:rsidP="00D136BB">
            <w:pPr>
              <w:pStyle w:val="BodyText"/>
              <w:rPr>
                <w:lang w:val="es-ES"/>
              </w:rPr>
            </w:pPr>
            <w:r w:rsidRPr="003618E2">
              <w:rPr>
                <w:lang w:val="es-ES"/>
              </w:rPr>
              <w:t>17,7</w:t>
            </w:r>
          </w:p>
        </w:tc>
        <w:tc>
          <w:tcPr>
            <w:tcW w:w="1560" w:type="dxa"/>
            <w:shd w:val="clear" w:color="auto" w:fill="FF81AB"/>
            <w:vAlign w:val="center"/>
            <w:hideMark/>
          </w:tcPr>
          <w:p w14:paraId="44821D1B" w14:textId="77777777" w:rsidR="006D362C" w:rsidRPr="003618E2" w:rsidRDefault="006D362C" w:rsidP="00D136BB">
            <w:pPr>
              <w:pStyle w:val="BodyText"/>
              <w:rPr>
                <w:lang w:val="es-ES"/>
              </w:rPr>
            </w:pPr>
            <w:r w:rsidRPr="003618E2">
              <w:rPr>
                <w:lang w:val="es-ES"/>
              </w:rPr>
              <w:t>Panamá</w:t>
            </w:r>
          </w:p>
        </w:tc>
        <w:tc>
          <w:tcPr>
            <w:tcW w:w="992" w:type="dxa"/>
            <w:vAlign w:val="center"/>
            <w:hideMark/>
          </w:tcPr>
          <w:p w14:paraId="4EA3644F" w14:textId="77777777" w:rsidR="006D362C" w:rsidRPr="003618E2" w:rsidRDefault="006D362C" w:rsidP="00D136BB">
            <w:pPr>
              <w:pStyle w:val="BodyText"/>
              <w:rPr>
                <w:i/>
                <w:iCs/>
                <w:lang w:val="es-ES"/>
              </w:rPr>
            </w:pPr>
            <w:r w:rsidRPr="003618E2">
              <w:rPr>
                <w:lang w:val="es-ES"/>
              </w:rPr>
              <w:t>18,6</w:t>
            </w:r>
          </w:p>
        </w:tc>
      </w:tr>
      <w:tr w:rsidR="006D362C" w:rsidRPr="003618E2" w14:paraId="0037CDA2" w14:textId="77777777" w:rsidTr="00D136BB">
        <w:trPr>
          <w:jc w:val="center"/>
        </w:trPr>
        <w:tc>
          <w:tcPr>
            <w:tcW w:w="1459" w:type="dxa"/>
            <w:shd w:val="clear" w:color="auto" w:fill="FF81AB"/>
            <w:vAlign w:val="center"/>
            <w:hideMark/>
          </w:tcPr>
          <w:p w14:paraId="16BBE64D" w14:textId="77777777" w:rsidR="006D362C" w:rsidRPr="003618E2" w:rsidRDefault="006D362C" w:rsidP="00D136BB">
            <w:pPr>
              <w:pStyle w:val="BodyText"/>
              <w:rPr>
                <w:lang w:val="es-ES"/>
              </w:rPr>
            </w:pPr>
            <w:r w:rsidRPr="003618E2">
              <w:rPr>
                <w:lang w:val="es-ES"/>
              </w:rPr>
              <w:t>Bolivia</w:t>
            </w:r>
          </w:p>
        </w:tc>
        <w:tc>
          <w:tcPr>
            <w:tcW w:w="1276" w:type="dxa"/>
            <w:vAlign w:val="center"/>
            <w:hideMark/>
          </w:tcPr>
          <w:p w14:paraId="417ED8F0" w14:textId="77777777" w:rsidR="006D362C" w:rsidRPr="003618E2" w:rsidRDefault="006D362C" w:rsidP="00D136BB">
            <w:pPr>
              <w:pStyle w:val="BodyText"/>
              <w:rPr>
                <w:i/>
                <w:iCs/>
                <w:lang w:val="es-ES"/>
              </w:rPr>
            </w:pPr>
            <w:r w:rsidRPr="003618E2">
              <w:rPr>
                <w:lang w:val="es-ES"/>
              </w:rPr>
              <w:t>20,6</w:t>
            </w:r>
          </w:p>
        </w:tc>
        <w:tc>
          <w:tcPr>
            <w:tcW w:w="1559" w:type="dxa"/>
            <w:shd w:val="clear" w:color="auto" w:fill="FF81AB"/>
            <w:vAlign w:val="center"/>
            <w:hideMark/>
          </w:tcPr>
          <w:p w14:paraId="3A55352C" w14:textId="10550821" w:rsidR="006D362C" w:rsidRPr="003618E2" w:rsidRDefault="006D362C" w:rsidP="00D136BB">
            <w:pPr>
              <w:pStyle w:val="BodyText"/>
              <w:rPr>
                <w:lang w:val="es-ES"/>
              </w:rPr>
            </w:pPr>
            <w:r w:rsidRPr="003618E2">
              <w:rPr>
                <w:lang w:val="es-ES"/>
              </w:rPr>
              <w:t>El</w:t>
            </w:r>
            <w:r w:rsidR="00D136BB">
              <w:rPr>
                <w:lang w:val="es-ES"/>
              </w:rPr>
              <w:t xml:space="preserve"> </w:t>
            </w:r>
            <w:r w:rsidRPr="003618E2">
              <w:rPr>
                <w:lang w:val="es-ES"/>
              </w:rPr>
              <w:t>Salvador</w:t>
            </w:r>
          </w:p>
        </w:tc>
        <w:tc>
          <w:tcPr>
            <w:tcW w:w="1559" w:type="dxa"/>
            <w:vAlign w:val="center"/>
            <w:hideMark/>
          </w:tcPr>
          <w:p w14:paraId="71E5A57C" w14:textId="77777777" w:rsidR="006D362C" w:rsidRPr="003618E2" w:rsidRDefault="006D362C" w:rsidP="00D136BB">
            <w:pPr>
              <w:pStyle w:val="BodyText"/>
              <w:rPr>
                <w:i/>
                <w:iCs/>
                <w:lang w:val="es-ES"/>
              </w:rPr>
            </w:pPr>
            <w:r w:rsidRPr="003618E2">
              <w:rPr>
                <w:lang w:val="es-ES"/>
              </w:rPr>
              <w:t>21,2</w:t>
            </w:r>
          </w:p>
        </w:tc>
        <w:tc>
          <w:tcPr>
            <w:tcW w:w="1560" w:type="dxa"/>
            <w:shd w:val="clear" w:color="auto" w:fill="FF81AB"/>
            <w:vAlign w:val="center"/>
            <w:hideMark/>
          </w:tcPr>
          <w:p w14:paraId="120A7159" w14:textId="77777777" w:rsidR="006D362C" w:rsidRPr="003618E2" w:rsidRDefault="006D362C" w:rsidP="00D136BB">
            <w:pPr>
              <w:pStyle w:val="BodyText"/>
              <w:rPr>
                <w:lang w:val="es-ES"/>
              </w:rPr>
            </w:pPr>
            <w:r w:rsidRPr="003618E2">
              <w:rPr>
                <w:lang w:val="es-ES"/>
              </w:rPr>
              <w:t>Paraguay</w:t>
            </w:r>
          </w:p>
        </w:tc>
        <w:tc>
          <w:tcPr>
            <w:tcW w:w="992" w:type="dxa"/>
            <w:vAlign w:val="center"/>
            <w:hideMark/>
          </w:tcPr>
          <w:p w14:paraId="35AB1B01" w14:textId="77777777" w:rsidR="006D362C" w:rsidRPr="003618E2" w:rsidRDefault="006D362C" w:rsidP="00D136BB">
            <w:pPr>
              <w:pStyle w:val="BodyText"/>
              <w:rPr>
                <w:i/>
                <w:iCs/>
                <w:lang w:val="es-ES"/>
              </w:rPr>
            </w:pPr>
            <w:r w:rsidRPr="003618E2">
              <w:rPr>
                <w:lang w:val="es-ES"/>
              </w:rPr>
              <w:t>17,8</w:t>
            </w:r>
          </w:p>
        </w:tc>
      </w:tr>
      <w:tr w:rsidR="006D362C" w:rsidRPr="003618E2" w14:paraId="55CD9022" w14:textId="77777777" w:rsidTr="00D136BB">
        <w:trPr>
          <w:jc w:val="center"/>
        </w:trPr>
        <w:tc>
          <w:tcPr>
            <w:tcW w:w="1459" w:type="dxa"/>
            <w:shd w:val="clear" w:color="auto" w:fill="FF81AB"/>
            <w:vAlign w:val="center"/>
            <w:hideMark/>
          </w:tcPr>
          <w:p w14:paraId="77D87246" w14:textId="77777777" w:rsidR="006D362C" w:rsidRPr="003618E2" w:rsidRDefault="006D362C" w:rsidP="00D136BB">
            <w:pPr>
              <w:pStyle w:val="BodyText"/>
              <w:rPr>
                <w:lang w:val="es-ES"/>
              </w:rPr>
            </w:pPr>
            <w:r w:rsidRPr="003618E2">
              <w:rPr>
                <w:lang w:val="es-ES"/>
              </w:rPr>
              <w:t>Brasil</w:t>
            </w:r>
          </w:p>
        </w:tc>
        <w:tc>
          <w:tcPr>
            <w:tcW w:w="1276" w:type="dxa"/>
            <w:vAlign w:val="center"/>
            <w:hideMark/>
          </w:tcPr>
          <w:p w14:paraId="45A4F100" w14:textId="77777777" w:rsidR="006D362C" w:rsidRPr="003618E2" w:rsidRDefault="006D362C" w:rsidP="00D136BB">
            <w:pPr>
              <w:pStyle w:val="BodyText"/>
              <w:rPr>
                <w:lang w:val="es-ES"/>
              </w:rPr>
            </w:pPr>
            <w:r w:rsidRPr="003618E2">
              <w:rPr>
                <w:lang w:val="es-ES"/>
              </w:rPr>
              <w:t>21,9</w:t>
            </w:r>
          </w:p>
        </w:tc>
        <w:tc>
          <w:tcPr>
            <w:tcW w:w="1559" w:type="dxa"/>
            <w:shd w:val="clear" w:color="auto" w:fill="FF81AB"/>
            <w:vAlign w:val="center"/>
            <w:hideMark/>
          </w:tcPr>
          <w:p w14:paraId="63BE61BE" w14:textId="77777777" w:rsidR="006D362C" w:rsidRPr="003618E2" w:rsidRDefault="006D362C" w:rsidP="00D136BB">
            <w:pPr>
              <w:pStyle w:val="BodyText"/>
              <w:rPr>
                <w:lang w:val="es-ES"/>
              </w:rPr>
            </w:pPr>
            <w:r w:rsidRPr="003618E2">
              <w:rPr>
                <w:lang w:val="es-ES"/>
              </w:rPr>
              <w:t>Guatemala</w:t>
            </w:r>
          </w:p>
        </w:tc>
        <w:tc>
          <w:tcPr>
            <w:tcW w:w="1559" w:type="dxa"/>
            <w:vAlign w:val="center"/>
            <w:hideMark/>
          </w:tcPr>
          <w:p w14:paraId="19B8A093" w14:textId="77777777" w:rsidR="006D362C" w:rsidRPr="003618E2" w:rsidRDefault="006D362C" w:rsidP="00D136BB">
            <w:pPr>
              <w:pStyle w:val="BodyText"/>
              <w:rPr>
                <w:lang w:val="es-ES"/>
              </w:rPr>
            </w:pPr>
            <w:r w:rsidRPr="003618E2">
              <w:rPr>
                <w:lang w:val="es-ES"/>
              </w:rPr>
              <w:t>23,8</w:t>
            </w:r>
          </w:p>
        </w:tc>
        <w:tc>
          <w:tcPr>
            <w:tcW w:w="1560" w:type="dxa"/>
            <w:shd w:val="clear" w:color="auto" w:fill="FF81AB"/>
            <w:vAlign w:val="center"/>
            <w:hideMark/>
          </w:tcPr>
          <w:p w14:paraId="5AF4E61E" w14:textId="77777777" w:rsidR="006D362C" w:rsidRPr="003618E2" w:rsidRDefault="006D362C" w:rsidP="00D136BB">
            <w:pPr>
              <w:pStyle w:val="BodyText"/>
              <w:rPr>
                <w:lang w:val="es-ES"/>
              </w:rPr>
            </w:pPr>
            <w:r w:rsidRPr="003618E2">
              <w:rPr>
                <w:lang w:val="es-ES"/>
              </w:rPr>
              <w:t>Perú</w:t>
            </w:r>
          </w:p>
        </w:tc>
        <w:tc>
          <w:tcPr>
            <w:tcW w:w="992" w:type="dxa"/>
            <w:vAlign w:val="center"/>
            <w:hideMark/>
          </w:tcPr>
          <w:p w14:paraId="002CE804" w14:textId="77777777" w:rsidR="006D362C" w:rsidRPr="003618E2" w:rsidRDefault="006D362C" w:rsidP="00D136BB">
            <w:pPr>
              <w:pStyle w:val="BodyText"/>
              <w:rPr>
                <w:lang w:val="es-ES"/>
              </w:rPr>
            </w:pPr>
            <w:r w:rsidRPr="003618E2">
              <w:rPr>
                <w:lang w:val="es-ES"/>
              </w:rPr>
              <w:t>17,0</w:t>
            </w:r>
          </w:p>
        </w:tc>
      </w:tr>
      <w:tr w:rsidR="006D362C" w:rsidRPr="003618E2" w14:paraId="7289C9E2" w14:textId="77777777" w:rsidTr="00D136BB">
        <w:trPr>
          <w:jc w:val="center"/>
        </w:trPr>
        <w:tc>
          <w:tcPr>
            <w:tcW w:w="1459" w:type="dxa"/>
            <w:shd w:val="clear" w:color="auto" w:fill="FF81AB"/>
            <w:vAlign w:val="center"/>
            <w:hideMark/>
          </w:tcPr>
          <w:p w14:paraId="4A1F4869" w14:textId="77777777" w:rsidR="006D362C" w:rsidRPr="003618E2" w:rsidRDefault="006D362C" w:rsidP="00D136BB">
            <w:pPr>
              <w:pStyle w:val="BodyText"/>
              <w:rPr>
                <w:lang w:val="es-ES"/>
              </w:rPr>
            </w:pPr>
            <w:r w:rsidRPr="003618E2">
              <w:rPr>
                <w:lang w:val="es-ES"/>
              </w:rPr>
              <w:t>Chile</w:t>
            </w:r>
          </w:p>
        </w:tc>
        <w:tc>
          <w:tcPr>
            <w:tcW w:w="1276" w:type="dxa"/>
            <w:vAlign w:val="center"/>
            <w:hideMark/>
          </w:tcPr>
          <w:p w14:paraId="2D29C720" w14:textId="77777777" w:rsidR="006D362C" w:rsidRPr="003618E2" w:rsidRDefault="006D362C" w:rsidP="00D136BB">
            <w:pPr>
              <w:pStyle w:val="BodyText"/>
              <w:rPr>
                <w:lang w:val="es-ES"/>
              </w:rPr>
            </w:pPr>
            <w:r w:rsidRPr="003618E2">
              <w:rPr>
                <w:lang w:val="es-ES"/>
              </w:rPr>
              <w:t>23,1</w:t>
            </w:r>
          </w:p>
        </w:tc>
        <w:tc>
          <w:tcPr>
            <w:tcW w:w="1559" w:type="dxa"/>
            <w:shd w:val="clear" w:color="auto" w:fill="FF81AB"/>
            <w:vAlign w:val="center"/>
            <w:hideMark/>
          </w:tcPr>
          <w:p w14:paraId="36C8EE71" w14:textId="77777777" w:rsidR="006D362C" w:rsidRPr="003618E2" w:rsidRDefault="006D362C" w:rsidP="00D136BB">
            <w:pPr>
              <w:pStyle w:val="BodyText"/>
              <w:rPr>
                <w:lang w:val="es-ES"/>
              </w:rPr>
            </w:pPr>
            <w:r w:rsidRPr="003618E2">
              <w:rPr>
                <w:lang w:val="es-ES"/>
              </w:rPr>
              <w:t>Honduras</w:t>
            </w:r>
          </w:p>
        </w:tc>
        <w:tc>
          <w:tcPr>
            <w:tcW w:w="1559" w:type="dxa"/>
            <w:vAlign w:val="center"/>
            <w:hideMark/>
          </w:tcPr>
          <w:p w14:paraId="55703A65" w14:textId="77777777" w:rsidR="006D362C" w:rsidRPr="003618E2" w:rsidRDefault="006D362C" w:rsidP="00D136BB">
            <w:pPr>
              <w:pStyle w:val="BodyText"/>
              <w:rPr>
                <w:i/>
                <w:iCs/>
                <w:lang w:val="es-ES"/>
              </w:rPr>
            </w:pPr>
            <w:r w:rsidRPr="003618E2">
              <w:rPr>
                <w:lang w:val="es-ES"/>
              </w:rPr>
              <w:t>19,0</w:t>
            </w:r>
          </w:p>
        </w:tc>
        <w:tc>
          <w:tcPr>
            <w:tcW w:w="1560" w:type="dxa"/>
            <w:shd w:val="clear" w:color="auto" w:fill="FF81AB"/>
            <w:vAlign w:val="center"/>
            <w:hideMark/>
          </w:tcPr>
          <w:p w14:paraId="4D7D0A42" w14:textId="77777777" w:rsidR="006D362C" w:rsidRPr="003618E2" w:rsidRDefault="006D362C" w:rsidP="00D136BB">
            <w:pPr>
              <w:pStyle w:val="BodyText"/>
              <w:rPr>
                <w:lang w:val="es-ES"/>
              </w:rPr>
            </w:pPr>
            <w:r w:rsidRPr="003618E2">
              <w:rPr>
                <w:lang w:val="es-ES"/>
              </w:rPr>
              <w:t>Uruguay</w:t>
            </w:r>
          </w:p>
        </w:tc>
        <w:tc>
          <w:tcPr>
            <w:tcW w:w="992" w:type="dxa"/>
            <w:vAlign w:val="center"/>
            <w:hideMark/>
          </w:tcPr>
          <w:p w14:paraId="50FF7073" w14:textId="77777777" w:rsidR="006D362C" w:rsidRPr="003618E2" w:rsidRDefault="006D362C" w:rsidP="00D136BB">
            <w:pPr>
              <w:pStyle w:val="BodyText"/>
              <w:rPr>
                <w:i/>
                <w:iCs/>
                <w:lang w:val="es-ES"/>
              </w:rPr>
            </w:pPr>
            <w:r w:rsidRPr="003618E2">
              <w:rPr>
                <w:lang w:val="es-ES"/>
              </w:rPr>
              <w:t>21,5</w:t>
            </w:r>
          </w:p>
        </w:tc>
      </w:tr>
      <w:tr w:rsidR="006D362C" w:rsidRPr="003618E2" w14:paraId="5F1CE8E3" w14:textId="77777777" w:rsidTr="00D136BB">
        <w:trPr>
          <w:jc w:val="center"/>
        </w:trPr>
        <w:tc>
          <w:tcPr>
            <w:tcW w:w="1459" w:type="dxa"/>
            <w:shd w:val="clear" w:color="auto" w:fill="FF81AB"/>
            <w:vAlign w:val="center"/>
            <w:hideMark/>
          </w:tcPr>
          <w:p w14:paraId="2B12E8B3" w14:textId="77777777" w:rsidR="006D362C" w:rsidRPr="003618E2" w:rsidRDefault="006D362C" w:rsidP="00D136BB">
            <w:pPr>
              <w:pStyle w:val="BodyText"/>
              <w:rPr>
                <w:lang w:val="es-ES"/>
              </w:rPr>
            </w:pPr>
            <w:r w:rsidRPr="003618E2">
              <w:rPr>
                <w:lang w:val="es-ES"/>
              </w:rPr>
              <w:t>Colombia</w:t>
            </w:r>
          </w:p>
        </w:tc>
        <w:tc>
          <w:tcPr>
            <w:tcW w:w="1276" w:type="dxa"/>
            <w:vAlign w:val="center"/>
            <w:hideMark/>
          </w:tcPr>
          <w:p w14:paraId="0F75EFC6" w14:textId="77777777" w:rsidR="006D362C" w:rsidRPr="003618E2" w:rsidRDefault="006D362C" w:rsidP="00D136BB">
            <w:pPr>
              <w:pStyle w:val="BodyText"/>
              <w:rPr>
                <w:lang w:val="es-ES"/>
              </w:rPr>
            </w:pPr>
            <w:r w:rsidRPr="003618E2">
              <w:rPr>
                <w:lang w:val="es-ES"/>
              </w:rPr>
              <w:t>20,6</w:t>
            </w:r>
          </w:p>
        </w:tc>
        <w:tc>
          <w:tcPr>
            <w:tcW w:w="1559" w:type="dxa"/>
            <w:shd w:val="clear" w:color="auto" w:fill="FF81AB"/>
            <w:vAlign w:val="center"/>
            <w:hideMark/>
          </w:tcPr>
          <w:p w14:paraId="3A7C431D" w14:textId="77777777" w:rsidR="006D362C" w:rsidRPr="003618E2" w:rsidRDefault="006D362C" w:rsidP="00D136BB">
            <w:pPr>
              <w:pStyle w:val="BodyText"/>
              <w:rPr>
                <w:lang w:val="es-ES"/>
              </w:rPr>
            </w:pPr>
            <w:r w:rsidRPr="003618E2">
              <w:rPr>
                <w:lang w:val="es-ES"/>
              </w:rPr>
              <w:t>México</w:t>
            </w:r>
          </w:p>
        </w:tc>
        <w:tc>
          <w:tcPr>
            <w:tcW w:w="1559" w:type="dxa"/>
            <w:vAlign w:val="center"/>
            <w:hideMark/>
          </w:tcPr>
          <w:p w14:paraId="4C27949D" w14:textId="77777777" w:rsidR="006D362C" w:rsidRPr="003618E2" w:rsidRDefault="006D362C" w:rsidP="00D136BB">
            <w:pPr>
              <w:pStyle w:val="BodyText"/>
              <w:rPr>
                <w:i/>
                <w:iCs/>
                <w:lang w:val="es-ES"/>
              </w:rPr>
            </w:pPr>
            <w:r w:rsidRPr="003618E2">
              <w:rPr>
                <w:lang w:val="es-ES"/>
              </w:rPr>
              <w:t>25,2</w:t>
            </w:r>
          </w:p>
        </w:tc>
        <w:tc>
          <w:tcPr>
            <w:tcW w:w="1560" w:type="dxa"/>
            <w:shd w:val="clear" w:color="auto" w:fill="FF81AB"/>
            <w:vAlign w:val="center"/>
            <w:hideMark/>
          </w:tcPr>
          <w:p w14:paraId="257D2626" w14:textId="77777777" w:rsidR="006D362C" w:rsidRPr="003618E2" w:rsidRDefault="006D362C" w:rsidP="00D136BB">
            <w:pPr>
              <w:pStyle w:val="BodyText"/>
              <w:rPr>
                <w:lang w:val="es-ES"/>
              </w:rPr>
            </w:pPr>
            <w:r w:rsidRPr="003618E2">
              <w:rPr>
                <w:lang w:val="es-ES"/>
              </w:rPr>
              <w:t>Venezuela</w:t>
            </w:r>
          </w:p>
        </w:tc>
        <w:tc>
          <w:tcPr>
            <w:tcW w:w="992" w:type="dxa"/>
            <w:vAlign w:val="center"/>
            <w:hideMark/>
          </w:tcPr>
          <w:p w14:paraId="4D2D54D9" w14:textId="77777777" w:rsidR="006D362C" w:rsidRPr="003618E2" w:rsidRDefault="006D362C" w:rsidP="00D136BB">
            <w:pPr>
              <w:pStyle w:val="BodyText"/>
              <w:rPr>
                <w:lang w:val="es-ES"/>
              </w:rPr>
            </w:pPr>
            <w:r w:rsidRPr="003618E2">
              <w:rPr>
                <w:lang w:val="es-ES"/>
              </w:rPr>
              <w:t>21,9</w:t>
            </w:r>
          </w:p>
        </w:tc>
      </w:tr>
      <w:tr w:rsidR="006D362C" w:rsidRPr="003618E2" w14:paraId="4956EA22" w14:textId="77777777" w:rsidTr="00D136BB">
        <w:trPr>
          <w:jc w:val="center"/>
        </w:trPr>
        <w:tc>
          <w:tcPr>
            <w:tcW w:w="1459" w:type="dxa"/>
            <w:shd w:val="clear" w:color="auto" w:fill="FF81AB"/>
            <w:vAlign w:val="center"/>
            <w:hideMark/>
          </w:tcPr>
          <w:p w14:paraId="731F476B" w14:textId="248513CE" w:rsidR="006D362C" w:rsidRPr="003618E2" w:rsidRDefault="006D362C" w:rsidP="00D136BB">
            <w:pPr>
              <w:pStyle w:val="BodyText"/>
              <w:rPr>
                <w:lang w:val="es-ES"/>
              </w:rPr>
            </w:pPr>
            <w:r w:rsidRPr="003618E2">
              <w:rPr>
                <w:lang w:val="es-ES"/>
              </w:rPr>
              <w:t>Costa</w:t>
            </w:r>
            <w:r w:rsidR="00D136BB">
              <w:rPr>
                <w:lang w:val="es-ES"/>
              </w:rPr>
              <w:t xml:space="preserve"> </w:t>
            </w:r>
            <w:r w:rsidRPr="003618E2">
              <w:rPr>
                <w:lang w:val="es-ES"/>
              </w:rPr>
              <w:t>Rica</w:t>
            </w:r>
          </w:p>
        </w:tc>
        <w:tc>
          <w:tcPr>
            <w:tcW w:w="1276" w:type="dxa"/>
            <w:vAlign w:val="center"/>
            <w:hideMark/>
          </w:tcPr>
          <w:p w14:paraId="1203D6D9" w14:textId="77777777" w:rsidR="006D362C" w:rsidRPr="003618E2" w:rsidRDefault="006D362C" w:rsidP="00D136BB">
            <w:pPr>
              <w:pStyle w:val="BodyText"/>
              <w:rPr>
                <w:lang w:val="es-ES"/>
              </w:rPr>
            </w:pPr>
            <w:r w:rsidRPr="003618E2">
              <w:rPr>
                <w:lang w:val="es-ES"/>
              </w:rPr>
              <w:t>19,8</w:t>
            </w:r>
          </w:p>
        </w:tc>
        <w:tc>
          <w:tcPr>
            <w:tcW w:w="1559" w:type="dxa"/>
            <w:shd w:val="clear" w:color="auto" w:fill="FF81AB"/>
            <w:vAlign w:val="center"/>
            <w:hideMark/>
          </w:tcPr>
          <w:p w14:paraId="385609CA" w14:textId="77777777" w:rsidR="006D362C" w:rsidRPr="003618E2" w:rsidRDefault="006D362C" w:rsidP="00D136BB">
            <w:pPr>
              <w:pStyle w:val="BodyText"/>
              <w:rPr>
                <w:lang w:val="es-ES"/>
              </w:rPr>
            </w:pPr>
            <w:r w:rsidRPr="003618E2">
              <w:rPr>
                <w:lang w:val="es-ES"/>
              </w:rPr>
              <w:t>Nicaragua</w:t>
            </w:r>
          </w:p>
        </w:tc>
        <w:tc>
          <w:tcPr>
            <w:tcW w:w="1559" w:type="dxa"/>
            <w:vAlign w:val="center"/>
            <w:hideMark/>
          </w:tcPr>
          <w:p w14:paraId="57C264BF" w14:textId="77777777" w:rsidR="006D362C" w:rsidRPr="003618E2" w:rsidRDefault="006D362C" w:rsidP="00D136BB">
            <w:pPr>
              <w:pStyle w:val="BodyText"/>
              <w:rPr>
                <w:i/>
                <w:iCs/>
                <w:lang w:val="es-ES"/>
              </w:rPr>
            </w:pPr>
            <w:r w:rsidRPr="003618E2">
              <w:rPr>
                <w:lang w:val="es-ES"/>
              </w:rPr>
              <w:t>16,5</w:t>
            </w:r>
          </w:p>
        </w:tc>
        <w:tc>
          <w:tcPr>
            <w:tcW w:w="1560" w:type="dxa"/>
            <w:shd w:val="clear" w:color="auto" w:fill="FF81AB"/>
            <w:vAlign w:val="center"/>
          </w:tcPr>
          <w:p w14:paraId="579FCF79" w14:textId="77777777" w:rsidR="006D362C" w:rsidRPr="003618E2" w:rsidRDefault="006D362C" w:rsidP="00D136BB">
            <w:pPr>
              <w:pStyle w:val="BodyText"/>
              <w:rPr>
                <w:lang w:val="es-ES"/>
              </w:rPr>
            </w:pPr>
          </w:p>
        </w:tc>
        <w:tc>
          <w:tcPr>
            <w:tcW w:w="992" w:type="dxa"/>
            <w:vAlign w:val="center"/>
          </w:tcPr>
          <w:p w14:paraId="28E737DD" w14:textId="77777777" w:rsidR="006D362C" w:rsidRPr="003618E2" w:rsidRDefault="006D362C" w:rsidP="00D136BB">
            <w:pPr>
              <w:pStyle w:val="BodyText"/>
              <w:rPr>
                <w:lang w:val="es-ES"/>
              </w:rPr>
            </w:pPr>
          </w:p>
        </w:tc>
      </w:tr>
    </w:tbl>
    <w:p w14:paraId="2660F3D1" w14:textId="77777777" w:rsidR="006D362C" w:rsidRPr="003618E2" w:rsidRDefault="006D362C" w:rsidP="006D362C">
      <w:pPr>
        <w:pStyle w:val="BodyText"/>
        <w:rPr>
          <w:lang w:val="es-ES"/>
        </w:rPr>
      </w:pPr>
    </w:p>
    <w:p w14:paraId="70766E1E" w14:textId="64956125" w:rsidR="006D362C" w:rsidRPr="003618E2" w:rsidRDefault="006D362C" w:rsidP="006D362C">
      <w:pPr>
        <w:pStyle w:val="BodyText"/>
        <w:rPr>
          <w:lang w:val="es-ES"/>
        </w:rPr>
      </w:pP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está</w:t>
      </w:r>
      <w:r w:rsidR="00D136BB">
        <w:rPr>
          <w:lang w:val="es-ES"/>
        </w:rPr>
        <w:t xml:space="preserve"> </w:t>
      </w:r>
      <w:r w:rsidRPr="003618E2">
        <w:rPr>
          <w:lang w:val="es-ES"/>
        </w:rPr>
        <w:t>compuesta</w:t>
      </w:r>
      <w:r w:rsidR="00D136BB">
        <w:rPr>
          <w:lang w:val="es-ES"/>
        </w:rPr>
        <w:t xml:space="preserve"> </w:t>
      </w:r>
      <w:r w:rsidRPr="003618E2">
        <w:rPr>
          <w:lang w:val="es-ES"/>
        </w:rPr>
        <w:t>por</w:t>
      </w:r>
      <w:r w:rsidR="00D136BB">
        <w:rPr>
          <w:lang w:val="es-ES"/>
        </w:rPr>
        <w:t xml:space="preserve"> </w:t>
      </w:r>
      <w:r w:rsidRPr="003618E2">
        <w:rPr>
          <w:lang w:val="es-ES"/>
        </w:rPr>
        <w:t>países</w:t>
      </w:r>
      <w:r w:rsidR="00D136BB">
        <w:rPr>
          <w:lang w:val="es-ES"/>
        </w:rPr>
        <w:t xml:space="preserve"> </w:t>
      </w:r>
      <w:r w:rsidRPr="003618E2">
        <w:rPr>
          <w:lang w:val="es-ES"/>
        </w:rPr>
        <w:t>con</w:t>
      </w:r>
      <w:r w:rsidR="00D136BB">
        <w:rPr>
          <w:lang w:val="es-ES"/>
        </w:rPr>
        <w:t xml:space="preserve"> </w:t>
      </w:r>
      <w:r w:rsidRPr="003618E2">
        <w:rPr>
          <w:lang w:val="es-ES"/>
        </w:rPr>
        <w:t>diferentes</w:t>
      </w:r>
      <w:r w:rsidR="00D136BB">
        <w:rPr>
          <w:lang w:val="es-ES"/>
        </w:rPr>
        <w:t xml:space="preserve"> </w:t>
      </w:r>
      <w:r w:rsidRPr="003618E2">
        <w:rPr>
          <w:lang w:val="es-ES"/>
        </w:rPr>
        <w:t>grados</w:t>
      </w:r>
      <w:r w:rsidR="00D136BB">
        <w:rPr>
          <w:lang w:val="es-ES"/>
        </w:rPr>
        <w:t xml:space="preserve"> </w:t>
      </w:r>
      <w:r w:rsidRPr="003618E2">
        <w:rPr>
          <w:lang w:val="es-ES"/>
        </w:rPr>
        <w:t>de</w:t>
      </w:r>
      <w:r w:rsidR="00D136BB">
        <w:rPr>
          <w:lang w:val="es-ES"/>
        </w:rPr>
        <w:t xml:space="preserve"> </w:t>
      </w:r>
      <w:r w:rsidRPr="003618E2">
        <w:rPr>
          <w:lang w:val="es-ES"/>
        </w:rPr>
        <w:t>desarrollo,</w:t>
      </w:r>
      <w:r w:rsidR="00D136BB">
        <w:rPr>
          <w:lang w:val="es-ES"/>
        </w:rPr>
        <w:t xml:space="preserve"> </w:t>
      </w:r>
      <w:r w:rsidRPr="003618E2">
        <w:rPr>
          <w:lang w:val="es-ES"/>
        </w:rPr>
        <w:t>sin</w:t>
      </w:r>
      <w:r w:rsidR="00D136BB">
        <w:rPr>
          <w:lang w:val="es-ES"/>
        </w:rPr>
        <w:t xml:space="preserve"> </w:t>
      </w:r>
      <w:r w:rsidRPr="003618E2">
        <w:rPr>
          <w:lang w:val="es-ES"/>
        </w:rPr>
        <w:t>embargo,</w:t>
      </w:r>
      <w:r w:rsidR="00D136BB">
        <w:rPr>
          <w:lang w:val="es-ES"/>
        </w:rPr>
        <w:t xml:space="preserve"> </w:t>
      </w:r>
      <w:r w:rsidRPr="003618E2">
        <w:rPr>
          <w:lang w:val="es-ES"/>
        </w:rPr>
        <w:t>se</w:t>
      </w:r>
      <w:r w:rsidR="00D136BB">
        <w:rPr>
          <w:lang w:val="es-ES"/>
        </w:rPr>
        <w:t xml:space="preserve"> </w:t>
      </w:r>
      <w:r w:rsidRPr="003618E2">
        <w:rPr>
          <w:lang w:val="es-ES"/>
        </w:rPr>
        <w:t>considera</w:t>
      </w:r>
      <w:r w:rsidR="00D136BB">
        <w:rPr>
          <w:lang w:val="es-ES"/>
        </w:rPr>
        <w:t xml:space="preserve"> </w:t>
      </w:r>
      <w:r w:rsidRPr="003618E2">
        <w:rPr>
          <w:lang w:val="es-ES"/>
        </w:rPr>
        <w:t>que</w:t>
      </w:r>
      <w:r w:rsidR="00D136BB">
        <w:rPr>
          <w:lang w:val="es-ES"/>
        </w:rPr>
        <w:t xml:space="preserve"> </w:t>
      </w:r>
      <w:r w:rsidRPr="003618E2">
        <w:rPr>
          <w:lang w:val="es-ES"/>
        </w:rPr>
        <w:t>todos</w:t>
      </w:r>
      <w:r w:rsidR="00D136BB">
        <w:rPr>
          <w:lang w:val="es-ES"/>
        </w:rPr>
        <w:t xml:space="preserve"> </w:t>
      </w:r>
      <w:r w:rsidRPr="003618E2">
        <w:rPr>
          <w:lang w:val="es-ES"/>
        </w:rPr>
        <w:t>los</w:t>
      </w:r>
      <w:r w:rsidR="00D136BB">
        <w:rPr>
          <w:lang w:val="es-ES"/>
        </w:rPr>
        <w:t xml:space="preserve"> </w:t>
      </w:r>
      <w:r w:rsidRPr="003618E2">
        <w:rPr>
          <w:lang w:val="es-ES"/>
        </w:rPr>
        <w:t>países</w:t>
      </w:r>
      <w:r w:rsidR="00D136BB">
        <w:rPr>
          <w:lang w:val="es-ES"/>
        </w:rPr>
        <w:t xml:space="preserve"> </w:t>
      </w:r>
      <w:r w:rsidRPr="003618E2">
        <w:rPr>
          <w:lang w:val="es-ES"/>
        </w:rPr>
        <w:t>requieren</w:t>
      </w:r>
      <w:r w:rsidR="00D136BB">
        <w:rPr>
          <w:lang w:val="es-ES"/>
        </w:rPr>
        <w:t xml:space="preserve"> </w:t>
      </w:r>
      <w:r w:rsidRPr="003618E2">
        <w:rPr>
          <w:lang w:val="es-ES"/>
        </w:rPr>
        <w:t>en</w:t>
      </w:r>
      <w:r w:rsidR="00D136BB">
        <w:rPr>
          <w:lang w:val="es-ES"/>
        </w:rPr>
        <w:t xml:space="preserve"> </w:t>
      </w:r>
      <w:r w:rsidRPr="003618E2">
        <w:rPr>
          <w:lang w:val="es-ES"/>
        </w:rPr>
        <w:t>algún</w:t>
      </w:r>
      <w:r w:rsidR="00D136BB">
        <w:rPr>
          <w:lang w:val="es-ES"/>
        </w:rPr>
        <w:t xml:space="preserve"> </w:t>
      </w:r>
      <w:r w:rsidRPr="003618E2">
        <w:rPr>
          <w:lang w:val="es-ES"/>
        </w:rPr>
        <w:t>grado</w:t>
      </w:r>
      <w:r w:rsidR="00D136BB">
        <w:rPr>
          <w:lang w:val="es-ES"/>
        </w:rPr>
        <w:t xml:space="preserve"> </w:t>
      </w:r>
      <w:r w:rsidRPr="003618E2">
        <w:rPr>
          <w:lang w:val="es-ES"/>
        </w:rPr>
        <w:t>la</w:t>
      </w:r>
      <w:r w:rsidR="00D136BB">
        <w:rPr>
          <w:lang w:val="es-ES"/>
        </w:rPr>
        <w:t xml:space="preserve"> </w:t>
      </w:r>
      <w:r w:rsidRPr="003618E2">
        <w:rPr>
          <w:lang w:val="es-ES"/>
        </w:rPr>
        <w:t>difusión</w:t>
      </w:r>
      <w:r w:rsidR="00D136BB">
        <w:rPr>
          <w:lang w:val="es-ES"/>
        </w:rPr>
        <w:t xml:space="preserve"> </w:t>
      </w:r>
      <w:r w:rsidRPr="003618E2">
        <w:rPr>
          <w:lang w:val="es-ES"/>
        </w:rPr>
        <w:t>del</w:t>
      </w:r>
      <w:r w:rsidR="00D136BB">
        <w:rPr>
          <w:lang w:val="es-ES"/>
        </w:rPr>
        <w:t xml:space="preserve"> </w:t>
      </w:r>
      <w:r w:rsidRPr="003618E2">
        <w:rPr>
          <w:lang w:val="es-ES"/>
        </w:rPr>
        <w:t>conocimiento</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desarrollo</w:t>
      </w:r>
      <w:r w:rsidR="00D136BB">
        <w:rPr>
          <w:lang w:val="es-ES"/>
        </w:rPr>
        <w:t xml:space="preserve"> </w:t>
      </w:r>
      <w:r w:rsidRPr="003618E2">
        <w:rPr>
          <w:lang w:val="es-ES"/>
        </w:rPr>
        <w:t>de</w:t>
      </w:r>
      <w:r w:rsidR="00D136BB">
        <w:rPr>
          <w:lang w:val="es-ES"/>
        </w:rPr>
        <w:t xml:space="preserve"> </w:t>
      </w:r>
      <w:r w:rsidRPr="003618E2">
        <w:rPr>
          <w:lang w:val="es-ES"/>
        </w:rPr>
        <w:t>estas</w:t>
      </w:r>
      <w:r w:rsidR="00D136BB">
        <w:rPr>
          <w:lang w:val="es-ES"/>
        </w:rPr>
        <w:t xml:space="preserve"> </w:t>
      </w:r>
      <w:r w:rsidRPr="003618E2">
        <w:rPr>
          <w:lang w:val="es-ES"/>
        </w:rPr>
        <w:t>aplicaciones</w:t>
      </w:r>
      <w:r w:rsidR="00D136BB">
        <w:rPr>
          <w:lang w:val="es-ES"/>
        </w:rPr>
        <w:t xml:space="preserve"> </w:t>
      </w:r>
      <w:r w:rsidRPr="003618E2">
        <w:rPr>
          <w:lang w:val="es-ES"/>
        </w:rPr>
        <w:t>para</w:t>
      </w:r>
      <w:r w:rsidR="00D136BB">
        <w:rPr>
          <w:lang w:val="es-ES"/>
        </w:rPr>
        <w:t xml:space="preserve"> </w:t>
      </w:r>
      <w:r w:rsidRPr="003618E2">
        <w:rPr>
          <w:lang w:val="es-ES"/>
        </w:rPr>
        <w:t>mejorar</w:t>
      </w:r>
      <w:r w:rsidR="00D136BB">
        <w:rPr>
          <w:lang w:val="es-ES"/>
        </w:rPr>
        <w:t xml:space="preserve"> </w:t>
      </w:r>
      <w:r w:rsidRPr="003618E2">
        <w:rPr>
          <w:lang w:val="es-ES"/>
        </w:rPr>
        <w:t>su</w:t>
      </w:r>
      <w:r w:rsidR="00D136BB">
        <w:rPr>
          <w:lang w:val="es-ES"/>
        </w:rPr>
        <w:t xml:space="preserve"> </w:t>
      </w:r>
      <w:r w:rsidRPr="003618E2">
        <w:rPr>
          <w:lang w:val="es-ES"/>
        </w:rPr>
        <w:t>competitividad.</w:t>
      </w:r>
    </w:p>
    <w:p w14:paraId="0A6B62E6" w14:textId="1F1960FD" w:rsidR="006D362C" w:rsidRPr="003618E2" w:rsidRDefault="006D362C" w:rsidP="006D362C">
      <w:pPr>
        <w:pStyle w:val="BodyText"/>
        <w:rPr>
          <w:lang w:val="es-ES"/>
        </w:rPr>
      </w:pPr>
      <w:r w:rsidRPr="003618E2">
        <w:rPr>
          <w:lang w:val="es-ES"/>
        </w:rPr>
        <w:lastRenderedPageBreak/>
        <w:t>Los</w:t>
      </w:r>
      <w:r w:rsidR="00D136BB">
        <w:rPr>
          <w:lang w:val="es-ES"/>
        </w:rPr>
        <w:t xml:space="preserve"> </w:t>
      </w:r>
      <w:r w:rsidRPr="003618E2">
        <w:rPr>
          <w:lang w:val="es-ES"/>
        </w:rPr>
        <w:t>siguientes</w:t>
      </w:r>
      <w:r w:rsidR="00D136BB">
        <w:rPr>
          <w:lang w:val="es-ES"/>
        </w:rPr>
        <w:t xml:space="preserve"> </w:t>
      </w:r>
      <w:r w:rsidRPr="003618E2">
        <w:rPr>
          <w:lang w:val="es-ES"/>
        </w:rPr>
        <w:t>cuadros</w:t>
      </w:r>
      <w:r w:rsidR="00D136BB">
        <w:rPr>
          <w:lang w:val="es-ES"/>
        </w:rPr>
        <w:t xml:space="preserve"> </w:t>
      </w:r>
      <w:r w:rsidRPr="003618E2">
        <w:rPr>
          <w:lang w:val="es-ES"/>
        </w:rPr>
        <w:t>presentan</w:t>
      </w:r>
      <w:r w:rsidR="00D136BB">
        <w:rPr>
          <w:lang w:val="es-ES"/>
        </w:rPr>
        <w:t xml:space="preserve"> </w:t>
      </w:r>
      <w:r w:rsidRPr="003618E2">
        <w:rPr>
          <w:lang w:val="es-ES"/>
        </w:rPr>
        <w:t>la</w:t>
      </w:r>
      <w:r w:rsidR="00D136BB">
        <w:rPr>
          <w:lang w:val="es-ES"/>
        </w:rPr>
        <w:t xml:space="preserve"> </w:t>
      </w:r>
      <w:r w:rsidRPr="003618E2">
        <w:rPr>
          <w:lang w:val="es-ES"/>
        </w:rPr>
        <w:t>situación</w:t>
      </w:r>
      <w:r w:rsidR="00D136BB">
        <w:rPr>
          <w:lang w:val="es-ES"/>
        </w:rPr>
        <w:t xml:space="preserve"> </w:t>
      </w:r>
      <w:r w:rsidRPr="003618E2">
        <w:rPr>
          <w:lang w:val="es-ES"/>
        </w:rPr>
        <w:t>en</w:t>
      </w:r>
      <w:r w:rsidR="00D136BB">
        <w:rPr>
          <w:lang w:val="es-ES"/>
        </w:rPr>
        <w:t xml:space="preserve"> </w:t>
      </w:r>
      <w:r w:rsidRPr="003618E2">
        <w:rPr>
          <w:lang w:val="es-ES"/>
        </w:rPr>
        <w:t>los</w:t>
      </w:r>
      <w:r w:rsidR="00D136BB">
        <w:rPr>
          <w:lang w:val="es-ES"/>
        </w:rPr>
        <w:t xml:space="preserve"> </w:t>
      </w:r>
      <w:r w:rsidRPr="003618E2">
        <w:rPr>
          <w:lang w:val="es-ES"/>
        </w:rPr>
        <w:t>países</w:t>
      </w:r>
      <w:r w:rsidR="00D136BB">
        <w:rPr>
          <w:lang w:val="es-ES"/>
        </w:rPr>
        <w:t xml:space="preserve"> </w:t>
      </w:r>
      <w:r w:rsidRPr="003618E2">
        <w:rPr>
          <w:lang w:val="es-ES"/>
        </w:rPr>
        <w:t>de</w:t>
      </w:r>
      <w:r w:rsidR="00D136BB">
        <w:rPr>
          <w:lang w:val="es-ES"/>
        </w:rPr>
        <w:t xml:space="preserve"> </w:t>
      </w:r>
      <w:r w:rsidRPr="003618E2">
        <w:rPr>
          <w:lang w:val="es-ES"/>
        </w:rPr>
        <w:t>América</w:t>
      </w:r>
      <w:r w:rsidR="00D136BB">
        <w:rPr>
          <w:lang w:val="es-ES"/>
        </w:rPr>
        <w:t xml:space="preserve"> </w:t>
      </w:r>
      <w:r w:rsidRPr="003618E2">
        <w:rPr>
          <w:lang w:val="es-ES"/>
        </w:rPr>
        <w:t>Latina</w:t>
      </w:r>
      <w:r w:rsidR="00D136BB">
        <w:rPr>
          <w:lang w:val="es-ES"/>
        </w:rPr>
        <w:t xml:space="preserve"> </w:t>
      </w:r>
      <w:r w:rsidRPr="003618E2">
        <w:rPr>
          <w:lang w:val="es-ES"/>
        </w:rPr>
        <w:t>en</w:t>
      </w:r>
      <w:r w:rsidR="00D136BB">
        <w:rPr>
          <w:lang w:val="es-ES"/>
        </w:rPr>
        <w:t xml:space="preserve"> </w:t>
      </w:r>
      <w:r w:rsidRPr="003618E2">
        <w:rPr>
          <w:lang w:val="es-ES"/>
        </w:rPr>
        <w:t>relación</w:t>
      </w:r>
      <w:r w:rsidR="00D136BB">
        <w:rPr>
          <w:lang w:val="es-ES"/>
        </w:rPr>
        <w:t xml:space="preserve"> </w:t>
      </w:r>
      <w:r w:rsidRPr="003618E2">
        <w:rPr>
          <w:lang w:val="es-ES"/>
        </w:rPr>
        <w:t>con</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La</w:t>
      </w:r>
      <w:r w:rsidR="00D136BB">
        <w:rPr>
          <w:lang w:val="es-ES"/>
        </w:rPr>
        <w:t xml:space="preserve"> </w:t>
      </w:r>
      <w:r w:rsidRPr="003618E2">
        <w:rPr>
          <w:lang w:val="es-ES"/>
        </w:rPr>
        <w:t>Tabla</w:t>
      </w:r>
      <w:r w:rsidR="00D136BB">
        <w:rPr>
          <w:lang w:val="es-ES"/>
        </w:rPr>
        <w:t xml:space="preserve"> </w:t>
      </w:r>
      <w:r w:rsidRPr="003618E2">
        <w:rPr>
          <w:lang w:val="es-ES"/>
        </w:rPr>
        <w:t>(b)</w:t>
      </w:r>
      <w:r w:rsidR="00D136BB">
        <w:rPr>
          <w:lang w:val="es-ES"/>
        </w:rPr>
        <w:t xml:space="preserve"> </w:t>
      </w:r>
      <w:r w:rsidRPr="003618E2">
        <w:rPr>
          <w:lang w:val="es-ES"/>
        </w:rPr>
        <w:t>muestra</w:t>
      </w:r>
      <w:r w:rsidR="00D136BB">
        <w:rPr>
          <w:lang w:val="es-ES"/>
        </w:rPr>
        <w:t xml:space="preserve"> </w:t>
      </w:r>
      <w:r w:rsidRPr="003618E2">
        <w:rPr>
          <w:lang w:val="es-ES"/>
        </w:rPr>
        <w:t>la</w:t>
      </w:r>
      <w:r w:rsidR="00D136BB">
        <w:rPr>
          <w:lang w:val="es-ES"/>
        </w:rPr>
        <w:t xml:space="preserve"> </w:t>
      </w:r>
      <w:r w:rsidRPr="003618E2">
        <w:rPr>
          <w:lang w:val="es-ES"/>
        </w:rPr>
        <w:t>situación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países</w:t>
      </w:r>
      <w:r w:rsidR="00D136BB">
        <w:rPr>
          <w:lang w:val="es-ES"/>
        </w:rPr>
        <w:t xml:space="preserve"> </w:t>
      </w:r>
      <w:r w:rsidRPr="003618E2">
        <w:rPr>
          <w:lang w:val="es-ES"/>
        </w:rPr>
        <w:t>en</w:t>
      </w:r>
      <w:r w:rsidR="00D136BB">
        <w:rPr>
          <w:lang w:val="es-ES"/>
        </w:rPr>
        <w:t xml:space="preserve"> </w:t>
      </w:r>
      <w:r w:rsidRPr="003618E2">
        <w:rPr>
          <w:lang w:val="es-ES"/>
        </w:rPr>
        <w:t>relación</w:t>
      </w:r>
      <w:r w:rsidR="00D136BB">
        <w:rPr>
          <w:lang w:val="es-ES"/>
        </w:rPr>
        <w:t xml:space="preserve"> </w:t>
      </w:r>
      <w:r w:rsidRPr="003618E2">
        <w:rPr>
          <w:lang w:val="es-ES"/>
        </w:rPr>
        <w:t>con</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radiotrazadores:</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diagnóstico</w:t>
      </w:r>
      <w:r w:rsidR="00D136BB">
        <w:rPr>
          <w:lang w:val="es-ES"/>
        </w:rPr>
        <w:t xml:space="preserve"> </w:t>
      </w:r>
      <w:r w:rsidRPr="003618E2">
        <w:rPr>
          <w:lang w:val="es-ES"/>
        </w:rPr>
        <w:t>de</w:t>
      </w:r>
      <w:r w:rsidR="00D136BB">
        <w:rPr>
          <w:lang w:val="es-ES"/>
        </w:rPr>
        <w:t xml:space="preserve"> </w:t>
      </w:r>
      <w:r w:rsidRPr="003618E2">
        <w:rPr>
          <w:lang w:val="es-ES"/>
        </w:rPr>
        <w:t>procesos</w:t>
      </w:r>
      <w:r w:rsidR="00D136BB">
        <w:rPr>
          <w:lang w:val="es-ES"/>
        </w:rPr>
        <w:t xml:space="preserve"> </w:t>
      </w:r>
      <w:r w:rsidRPr="003618E2">
        <w:rPr>
          <w:lang w:val="es-ES"/>
        </w:rPr>
        <w:t>y</w:t>
      </w:r>
      <w:r w:rsidR="00D136BB">
        <w:rPr>
          <w:lang w:val="es-ES"/>
        </w:rPr>
        <w:t xml:space="preserve"> </w:t>
      </w:r>
      <w:r w:rsidRPr="003618E2">
        <w:rPr>
          <w:lang w:val="es-ES"/>
        </w:rPr>
        <w:t>la</w:t>
      </w:r>
      <w:r w:rsidR="00D136BB">
        <w:rPr>
          <w:lang w:val="es-ES"/>
        </w:rPr>
        <w:t xml:space="preserve"> </w:t>
      </w:r>
      <w:r w:rsidRPr="003618E2">
        <w:rPr>
          <w:lang w:val="es-ES"/>
        </w:rPr>
        <w:t>producción</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industria;</w:t>
      </w:r>
      <w:r w:rsidR="00D136BB">
        <w:rPr>
          <w:lang w:val="es-ES"/>
        </w:rPr>
        <w:t xml:space="preserve"> </w:t>
      </w:r>
      <w:r w:rsidRPr="003618E2">
        <w:rPr>
          <w:lang w:val="es-ES"/>
        </w:rPr>
        <w:t>radiotrazadores</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ambiente,</w:t>
      </w:r>
      <w:r w:rsidR="00D136BB">
        <w:rPr>
          <w:lang w:val="es-ES"/>
        </w:rPr>
        <w:t xml:space="preserve"> </w:t>
      </w:r>
      <w:r w:rsidRPr="003618E2">
        <w:rPr>
          <w:lang w:val="es-ES"/>
        </w:rPr>
        <w:t>en</w:t>
      </w:r>
      <w:r w:rsidR="00D136BB">
        <w:rPr>
          <w:lang w:val="es-ES"/>
        </w:rPr>
        <w:t xml:space="preserve"> </w:t>
      </w:r>
      <w:r w:rsidRPr="003618E2">
        <w:rPr>
          <w:lang w:val="es-ES"/>
        </w:rPr>
        <w:t>campos</w:t>
      </w:r>
      <w:r w:rsidR="00D136BB">
        <w:rPr>
          <w:lang w:val="es-ES"/>
        </w:rPr>
        <w:t xml:space="preserve"> </w:t>
      </w:r>
      <w:r w:rsidRPr="003618E2">
        <w:rPr>
          <w:lang w:val="es-ES"/>
        </w:rPr>
        <w:t>de</w:t>
      </w:r>
      <w:r w:rsidR="00D136BB">
        <w:rPr>
          <w:lang w:val="es-ES"/>
        </w:rPr>
        <w:t xml:space="preserve"> </w:t>
      </w:r>
      <w:r w:rsidRPr="003618E2">
        <w:rPr>
          <w:lang w:val="es-ES"/>
        </w:rPr>
        <w:t>petróleo,</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transporte</w:t>
      </w:r>
      <w:r w:rsidR="00D136BB">
        <w:rPr>
          <w:lang w:val="es-ES"/>
        </w:rPr>
        <w:t xml:space="preserve"> </w:t>
      </w:r>
      <w:r w:rsidRPr="003618E2">
        <w:rPr>
          <w:lang w:val="es-ES"/>
        </w:rPr>
        <w:t>de</w:t>
      </w:r>
      <w:r w:rsidR="00D136BB">
        <w:rPr>
          <w:lang w:val="es-ES"/>
        </w:rPr>
        <w:t xml:space="preserve"> </w:t>
      </w:r>
      <w:r w:rsidRPr="003618E2">
        <w:rPr>
          <w:lang w:val="es-ES"/>
        </w:rPr>
        <w:t>sedimentos;</w:t>
      </w:r>
      <w:r w:rsidR="00D136BB">
        <w:rPr>
          <w:lang w:val="es-ES"/>
        </w:rPr>
        <w:t xml:space="preserve"> </w:t>
      </w:r>
      <w:r w:rsidRPr="003618E2">
        <w:rPr>
          <w:lang w:val="es-ES"/>
        </w:rPr>
        <w:t>sistemas</w:t>
      </w:r>
      <w:r w:rsidR="00D136BB">
        <w:rPr>
          <w:lang w:val="es-ES"/>
        </w:rPr>
        <w:t xml:space="preserve"> </w:t>
      </w:r>
      <w:r w:rsidRPr="003618E2">
        <w:rPr>
          <w:lang w:val="es-ES"/>
        </w:rPr>
        <w:t>de</w:t>
      </w:r>
      <w:r w:rsidR="00D136BB">
        <w:rPr>
          <w:lang w:val="es-ES"/>
        </w:rPr>
        <w:t xml:space="preserve"> </w:t>
      </w:r>
      <w:r w:rsidRPr="003618E2">
        <w:rPr>
          <w:lang w:val="es-ES"/>
        </w:rPr>
        <w:t>control</w:t>
      </w:r>
      <w:r w:rsidR="00D136BB">
        <w:rPr>
          <w:lang w:val="es-ES"/>
        </w:rPr>
        <w:t xml:space="preserve"> </w:t>
      </w:r>
      <w:r w:rsidRPr="003618E2">
        <w:rPr>
          <w:lang w:val="es-ES"/>
        </w:rPr>
        <w:t>nucleónico,</w:t>
      </w:r>
      <w:r w:rsidR="00D136BB">
        <w:rPr>
          <w:lang w:val="es-ES"/>
        </w:rPr>
        <w:t xml:space="preserve"> </w:t>
      </w:r>
      <w:r w:rsidRPr="003618E2">
        <w:rPr>
          <w:lang w:val="es-ES"/>
        </w:rPr>
        <w:t>en</w:t>
      </w:r>
      <w:r w:rsidR="00D136BB">
        <w:rPr>
          <w:lang w:val="es-ES"/>
        </w:rPr>
        <w:t xml:space="preserve"> </w:t>
      </w: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industrial</w:t>
      </w:r>
      <w:r w:rsidR="00D136BB">
        <w:rPr>
          <w:lang w:val="es-ES"/>
        </w:rPr>
        <w:t xml:space="preserve"> </w:t>
      </w:r>
      <w:r w:rsidRPr="003618E2">
        <w:rPr>
          <w:lang w:val="es-ES"/>
        </w:rPr>
        <w:t>y</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exploración</w:t>
      </w:r>
      <w:r w:rsidR="00D136BB">
        <w:rPr>
          <w:lang w:val="es-ES"/>
        </w:rPr>
        <w:t xml:space="preserve"> </w:t>
      </w:r>
      <w:r w:rsidRPr="003618E2">
        <w:rPr>
          <w:lang w:val="es-ES"/>
        </w:rPr>
        <w:t>de</w:t>
      </w:r>
      <w:r w:rsidR="00D136BB">
        <w:rPr>
          <w:lang w:val="es-ES"/>
        </w:rPr>
        <w:t xml:space="preserve"> </w:t>
      </w:r>
      <w:r w:rsidRPr="003618E2">
        <w:rPr>
          <w:lang w:val="es-ES"/>
        </w:rPr>
        <w:t>recursos</w:t>
      </w:r>
      <w:r w:rsidR="00D136BB">
        <w:rPr>
          <w:lang w:val="es-ES"/>
        </w:rPr>
        <w:t xml:space="preserve"> </w:t>
      </w:r>
      <w:r w:rsidRPr="003618E2">
        <w:rPr>
          <w:lang w:val="es-ES"/>
        </w:rPr>
        <w:t>minerales</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medio</w:t>
      </w:r>
      <w:r w:rsidR="00D136BB">
        <w:rPr>
          <w:lang w:val="es-ES"/>
        </w:rPr>
        <w:t xml:space="preserve"> </w:t>
      </w:r>
      <w:r w:rsidRPr="003618E2">
        <w:rPr>
          <w:lang w:val="es-ES"/>
        </w:rPr>
        <w:t>ambiente.</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Tabla</w:t>
      </w:r>
      <w:r w:rsidR="00D136BB">
        <w:rPr>
          <w:lang w:val="es-ES"/>
        </w:rPr>
        <w:t xml:space="preserve"> </w:t>
      </w:r>
      <w:r w:rsidRPr="003618E2">
        <w:rPr>
          <w:lang w:val="es-ES"/>
        </w:rPr>
        <w:t>(c)</w:t>
      </w:r>
      <w:r w:rsidR="00D136BB">
        <w:rPr>
          <w:lang w:val="es-ES"/>
        </w:rPr>
        <w:t xml:space="preserve"> </w:t>
      </w:r>
      <w:r w:rsidRPr="003618E2">
        <w:rPr>
          <w:lang w:val="es-ES"/>
        </w:rPr>
        <w:t>se</w:t>
      </w:r>
      <w:r w:rsidR="00D136BB">
        <w:rPr>
          <w:lang w:val="es-ES"/>
        </w:rPr>
        <w:t xml:space="preserve"> </w:t>
      </w:r>
      <w:r w:rsidRPr="003618E2">
        <w:rPr>
          <w:lang w:val="es-ES"/>
        </w:rPr>
        <w:t>presenta</w:t>
      </w:r>
      <w:r w:rsidR="00D136BB">
        <w:rPr>
          <w:lang w:val="es-ES"/>
        </w:rPr>
        <w:t xml:space="preserve"> </w:t>
      </w:r>
      <w:r w:rsidRPr="003618E2">
        <w:rPr>
          <w:lang w:val="es-ES"/>
        </w:rPr>
        <w:t>el</w:t>
      </w:r>
      <w:r w:rsidR="00D136BB">
        <w:rPr>
          <w:lang w:val="es-ES"/>
        </w:rPr>
        <w:t xml:space="preserve"> </w:t>
      </w:r>
      <w:r w:rsidRPr="003618E2">
        <w:rPr>
          <w:lang w:val="es-ES"/>
        </w:rPr>
        <w:t>estado</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de</w:t>
      </w:r>
      <w:r w:rsidR="00D136BB">
        <w:rPr>
          <w:lang w:val="es-ES"/>
        </w:rPr>
        <w:t xml:space="preserve"> </w:t>
      </w:r>
      <w:r w:rsidRPr="003618E2">
        <w:rPr>
          <w:lang w:val="es-ES"/>
        </w:rPr>
        <w:t>ensayos</w:t>
      </w:r>
      <w:r w:rsidR="00D136BB">
        <w:rPr>
          <w:lang w:val="es-ES"/>
        </w:rPr>
        <w:t xml:space="preserve"> </w:t>
      </w:r>
      <w:r w:rsidRPr="003618E2">
        <w:rPr>
          <w:lang w:val="es-ES"/>
        </w:rPr>
        <w:t>no</w:t>
      </w:r>
      <w:r w:rsidR="00D136BB">
        <w:rPr>
          <w:lang w:val="es-ES"/>
        </w:rPr>
        <w:t xml:space="preserve"> </w:t>
      </w:r>
      <w:r w:rsidRPr="003618E2">
        <w:rPr>
          <w:lang w:val="es-ES"/>
        </w:rPr>
        <w:t>destructivos</w:t>
      </w:r>
      <w:r w:rsidR="00D136BB">
        <w:rPr>
          <w:lang w:val="es-ES"/>
        </w:rPr>
        <w:t xml:space="preserve"> </w:t>
      </w:r>
      <w:r w:rsidRPr="003618E2">
        <w:rPr>
          <w:lang w:val="es-ES"/>
        </w:rPr>
        <w:t>por</w:t>
      </w:r>
      <w:r w:rsidR="00D136BB">
        <w:rPr>
          <w:lang w:val="es-ES"/>
        </w:rPr>
        <w:t xml:space="preserve"> </w:t>
      </w:r>
      <w:r w:rsidRPr="003618E2">
        <w:rPr>
          <w:lang w:val="es-ES"/>
        </w:rPr>
        <w:t>país,</w:t>
      </w:r>
      <w:r w:rsidR="00D136BB">
        <w:rPr>
          <w:lang w:val="es-ES"/>
        </w:rPr>
        <w:t xml:space="preserve"> </w:t>
      </w:r>
      <w:r w:rsidRPr="003618E2">
        <w:rPr>
          <w:lang w:val="es-ES"/>
        </w:rPr>
        <w:t>la</w:t>
      </w:r>
      <w:r w:rsidR="00D136BB">
        <w:rPr>
          <w:lang w:val="es-ES"/>
        </w:rPr>
        <w:t xml:space="preserve"> </w:t>
      </w:r>
      <w:r w:rsidRPr="003618E2">
        <w:rPr>
          <w:lang w:val="es-ES"/>
        </w:rPr>
        <w:t>Tabla</w:t>
      </w:r>
      <w:r w:rsidR="00D136BB">
        <w:rPr>
          <w:lang w:val="es-ES"/>
        </w:rPr>
        <w:t xml:space="preserve"> </w:t>
      </w:r>
      <w:r w:rsidRPr="003618E2">
        <w:rPr>
          <w:lang w:val="es-ES"/>
        </w:rPr>
        <w:t>(d)</w:t>
      </w:r>
      <w:r w:rsidR="00D136BB">
        <w:rPr>
          <w:lang w:val="es-ES"/>
        </w:rPr>
        <w:t xml:space="preserve"> </w:t>
      </w:r>
      <w:r w:rsidRPr="003618E2">
        <w:rPr>
          <w:lang w:val="es-ES"/>
        </w:rPr>
        <w:t>presenta</w:t>
      </w:r>
      <w:r w:rsidR="00D136BB">
        <w:rPr>
          <w:lang w:val="es-ES"/>
        </w:rPr>
        <w:t xml:space="preserve"> </w:t>
      </w:r>
      <w:r w:rsidRPr="003618E2">
        <w:rPr>
          <w:lang w:val="es-ES"/>
        </w:rPr>
        <w:t>la</w:t>
      </w:r>
      <w:r w:rsidR="00D136BB">
        <w:rPr>
          <w:lang w:val="es-ES"/>
        </w:rPr>
        <w:t xml:space="preserve"> </w:t>
      </w:r>
      <w:r w:rsidRPr="003618E2">
        <w:rPr>
          <w:lang w:val="es-ES"/>
        </w:rPr>
        <w:t>lista</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irradiadores</w:t>
      </w:r>
      <w:r w:rsidR="00D136BB">
        <w:rPr>
          <w:lang w:val="es-ES"/>
        </w:rPr>
        <w:t xml:space="preserve"> </w:t>
      </w:r>
      <w:r w:rsidRPr="003618E2">
        <w:rPr>
          <w:lang w:val="es-ES"/>
        </w:rPr>
        <w:t>gamma</w:t>
      </w:r>
      <w:r w:rsidR="00D136BB">
        <w:rPr>
          <w:lang w:val="es-ES"/>
        </w:rPr>
        <w:t xml:space="preserve"> </w:t>
      </w:r>
      <w:r w:rsidRPr="003618E2">
        <w:rPr>
          <w:lang w:val="es-ES"/>
        </w:rPr>
        <w:t>y</w:t>
      </w:r>
      <w:r w:rsidR="00D136BB">
        <w:rPr>
          <w:lang w:val="es-ES"/>
        </w:rPr>
        <w:t xml:space="preserve"> </w:t>
      </w:r>
      <w:r w:rsidRPr="003618E2">
        <w:rPr>
          <w:lang w:val="es-ES"/>
        </w:rPr>
        <w:t>aceleradores</w:t>
      </w:r>
      <w:r w:rsidR="00D136BB">
        <w:rPr>
          <w:lang w:val="es-ES"/>
        </w:rPr>
        <w:t xml:space="preserve"> </w:t>
      </w:r>
      <w:r w:rsidRPr="003618E2">
        <w:rPr>
          <w:lang w:val="es-ES"/>
        </w:rPr>
        <w:t>de</w:t>
      </w:r>
      <w:r w:rsidR="00D136BB">
        <w:rPr>
          <w:lang w:val="es-ES"/>
        </w:rPr>
        <w:t xml:space="preserve"> </w:t>
      </w:r>
      <w:r w:rsidRPr="003618E2">
        <w:rPr>
          <w:lang w:val="es-ES"/>
        </w:rPr>
        <w:t>haces</w:t>
      </w:r>
      <w:r w:rsidR="00D136BB">
        <w:rPr>
          <w:lang w:val="es-ES"/>
        </w:rPr>
        <w:t xml:space="preserve"> </w:t>
      </w:r>
      <w:r w:rsidRPr="003618E2">
        <w:rPr>
          <w:lang w:val="es-ES"/>
        </w:rPr>
        <w:t>de</w:t>
      </w:r>
      <w:r w:rsidR="00D136BB">
        <w:rPr>
          <w:lang w:val="es-ES"/>
        </w:rPr>
        <w:t xml:space="preserve"> </w:t>
      </w:r>
      <w:r w:rsidRPr="003618E2">
        <w:rPr>
          <w:lang w:val="es-ES"/>
        </w:rPr>
        <w:t>electrones</w:t>
      </w:r>
      <w:r w:rsidR="00D136BB">
        <w:rPr>
          <w:lang w:val="es-ES"/>
        </w:rPr>
        <w:t xml:space="preserve"> </w:t>
      </w:r>
      <w:r w:rsidRPr="003618E2">
        <w:rPr>
          <w:lang w:val="es-ES"/>
        </w:rPr>
        <w:t>en</w:t>
      </w:r>
      <w:r w:rsidR="00D136BB">
        <w:rPr>
          <w:lang w:val="es-ES"/>
        </w:rPr>
        <w:t xml:space="preserve"> </w:t>
      </w:r>
      <w:r w:rsidRPr="003618E2">
        <w:rPr>
          <w:lang w:val="es-ES"/>
        </w:rPr>
        <w:t>América</w:t>
      </w:r>
      <w:r w:rsidR="00D136BB">
        <w:rPr>
          <w:lang w:val="es-ES"/>
        </w:rPr>
        <w:t xml:space="preserve"> </w:t>
      </w:r>
      <w:r w:rsidRPr="003618E2">
        <w:rPr>
          <w:lang w:val="es-ES"/>
        </w:rPr>
        <w:t>Latina,</w:t>
      </w:r>
      <w:r w:rsidR="00D136BB">
        <w:rPr>
          <w:lang w:val="es-ES"/>
        </w:rPr>
        <w:t xml:space="preserve"> </w:t>
      </w:r>
      <w:r w:rsidRPr="003618E2">
        <w:rPr>
          <w:lang w:val="es-ES"/>
        </w:rPr>
        <w:t>incluyendo</w:t>
      </w:r>
      <w:r w:rsidR="00D136BB">
        <w:rPr>
          <w:lang w:val="es-ES"/>
        </w:rPr>
        <w:t xml:space="preserve"> </w:t>
      </w:r>
      <w:r w:rsidRPr="003618E2">
        <w:rPr>
          <w:lang w:val="es-ES"/>
        </w:rPr>
        <w:t>el</w:t>
      </w:r>
      <w:r w:rsidR="00D136BB">
        <w:rPr>
          <w:lang w:val="es-ES"/>
        </w:rPr>
        <w:t xml:space="preserve"> </w:t>
      </w:r>
      <w:r w:rsidRPr="003618E2">
        <w:rPr>
          <w:lang w:val="es-ES"/>
        </w:rPr>
        <w:t>tipo</w:t>
      </w:r>
      <w:r w:rsidR="00D136BB">
        <w:rPr>
          <w:lang w:val="es-ES"/>
        </w:rPr>
        <w:t xml:space="preserve"> </w:t>
      </w:r>
      <w:r w:rsidRPr="003618E2">
        <w:rPr>
          <w:lang w:val="es-ES"/>
        </w:rPr>
        <w:t>de</w:t>
      </w:r>
      <w:r w:rsidR="00D136BB">
        <w:rPr>
          <w:lang w:val="es-ES"/>
        </w:rPr>
        <w:t xml:space="preserve"> </w:t>
      </w:r>
      <w:r w:rsidRPr="003618E2">
        <w:rPr>
          <w:lang w:val="es-ES"/>
        </w:rPr>
        <w:t>sistema</w:t>
      </w:r>
      <w:r w:rsidR="00D136BB">
        <w:rPr>
          <w:lang w:val="es-ES"/>
        </w:rPr>
        <w:t xml:space="preserve"> </w:t>
      </w:r>
      <w:r w:rsidRPr="003618E2">
        <w:rPr>
          <w:lang w:val="es-ES"/>
        </w:rPr>
        <w:t>dosimétrico</w:t>
      </w:r>
      <w:r w:rsidR="00D136BB">
        <w:rPr>
          <w:lang w:val="es-ES"/>
        </w:rPr>
        <w:t xml:space="preserve"> </w:t>
      </w:r>
      <w:r w:rsidRPr="003618E2">
        <w:rPr>
          <w:lang w:val="es-ES"/>
        </w:rPr>
        <w:t>que</w:t>
      </w:r>
      <w:r w:rsidR="00D136BB">
        <w:rPr>
          <w:lang w:val="es-ES"/>
        </w:rPr>
        <w:t xml:space="preserve"> </w:t>
      </w:r>
      <w:r w:rsidRPr="003618E2">
        <w:rPr>
          <w:lang w:val="es-ES"/>
        </w:rPr>
        <w:t>emplea</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estado</w:t>
      </w:r>
      <w:r w:rsidR="00D136BB">
        <w:rPr>
          <w:lang w:val="es-ES"/>
        </w:rPr>
        <w:t xml:space="preserve"> </w:t>
      </w:r>
      <w:r w:rsidRPr="003618E2">
        <w:rPr>
          <w:lang w:val="es-ES"/>
        </w:rPr>
        <w:t>de</w:t>
      </w:r>
      <w:r w:rsidR="00D136BB">
        <w:rPr>
          <w:lang w:val="es-ES"/>
        </w:rPr>
        <w:t xml:space="preserve"> </w:t>
      </w: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y</w:t>
      </w:r>
      <w:r w:rsidR="00D136BB">
        <w:rPr>
          <w:lang w:val="es-ES"/>
        </w:rPr>
        <w:t xml:space="preserve"> </w:t>
      </w:r>
      <w:r w:rsidRPr="003618E2">
        <w:rPr>
          <w:lang w:val="es-ES"/>
        </w:rPr>
        <w:t>garantía</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p>
    <w:p w14:paraId="54BDB78B" w14:textId="3A9E3C39" w:rsidR="006D362C" w:rsidRPr="003618E2" w:rsidRDefault="006D362C" w:rsidP="006D362C">
      <w:pPr>
        <w:pStyle w:val="BodyText"/>
        <w:jc w:val="center"/>
        <w:rPr>
          <w:b/>
          <w:bCs/>
          <w:lang w:val="es-ES"/>
        </w:rPr>
      </w:pPr>
      <w:r w:rsidRPr="003618E2">
        <w:rPr>
          <w:b/>
          <w:bCs/>
          <w:lang w:val="es-ES"/>
        </w:rPr>
        <w:t>Tabla</w:t>
      </w:r>
      <w:r w:rsidR="00D136BB">
        <w:rPr>
          <w:b/>
          <w:bCs/>
          <w:lang w:val="es-ES"/>
        </w:rPr>
        <w:t xml:space="preserve"> </w:t>
      </w:r>
      <w:r w:rsidRPr="003618E2">
        <w:rPr>
          <w:b/>
          <w:bCs/>
          <w:lang w:val="es-ES"/>
        </w:rPr>
        <w:t>(b).</w:t>
      </w:r>
      <w:r w:rsidR="00D136BB">
        <w:rPr>
          <w:b/>
          <w:bCs/>
          <w:lang w:val="es-ES"/>
        </w:rPr>
        <w:t xml:space="preserve"> </w:t>
      </w:r>
      <w:r w:rsidRPr="003618E2">
        <w:rPr>
          <w:b/>
          <w:bCs/>
          <w:lang w:val="es-ES"/>
        </w:rPr>
        <w:t>Uso</w:t>
      </w:r>
      <w:r w:rsidR="00D136BB">
        <w:rPr>
          <w:b/>
          <w:bCs/>
          <w:lang w:val="es-ES"/>
        </w:rPr>
        <w:t xml:space="preserve"> </w:t>
      </w:r>
      <w:r w:rsidRPr="003618E2">
        <w:rPr>
          <w:b/>
          <w:bCs/>
          <w:lang w:val="es-ES"/>
        </w:rPr>
        <w:t>de</w:t>
      </w:r>
      <w:r w:rsidR="00D136BB">
        <w:rPr>
          <w:b/>
          <w:bCs/>
          <w:lang w:val="es-ES"/>
        </w:rPr>
        <w:t xml:space="preserve"> </w:t>
      </w:r>
      <w:r w:rsidRPr="003618E2">
        <w:rPr>
          <w:b/>
          <w:bCs/>
          <w:lang w:val="es-ES"/>
        </w:rPr>
        <w:t>los</w:t>
      </w:r>
      <w:r w:rsidR="00D136BB">
        <w:rPr>
          <w:b/>
          <w:bCs/>
          <w:lang w:val="es-ES"/>
        </w:rPr>
        <w:t xml:space="preserve"> </w:t>
      </w:r>
      <w:r w:rsidRPr="003618E2">
        <w:rPr>
          <w:b/>
          <w:bCs/>
          <w:lang w:val="es-ES"/>
        </w:rPr>
        <w:t>radiotrazadores</w:t>
      </w:r>
      <w:r w:rsidR="00D136BB">
        <w:rPr>
          <w:b/>
          <w:bCs/>
          <w:lang w:val="es-ES"/>
        </w:rPr>
        <w:t xml:space="preserve"> </w:t>
      </w:r>
      <w:r w:rsidRPr="003618E2">
        <w:rPr>
          <w:b/>
          <w:bCs/>
          <w:lang w:val="es-ES"/>
        </w:rPr>
        <w:t>en</w:t>
      </w:r>
      <w:r w:rsidR="00D136BB">
        <w:rPr>
          <w:b/>
          <w:bCs/>
          <w:lang w:val="es-ES"/>
        </w:rPr>
        <w:t xml:space="preserve"> </w:t>
      </w:r>
      <w:r w:rsidRPr="003618E2">
        <w:rPr>
          <w:b/>
          <w:bCs/>
          <w:lang w:val="es-ES"/>
        </w:rPr>
        <w:t>los</w:t>
      </w:r>
      <w:r w:rsidR="00D136BB">
        <w:rPr>
          <w:b/>
          <w:bCs/>
          <w:lang w:val="es-ES"/>
        </w:rPr>
        <w:t xml:space="preserve"> </w:t>
      </w:r>
      <w:r w:rsidRPr="003618E2">
        <w:rPr>
          <w:b/>
          <w:bCs/>
          <w:lang w:val="es-ES"/>
        </w:rPr>
        <w:t>países</w:t>
      </w:r>
      <w:r w:rsidR="00D136BB">
        <w:rPr>
          <w:b/>
          <w:bCs/>
          <w:lang w:val="es-ES"/>
        </w:rPr>
        <w:t xml:space="preserve"> </w:t>
      </w:r>
      <w:r w:rsidRPr="003618E2">
        <w:rPr>
          <w:b/>
          <w:bCs/>
          <w:lang w:val="es-ES"/>
        </w:rPr>
        <w:t>de</w:t>
      </w:r>
      <w:r w:rsidR="00D136BB">
        <w:rPr>
          <w:b/>
          <w:bCs/>
          <w:lang w:val="es-ES"/>
        </w:rPr>
        <w:t xml:space="preserve"> </w:t>
      </w:r>
      <w:r w:rsidRPr="003618E2">
        <w:rPr>
          <w:b/>
          <w:bCs/>
          <w:lang w:val="es-ES"/>
        </w:rPr>
        <w:t>la</w:t>
      </w:r>
      <w:r w:rsidR="00D136BB">
        <w:rPr>
          <w:b/>
          <w:bCs/>
          <w:lang w:val="es-ES"/>
        </w:rPr>
        <w:t xml:space="preserve"> </w:t>
      </w:r>
      <w:r w:rsidRPr="003618E2">
        <w:rPr>
          <w:b/>
          <w:bCs/>
          <w:lang w:val="es-ES"/>
        </w:rPr>
        <w:t>región.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025"/>
        <w:gridCol w:w="1737"/>
        <w:gridCol w:w="1483"/>
        <w:gridCol w:w="1950"/>
      </w:tblGrid>
      <w:tr w:rsidR="006D362C" w:rsidRPr="003618E2" w14:paraId="5502AA39" w14:textId="77777777" w:rsidTr="00D136BB">
        <w:trPr>
          <w:trHeight w:val="1282"/>
          <w:jc w:val="center"/>
        </w:trPr>
        <w:tc>
          <w:tcPr>
            <w:tcW w:w="1526" w:type="dxa"/>
            <w:shd w:val="clear" w:color="auto" w:fill="FF81AB"/>
            <w:vAlign w:val="center"/>
            <w:hideMark/>
          </w:tcPr>
          <w:p w14:paraId="0D372CDC" w14:textId="77777777" w:rsidR="006D362C" w:rsidRPr="003618E2" w:rsidRDefault="006D362C" w:rsidP="00D136BB">
            <w:pPr>
              <w:pStyle w:val="BodyText"/>
              <w:rPr>
                <w:b/>
                <w:sz w:val="20"/>
                <w:lang w:val="es-ES"/>
              </w:rPr>
            </w:pPr>
            <w:r w:rsidRPr="003618E2">
              <w:rPr>
                <w:b/>
                <w:sz w:val="20"/>
                <w:lang w:val="es-ES"/>
              </w:rPr>
              <w:t>País</w:t>
            </w:r>
          </w:p>
        </w:tc>
        <w:tc>
          <w:tcPr>
            <w:tcW w:w="2025" w:type="dxa"/>
            <w:shd w:val="clear" w:color="auto" w:fill="FF81AB"/>
            <w:vAlign w:val="center"/>
            <w:hideMark/>
          </w:tcPr>
          <w:p w14:paraId="18C0B3D7" w14:textId="028DB2CF" w:rsidR="006D362C" w:rsidRPr="003618E2" w:rsidRDefault="006D362C" w:rsidP="00D136BB">
            <w:pPr>
              <w:pStyle w:val="BodyText"/>
              <w:rPr>
                <w:b/>
                <w:sz w:val="20"/>
                <w:lang w:val="es-ES"/>
              </w:rPr>
            </w:pPr>
            <w:r w:rsidRPr="003618E2">
              <w:rPr>
                <w:b/>
                <w:sz w:val="20"/>
                <w:lang w:val="es-ES"/>
              </w:rPr>
              <w:t>Trazadores</w:t>
            </w:r>
            <w:r w:rsidR="00D136BB">
              <w:rPr>
                <w:b/>
                <w:sz w:val="20"/>
                <w:lang w:val="es-ES"/>
              </w:rPr>
              <w:t xml:space="preserve"> </w:t>
            </w:r>
            <w:r w:rsidRPr="003618E2">
              <w:rPr>
                <w:b/>
                <w:sz w:val="20"/>
                <w:lang w:val="es-ES"/>
              </w:rPr>
              <w:t>en</w:t>
            </w:r>
            <w:r w:rsidR="00D136BB">
              <w:rPr>
                <w:b/>
                <w:sz w:val="20"/>
                <w:lang w:val="es-ES"/>
              </w:rPr>
              <w:t xml:space="preserve"> </w:t>
            </w:r>
            <w:r w:rsidRPr="003618E2">
              <w:rPr>
                <w:b/>
                <w:sz w:val="20"/>
                <w:lang w:val="es-ES"/>
              </w:rPr>
              <w:t>industrias</w:t>
            </w:r>
            <w:r w:rsidR="00D136BB">
              <w:rPr>
                <w:b/>
                <w:sz w:val="20"/>
                <w:lang w:val="es-ES"/>
              </w:rPr>
              <w:t xml:space="preserve"> </w:t>
            </w:r>
            <w:r w:rsidRPr="003618E2">
              <w:rPr>
                <w:b/>
                <w:sz w:val="20"/>
                <w:lang w:val="es-ES"/>
              </w:rPr>
              <w:t>de</w:t>
            </w:r>
            <w:r w:rsidR="00D136BB">
              <w:rPr>
                <w:b/>
                <w:sz w:val="20"/>
                <w:lang w:val="es-ES"/>
              </w:rPr>
              <w:t xml:space="preserve"> </w:t>
            </w:r>
            <w:r w:rsidRPr="003618E2">
              <w:rPr>
                <w:b/>
                <w:sz w:val="20"/>
                <w:lang w:val="es-ES"/>
              </w:rPr>
              <w:t>procesamiento</w:t>
            </w:r>
            <w:r w:rsidR="00D136BB">
              <w:rPr>
                <w:b/>
                <w:sz w:val="20"/>
                <w:lang w:val="es-ES"/>
              </w:rPr>
              <w:t xml:space="preserve"> </w:t>
            </w:r>
            <w:r w:rsidRPr="003618E2">
              <w:rPr>
                <w:b/>
                <w:sz w:val="20"/>
                <w:lang w:val="es-ES"/>
              </w:rPr>
              <w:t>y</w:t>
            </w:r>
            <w:r w:rsidR="00D136BB">
              <w:rPr>
                <w:b/>
                <w:sz w:val="20"/>
                <w:lang w:val="es-ES"/>
              </w:rPr>
              <w:t xml:space="preserve"> </w:t>
            </w:r>
            <w:r w:rsidRPr="003618E2">
              <w:rPr>
                <w:b/>
                <w:sz w:val="20"/>
                <w:lang w:val="es-ES"/>
              </w:rPr>
              <w:t>de</w:t>
            </w:r>
            <w:r w:rsidR="00D136BB">
              <w:rPr>
                <w:b/>
                <w:sz w:val="20"/>
                <w:lang w:val="es-ES"/>
              </w:rPr>
              <w:t xml:space="preserve"> </w:t>
            </w:r>
            <w:r w:rsidRPr="003618E2">
              <w:rPr>
                <w:b/>
                <w:sz w:val="20"/>
                <w:lang w:val="es-ES"/>
              </w:rPr>
              <w:t>producción</w:t>
            </w:r>
          </w:p>
        </w:tc>
        <w:tc>
          <w:tcPr>
            <w:tcW w:w="1737" w:type="dxa"/>
            <w:shd w:val="clear" w:color="auto" w:fill="FF81AB"/>
            <w:vAlign w:val="center"/>
            <w:hideMark/>
          </w:tcPr>
          <w:p w14:paraId="33BFF042" w14:textId="054D27BC" w:rsidR="006D362C" w:rsidRPr="003618E2" w:rsidRDefault="006D362C" w:rsidP="00D136BB">
            <w:pPr>
              <w:pStyle w:val="BodyText"/>
              <w:rPr>
                <w:b/>
                <w:sz w:val="20"/>
                <w:lang w:val="es-ES"/>
              </w:rPr>
            </w:pPr>
            <w:r w:rsidRPr="003618E2">
              <w:rPr>
                <w:b/>
                <w:sz w:val="20"/>
                <w:lang w:val="es-ES"/>
              </w:rPr>
              <w:t>Trazadores</w:t>
            </w:r>
            <w:r w:rsidR="00D136BB">
              <w:rPr>
                <w:b/>
                <w:sz w:val="20"/>
                <w:lang w:val="es-ES"/>
              </w:rPr>
              <w:t xml:space="preserve"> </w:t>
            </w:r>
            <w:r w:rsidRPr="003618E2">
              <w:rPr>
                <w:b/>
                <w:sz w:val="20"/>
                <w:lang w:val="es-ES"/>
              </w:rPr>
              <w:t>en</w:t>
            </w:r>
            <w:r w:rsidR="00D136BB">
              <w:rPr>
                <w:b/>
                <w:sz w:val="20"/>
                <w:lang w:val="es-ES"/>
              </w:rPr>
              <w:t xml:space="preserve"> </w:t>
            </w:r>
            <w:r w:rsidRPr="003618E2">
              <w:rPr>
                <w:b/>
                <w:sz w:val="20"/>
                <w:lang w:val="es-ES"/>
              </w:rPr>
              <w:t>ambiente,</w:t>
            </w:r>
            <w:r w:rsidR="00D136BB">
              <w:rPr>
                <w:b/>
                <w:sz w:val="20"/>
                <w:lang w:val="es-ES"/>
              </w:rPr>
              <w:t xml:space="preserve"> </w:t>
            </w:r>
            <w:r w:rsidRPr="003618E2">
              <w:rPr>
                <w:b/>
                <w:sz w:val="20"/>
                <w:lang w:val="es-ES"/>
              </w:rPr>
              <w:t>petróleo</w:t>
            </w:r>
            <w:r w:rsidR="00D136BB">
              <w:rPr>
                <w:b/>
                <w:sz w:val="20"/>
                <w:lang w:val="es-ES"/>
              </w:rPr>
              <w:t xml:space="preserve"> </w:t>
            </w:r>
            <w:r w:rsidRPr="003618E2">
              <w:rPr>
                <w:b/>
                <w:sz w:val="20"/>
                <w:lang w:val="es-ES"/>
              </w:rPr>
              <w:t>y</w:t>
            </w:r>
            <w:r w:rsidR="00D136BB">
              <w:rPr>
                <w:b/>
                <w:sz w:val="20"/>
                <w:lang w:val="es-ES"/>
              </w:rPr>
              <w:t xml:space="preserve"> </w:t>
            </w:r>
            <w:r w:rsidRPr="003618E2">
              <w:rPr>
                <w:b/>
                <w:sz w:val="20"/>
                <w:lang w:val="es-ES"/>
              </w:rPr>
              <w:t>transporte</w:t>
            </w:r>
            <w:r w:rsidR="00D136BB">
              <w:rPr>
                <w:b/>
                <w:sz w:val="20"/>
                <w:lang w:val="es-ES"/>
              </w:rPr>
              <w:t xml:space="preserve"> </w:t>
            </w:r>
            <w:r w:rsidRPr="003618E2">
              <w:rPr>
                <w:b/>
                <w:sz w:val="20"/>
                <w:lang w:val="es-ES"/>
              </w:rPr>
              <w:t>de</w:t>
            </w:r>
            <w:r w:rsidR="00D136BB">
              <w:rPr>
                <w:b/>
                <w:sz w:val="20"/>
                <w:lang w:val="es-ES"/>
              </w:rPr>
              <w:t xml:space="preserve"> </w:t>
            </w:r>
            <w:r w:rsidRPr="003618E2">
              <w:rPr>
                <w:b/>
                <w:sz w:val="20"/>
                <w:lang w:val="es-ES"/>
              </w:rPr>
              <w:t>sedimentos</w:t>
            </w:r>
          </w:p>
        </w:tc>
        <w:tc>
          <w:tcPr>
            <w:tcW w:w="1483" w:type="dxa"/>
            <w:shd w:val="clear" w:color="auto" w:fill="FF81AB"/>
            <w:vAlign w:val="center"/>
            <w:hideMark/>
          </w:tcPr>
          <w:p w14:paraId="6570F3CF" w14:textId="12D38C12" w:rsidR="006D362C" w:rsidRPr="003618E2" w:rsidRDefault="006D362C" w:rsidP="00D136BB">
            <w:pPr>
              <w:pStyle w:val="BodyText"/>
              <w:rPr>
                <w:b/>
                <w:sz w:val="20"/>
                <w:lang w:val="es-ES"/>
              </w:rPr>
            </w:pPr>
            <w:r w:rsidRPr="003618E2">
              <w:rPr>
                <w:b/>
                <w:sz w:val="20"/>
                <w:lang w:val="es-ES"/>
              </w:rPr>
              <w:t>SCN</w:t>
            </w:r>
            <w:r w:rsidR="00D136BB">
              <w:rPr>
                <w:b/>
                <w:sz w:val="20"/>
                <w:lang w:val="es-ES"/>
              </w:rPr>
              <w:t xml:space="preserve"> </w:t>
            </w:r>
            <w:r w:rsidRPr="003618E2">
              <w:rPr>
                <w:b/>
                <w:sz w:val="20"/>
                <w:lang w:val="es-ES"/>
              </w:rPr>
              <w:t>en</w:t>
            </w:r>
            <w:r w:rsidR="00D136BB">
              <w:rPr>
                <w:b/>
                <w:sz w:val="20"/>
                <w:lang w:val="es-ES"/>
              </w:rPr>
              <w:t xml:space="preserve"> </w:t>
            </w:r>
            <w:r w:rsidRPr="003618E2">
              <w:rPr>
                <w:b/>
                <w:sz w:val="20"/>
                <w:lang w:val="es-ES"/>
              </w:rPr>
              <w:t>control</w:t>
            </w:r>
            <w:r w:rsidR="00D136BB">
              <w:rPr>
                <w:b/>
                <w:sz w:val="20"/>
                <w:lang w:val="es-ES"/>
              </w:rPr>
              <w:t xml:space="preserve"> </w:t>
            </w:r>
            <w:r w:rsidRPr="003618E2">
              <w:rPr>
                <w:b/>
                <w:sz w:val="20"/>
                <w:lang w:val="es-ES"/>
              </w:rPr>
              <w:t>de</w:t>
            </w:r>
            <w:r w:rsidR="00D136BB">
              <w:rPr>
                <w:b/>
                <w:sz w:val="20"/>
                <w:lang w:val="es-ES"/>
              </w:rPr>
              <w:t xml:space="preserve"> </w:t>
            </w:r>
            <w:r w:rsidRPr="003618E2">
              <w:rPr>
                <w:b/>
                <w:sz w:val="20"/>
                <w:lang w:val="es-ES"/>
              </w:rPr>
              <w:t>calidad</w:t>
            </w:r>
            <w:r w:rsidR="00D136BB">
              <w:rPr>
                <w:b/>
                <w:sz w:val="20"/>
                <w:lang w:val="es-ES"/>
              </w:rPr>
              <w:t xml:space="preserve"> </w:t>
            </w:r>
            <w:r w:rsidRPr="003618E2">
              <w:rPr>
                <w:b/>
                <w:sz w:val="20"/>
                <w:lang w:val="es-ES"/>
              </w:rPr>
              <w:t>industrial</w:t>
            </w:r>
          </w:p>
        </w:tc>
        <w:tc>
          <w:tcPr>
            <w:tcW w:w="1950" w:type="dxa"/>
            <w:shd w:val="clear" w:color="auto" w:fill="FF81AB"/>
            <w:vAlign w:val="center"/>
            <w:hideMark/>
          </w:tcPr>
          <w:p w14:paraId="39463241" w14:textId="533793D8" w:rsidR="006D362C" w:rsidRPr="003618E2" w:rsidRDefault="006D362C" w:rsidP="00D136BB">
            <w:pPr>
              <w:pStyle w:val="BodyText"/>
              <w:rPr>
                <w:b/>
                <w:sz w:val="20"/>
                <w:lang w:val="es-ES"/>
              </w:rPr>
            </w:pPr>
            <w:r w:rsidRPr="003618E2">
              <w:rPr>
                <w:b/>
                <w:sz w:val="20"/>
                <w:lang w:val="es-ES"/>
              </w:rPr>
              <w:t>SCN</w:t>
            </w:r>
            <w:r w:rsidR="00D136BB">
              <w:rPr>
                <w:b/>
                <w:sz w:val="20"/>
                <w:lang w:val="es-ES"/>
              </w:rPr>
              <w:t xml:space="preserve"> </w:t>
            </w:r>
            <w:r w:rsidRPr="003618E2">
              <w:rPr>
                <w:b/>
                <w:sz w:val="20"/>
                <w:lang w:val="es-ES"/>
              </w:rPr>
              <w:t>en</w:t>
            </w:r>
            <w:r w:rsidR="00D136BB">
              <w:rPr>
                <w:b/>
                <w:sz w:val="20"/>
                <w:lang w:val="es-ES"/>
              </w:rPr>
              <w:t xml:space="preserve"> </w:t>
            </w:r>
            <w:r w:rsidRPr="003618E2">
              <w:rPr>
                <w:b/>
                <w:sz w:val="20"/>
                <w:lang w:val="es-ES"/>
              </w:rPr>
              <w:t>exploración</w:t>
            </w:r>
            <w:r w:rsidR="00D136BB">
              <w:rPr>
                <w:b/>
                <w:sz w:val="20"/>
                <w:lang w:val="es-ES"/>
              </w:rPr>
              <w:t xml:space="preserve"> </w:t>
            </w:r>
            <w:r w:rsidRPr="003618E2">
              <w:rPr>
                <w:b/>
                <w:sz w:val="20"/>
                <w:lang w:val="es-ES"/>
              </w:rPr>
              <w:t>de</w:t>
            </w:r>
            <w:r w:rsidR="00D136BB">
              <w:rPr>
                <w:b/>
                <w:sz w:val="20"/>
                <w:lang w:val="es-ES"/>
              </w:rPr>
              <w:t xml:space="preserve"> </w:t>
            </w:r>
            <w:r w:rsidRPr="003618E2">
              <w:rPr>
                <w:b/>
                <w:sz w:val="20"/>
                <w:lang w:val="es-ES"/>
              </w:rPr>
              <w:t>recursos</w:t>
            </w:r>
            <w:r w:rsidR="00D136BB">
              <w:rPr>
                <w:b/>
                <w:sz w:val="20"/>
                <w:lang w:val="es-ES"/>
              </w:rPr>
              <w:t xml:space="preserve">  </w:t>
            </w:r>
            <w:r w:rsidRPr="003618E2">
              <w:rPr>
                <w:b/>
                <w:sz w:val="20"/>
                <w:lang w:val="es-ES"/>
              </w:rPr>
              <w:t>mineros</w:t>
            </w:r>
            <w:r w:rsidR="00D136BB">
              <w:rPr>
                <w:b/>
                <w:sz w:val="20"/>
                <w:lang w:val="es-ES"/>
              </w:rPr>
              <w:t xml:space="preserve"> </w:t>
            </w:r>
            <w:r w:rsidRPr="003618E2">
              <w:rPr>
                <w:b/>
                <w:sz w:val="20"/>
                <w:lang w:val="es-ES"/>
              </w:rPr>
              <w:t>y</w:t>
            </w:r>
            <w:r w:rsidR="00D136BB">
              <w:rPr>
                <w:b/>
                <w:sz w:val="20"/>
                <w:lang w:val="es-ES"/>
              </w:rPr>
              <w:t xml:space="preserve"> </w:t>
            </w:r>
            <w:r w:rsidRPr="003618E2">
              <w:rPr>
                <w:b/>
                <w:sz w:val="20"/>
                <w:lang w:val="es-ES"/>
              </w:rPr>
              <w:t>del</w:t>
            </w:r>
            <w:r w:rsidR="00D136BB">
              <w:rPr>
                <w:b/>
                <w:sz w:val="20"/>
                <w:lang w:val="es-ES"/>
              </w:rPr>
              <w:t xml:space="preserve"> </w:t>
            </w:r>
            <w:r w:rsidRPr="003618E2">
              <w:rPr>
                <w:b/>
                <w:sz w:val="20"/>
                <w:lang w:val="es-ES"/>
              </w:rPr>
              <w:t>ambiente</w:t>
            </w:r>
          </w:p>
        </w:tc>
      </w:tr>
      <w:tr w:rsidR="006D362C" w:rsidRPr="003618E2" w14:paraId="1C697CB2" w14:textId="77777777" w:rsidTr="00D136BB">
        <w:trPr>
          <w:jc w:val="center"/>
        </w:trPr>
        <w:tc>
          <w:tcPr>
            <w:tcW w:w="1526" w:type="dxa"/>
            <w:shd w:val="clear" w:color="auto" w:fill="FF81AB"/>
            <w:vAlign w:val="center"/>
            <w:hideMark/>
          </w:tcPr>
          <w:p w14:paraId="624938E7" w14:textId="77777777" w:rsidR="006D362C" w:rsidRPr="003618E2" w:rsidRDefault="006D362C" w:rsidP="00D136BB">
            <w:pPr>
              <w:pStyle w:val="BodyText"/>
              <w:rPr>
                <w:sz w:val="20"/>
                <w:lang w:val="es-ES"/>
              </w:rPr>
            </w:pPr>
            <w:r w:rsidRPr="003618E2">
              <w:rPr>
                <w:sz w:val="20"/>
                <w:lang w:val="es-ES"/>
              </w:rPr>
              <w:t>Argentina</w:t>
            </w:r>
          </w:p>
        </w:tc>
        <w:tc>
          <w:tcPr>
            <w:tcW w:w="2025" w:type="dxa"/>
            <w:vAlign w:val="center"/>
            <w:hideMark/>
          </w:tcPr>
          <w:p w14:paraId="2E18DAD9" w14:textId="77777777" w:rsidR="006D362C" w:rsidRPr="003618E2" w:rsidRDefault="006D362C" w:rsidP="00D136BB">
            <w:pPr>
              <w:pStyle w:val="BodyText"/>
              <w:rPr>
                <w:sz w:val="20"/>
                <w:lang w:val="es-ES"/>
              </w:rPr>
            </w:pPr>
            <w:r w:rsidRPr="003618E2">
              <w:rPr>
                <w:sz w:val="20"/>
                <w:lang w:val="es-ES"/>
              </w:rPr>
              <w:t>X</w:t>
            </w:r>
          </w:p>
        </w:tc>
        <w:tc>
          <w:tcPr>
            <w:tcW w:w="1737" w:type="dxa"/>
            <w:vAlign w:val="center"/>
            <w:hideMark/>
          </w:tcPr>
          <w:p w14:paraId="0A908403" w14:textId="77777777" w:rsidR="006D362C" w:rsidRPr="003618E2" w:rsidRDefault="006D362C" w:rsidP="00D136BB">
            <w:pPr>
              <w:pStyle w:val="BodyText"/>
              <w:rPr>
                <w:sz w:val="20"/>
                <w:lang w:val="es-ES"/>
              </w:rPr>
            </w:pPr>
            <w:r w:rsidRPr="003618E2">
              <w:rPr>
                <w:sz w:val="20"/>
                <w:lang w:val="es-ES"/>
              </w:rPr>
              <w:t>X</w:t>
            </w:r>
          </w:p>
        </w:tc>
        <w:tc>
          <w:tcPr>
            <w:tcW w:w="1483" w:type="dxa"/>
            <w:vAlign w:val="center"/>
          </w:tcPr>
          <w:p w14:paraId="65251E03" w14:textId="77777777" w:rsidR="006D362C" w:rsidRPr="003618E2" w:rsidRDefault="006D362C" w:rsidP="00D136BB">
            <w:pPr>
              <w:pStyle w:val="BodyText"/>
              <w:rPr>
                <w:sz w:val="20"/>
                <w:lang w:val="es-ES"/>
              </w:rPr>
            </w:pPr>
          </w:p>
        </w:tc>
        <w:tc>
          <w:tcPr>
            <w:tcW w:w="1950" w:type="dxa"/>
            <w:vAlign w:val="center"/>
            <w:hideMark/>
          </w:tcPr>
          <w:p w14:paraId="5BFD3866" w14:textId="77777777" w:rsidR="006D362C" w:rsidRPr="003618E2" w:rsidRDefault="006D362C" w:rsidP="00D136BB">
            <w:pPr>
              <w:pStyle w:val="BodyText"/>
              <w:rPr>
                <w:sz w:val="20"/>
                <w:lang w:val="es-ES"/>
              </w:rPr>
            </w:pPr>
            <w:r w:rsidRPr="003618E2">
              <w:rPr>
                <w:sz w:val="20"/>
                <w:lang w:val="es-ES"/>
              </w:rPr>
              <w:t>X</w:t>
            </w:r>
          </w:p>
        </w:tc>
      </w:tr>
      <w:tr w:rsidR="006D362C" w:rsidRPr="003618E2" w14:paraId="04E51C52" w14:textId="77777777" w:rsidTr="00D136BB">
        <w:trPr>
          <w:jc w:val="center"/>
        </w:trPr>
        <w:tc>
          <w:tcPr>
            <w:tcW w:w="1526" w:type="dxa"/>
            <w:shd w:val="clear" w:color="auto" w:fill="FF81AB"/>
            <w:vAlign w:val="center"/>
            <w:hideMark/>
          </w:tcPr>
          <w:p w14:paraId="15E171C3" w14:textId="77777777" w:rsidR="006D362C" w:rsidRPr="003618E2" w:rsidRDefault="006D362C" w:rsidP="00D136BB">
            <w:pPr>
              <w:pStyle w:val="BodyText"/>
              <w:rPr>
                <w:sz w:val="20"/>
                <w:lang w:val="es-ES"/>
              </w:rPr>
            </w:pPr>
            <w:r w:rsidRPr="003618E2">
              <w:rPr>
                <w:sz w:val="20"/>
                <w:lang w:val="es-ES"/>
              </w:rPr>
              <w:t>Brasil</w:t>
            </w:r>
          </w:p>
        </w:tc>
        <w:tc>
          <w:tcPr>
            <w:tcW w:w="2025" w:type="dxa"/>
            <w:vAlign w:val="center"/>
            <w:hideMark/>
          </w:tcPr>
          <w:p w14:paraId="04D6090E" w14:textId="77777777" w:rsidR="006D362C" w:rsidRPr="003618E2" w:rsidRDefault="006D362C" w:rsidP="00D136BB">
            <w:pPr>
              <w:pStyle w:val="BodyText"/>
              <w:rPr>
                <w:sz w:val="20"/>
                <w:lang w:val="es-ES"/>
              </w:rPr>
            </w:pPr>
            <w:r w:rsidRPr="003618E2">
              <w:rPr>
                <w:sz w:val="20"/>
                <w:lang w:val="es-ES"/>
              </w:rPr>
              <w:t>X</w:t>
            </w:r>
          </w:p>
        </w:tc>
        <w:tc>
          <w:tcPr>
            <w:tcW w:w="1737" w:type="dxa"/>
            <w:vAlign w:val="center"/>
            <w:hideMark/>
          </w:tcPr>
          <w:p w14:paraId="22260EF1" w14:textId="77777777" w:rsidR="006D362C" w:rsidRPr="003618E2" w:rsidRDefault="006D362C" w:rsidP="00D136BB">
            <w:pPr>
              <w:pStyle w:val="BodyText"/>
              <w:rPr>
                <w:sz w:val="20"/>
                <w:lang w:val="es-ES"/>
              </w:rPr>
            </w:pPr>
            <w:r w:rsidRPr="003618E2">
              <w:rPr>
                <w:sz w:val="20"/>
                <w:lang w:val="es-ES"/>
              </w:rPr>
              <w:t>X</w:t>
            </w:r>
          </w:p>
        </w:tc>
        <w:tc>
          <w:tcPr>
            <w:tcW w:w="1483" w:type="dxa"/>
            <w:vAlign w:val="center"/>
            <w:hideMark/>
          </w:tcPr>
          <w:p w14:paraId="2917F783" w14:textId="77777777" w:rsidR="006D362C" w:rsidRPr="003618E2" w:rsidRDefault="006D362C" w:rsidP="00D136BB">
            <w:pPr>
              <w:pStyle w:val="BodyText"/>
              <w:rPr>
                <w:sz w:val="20"/>
                <w:lang w:val="es-ES"/>
              </w:rPr>
            </w:pPr>
            <w:r w:rsidRPr="003618E2">
              <w:rPr>
                <w:sz w:val="20"/>
                <w:lang w:val="es-ES"/>
              </w:rPr>
              <w:t>X</w:t>
            </w:r>
          </w:p>
        </w:tc>
        <w:tc>
          <w:tcPr>
            <w:tcW w:w="1950" w:type="dxa"/>
            <w:vAlign w:val="center"/>
            <w:hideMark/>
          </w:tcPr>
          <w:p w14:paraId="177F2CC4" w14:textId="77777777" w:rsidR="006D362C" w:rsidRPr="003618E2" w:rsidRDefault="006D362C" w:rsidP="00D136BB">
            <w:pPr>
              <w:pStyle w:val="BodyText"/>
              <w:rPr>
                <w:sz w:val="20"/>
                <w:lang w:val="es-ES"/>
              </w:rPr>
            </w:pPr>
            <w:r w:rsidRPr="003618E2">
              <w:rPr>
                <w:sz w:val="20"/>
                <w:lang w:val="es-ES"/>
              </w:rPr>
              <w:t>X</w:t>
            </w:r>
          </w:p>
        </w:tc>
      </w:tr>
      <w:tr w:rsidR="006D362C" w:rsidRPr="003618E2" w14:paraId="0B48534C" w14:textId="77777777" w:rsidTr="00D136BB">
        <w:trPr>
          <w:jc w:val="center"/>
        </w:trPr>
        <w:tc>
          <w:tcPr>
            <w:tcW w:w="1526" w:type="dxa"/>
            <w:shd w:val="clear" w:color="auto" w:fill="FF81AB"/>
            <w:vAlign w:val="center"/>
            <w:hideMark/>
          </w:tcPr>
          <w:p w14:paraId="647C2358" w14:textId="77777777" w:rsidR="006D362C" w:rsidRPr="003618E2" w:rsidRDefault="006D362C" w:rsidP="00D136BB">
            <w:pPr>
              <w:pStyle w:val="BodyText"/>
              <w:rPr>
                <w:sz w:val="20"/>
                <w:lang w:val="es-ES"/>
              </w:rPr>
            </w:pPr>
            <w:r w:rsidRPr="003618E2">
              <w:rPr>
                <w:sz w:val="20"/>
                <w:lang w:val="es-ES"/>
              </w:rPr>
              <w:t>Colombia</w:t>
            </w:r>
          </w:p>
        </w:tc>
        <w:tc>
          <w:tcPr>
            <w:tcW w:w="2025" w:type="dxa"/>
            <w:vAlign w:val="center"/>
          </w:tcPr>
          <w:p w14:paraId="0964D198" w14:textId="77777777" w:rsidR="006D362C" w:rsidRPr="003618E2" w:rsidRDefault="006D362C" w:rsidP="00D136BB">
            <w:pPr>
              <w:pStyle w:val="BodyText"/>
              <w:rPr>
                <w:sz w:val="20"/>
                <w:lang w:val="es-ES"/>
              </w:rPr>
            </w:pPr>
          </w:p>
        </w:tc>
        <w:tc>
          <w:tcPr>
            <w:tcW w:w="1737" w:type="dxa"/>
            <w:vAlign w:val="center"/>
            <w:hideMark/>
          </w:tcPr>
          <w:p w14:paraId="7BC979E6" w14:textId="77777777" w:rsidR="006D362C" w:rsidRPr="003618E2" w:rsidRDefault="006D362C" w:rsidP="00D136BB">
            <w:pPr>
              <w:pStyle w:val="BodyText"/>
              <w:rPr>
                <w:sz w:val="20"/>
                <w:lang w:val="es-ES"/>
              </w:rPr>
            </w:pPr>
            <w:r w:rsidRPr="003618E2">
              <w:rPr>
                <w:sz w:val="20"/>
                <w:lang w:val="es-ES"/>
              </w:rPr>
              <w:t>X</w:t>
            </w:r>
          </w:p>
        </w:tc>
        <w:tc>
          <w:tcPr>
            <w:tcW w:w="1483" w:type="dxa"/>
            <w:vAlign w:val="center"/>
          </w:tcPr>
          <w:p w14:paraId="7B5669E8" w14:textId="77777777" w:rsidR="006D362C" w:rsidRPr="003618E2" w:rsidRDefault="006D362C" w:rsidP="00D136BB">
            <w:pPr>
              <w:pStyle w:val="BodyText"/>
              <w:rPr>
                <w:sz w:val="20"/>
                <w:lang w:val="es-ES"/>
              </w:rPr>
            </w:pPr>
          </w:p>
        </w:tc>
        <w:tc>
          <w:tcPr>
            <w:tcW w:w="1950" w:type="dxa"/>
            <w:vAlign w:val="center"/>
            <w:hideMark/>
          </w:tcPr>
          <w:p w14:paraId="3D29E523" w14:textId="77777777" w:rsidR="006D362C" w:rsidRPr="003618E2" w:rsidRDefault="006D362C" w:rsidP="00D136BB">
            <w:pPr>
              <w:pStyle w:val="BodyText"/>
              <w:rPr>
                <w:sz w:val="20"/>
                <w:lang w:val="es-ES"/>
              </w:rPr>
            </w:pPr>
            <w:r w:rsidRPr="003618E2">
              <w:rPr>
                <w:sz w:val="20"/>
                <w:lang w:val="es-ES"/>
              </w:rPr>
              <w:t>X</w:t>
            </w:r>
          </w:p>
        </w:tc>
      </w:tr>
      <w:tr w:rsidR="006D362C" w:rsidRPr="003618E2" w14:paraId="64473B22" w14:textId="77777777" w:rsidTr="00D136BB">
        <w:trPr>
          <w:jc w:val="center"/>
        </w:trPr>
        <w:tc>
          <w:tcPr>
            <w:tcW w:w="1526" w:type="dxa"/>
            <w:shd w:val="clear" w:color="auto" w:fill="FF81AB"/>
            <w:vAlign w:val="center"/>
            <w:hideMark/>
          </w:tcPr>
          <w:p w14:paraId="70B04D71" w14:textId="77777777" w:rsidR="006D362C" w:rsidRPr="003618E2" w:rsidRDefault="006D362C" w:rsidP="00D136BB">
            <w:pPr>
              <w:pStyle w:val="BodyText"/>
              <w:rPr>
                <w:sz w:val="20"/>
                <w:lang w:val="es-ES"/>
              </w:rPr>
            </w:pPr>
            <w:r w:rsidRPr="003618E2">
              <w:rPr>
                <w:sz w:val="20"/>
                <w:lang w:val="es-ES"/>
              </w:rPr>
              <w:t>Chile</w:t>
            </w:r>
          </w:p>
        </w:tc>
        <w:tc>
          <w:tcPr>
            <w:tcW w:w="2025" w:type="dxa"/>
            <w:vAlign w:val="center"/>
            <w:hideMark/>
          </w:tcPr>
          <w:p w14:paraId="3697E927" w14:textId="77777777" w:rsidR="006D362C" w:rsidRPr="003618E2" w:rsidRDefault="006D362C" w:rsidP="00D136BB">
            <w:pPr>
              <w:pStyle w:val="BodyText"/>
              <w:rPr>
                <w:sz w:val="20"/>
                <w:lang w:val="es-ES"/>
              </w:rPr>
            </w:pPr>
            <w:r w:rsidRPr="003618E2">
              <w:rPr>
                <w:sz w:val="20"/>
                <w:lang w:val="es-ES"/>
              </w:rPr>
              <w:t>X</w:t>
            </w:r>
          </w:p>
        </w:tc>
        <w:tc>
          <w:tcPr>
            <w:tcW w:w="1737" w:type="dxa"/>
            <w:vAlign w:val="center"/>
            <w:hideMark/>
          </w:tcPr>
          <w:p w14:paraId="7CD855CE" w14:textId="77777777" w:rsidR="006D362C" w:rsidRPr="003618E2" w:rsidRDefault="006D362C" w:rsidP="00D136BB">
            <w:pPr>
              <w:pStyle w:val="BodyText"/>
              <w:rPr>
                <w:sz w:val="20"/>
                <w:lang w:val="es-ES"/>
              </w:rPr>
            </w:pPr>
            <w:r w:rsidRPr="003618E2">
              <w:rPr>
                <w:sz w:val="20"/>
                <w:lang w:val="es-ES"/>
              </w:rPr>
              <w:t>X</w:t>
            </w:r>
          </w:p>
        </w:tc>
        <w:tc>
          <w:tcPr>
            <w:tcW w:w="1483" w:type="dxa"/>
            <w:vAlign w:val="center"/>
            <w:hideMark/>
          </w:tcPr>
          <w:p w14:paraId="1260BB79" w14:textId="77777777" w:rsidR="006D362C" w:rsidRPr="003618E2" w:rsidRDefault="006D362C" w:rsidP="00D136BB">
            <w:pPr>
              <w:pStyle w:val="BodyText"/>
              <w:rPr>
                <w:sz w:val="20"/>
                <w:lang w:val="es-ES"/>
              </w:rPr>
            </w:pPr>
            <w:r w:rsidRPr="003618E2">
              <w:rPr>
                <w:sz w:val="20"/>
                <w:lang w:val="es-ES"/>
              </w:rPr>
              <w:t>X</w:t>
            </w:r>
          </w:p>
        </w:tc>
        <w:tc>
          <w:tcPr>
            <w:tcW w:w="1950" w:type="dxa"/>
            <w:vAlign w:val="center"/>
          </w:tcPr>
          <w:p w14:paraId="2404B958" w14:textId="77777777" w:rsidR="006D362C" w:rsidRPr="003618E2" w:rsidRDefault="006D362C" w:rsidP="00D136BB">
            <w:pPr>
              <w:pStyle w:val="BodyText"/>
              <w:rPr>
                <w:sz w:val="20"/>
                <w:lang w:val="es-ES"/>
              </w:rPr>
            </w:pPr>
          </w:p>
        </w:tc>
      </w:tr>
      <w:tr w:rsidR="006D362C" w:rsidRPr="003618E2" w14:paraId="4EA8FCC8" w14:textId="77777777" w:rsidTr="00D136BB">
        <w:trPr>
          <w:jc w:val="center"/>
        </w:trPr>
        <w:tc>
          <w:tcPr>
            <w:tcW w:w="1526" w:type="dxa"/>
            <w:shd w:val="clear" w:color="auto" w:fill="FF81AB"/>
            <w:vAlign w:val="center"/>
            <w:hideMark/>
          </w:tcPr>
          <w:p w14:paraId="1BB48336" w14:textId="3B61527C" w:rsidR="006D362C" w:rsidRPr="003618E2" w:rsidRDefault="006D362C" w:rsidP="00D136BB">
            <w:pPr>
              <w:pStyle w:val="BodyText"/>
              <w:rPr>
                <w:sz w:val="20"/>
                <w:lang w:val="es-ES"/>
              </w:rPr>
            </w:pPr>
            <w:r w:rsidRPr="003618E2">
              <w:rPr>
                <w:sz w:val="20"/>
                <w:lang w:val="es-ES"/>
              </w:rPr>
              <w:t>Costa</w:t>
            </w:r>
            <w:r w:rsidR="00D136BB">
              <w:rPr>
                <w:sz w:val="20"/>
                <w:lang w:val="es-ES"/>
              </w:rPr>
              <w:t xml:space="preserve"> </w:t>
            </w:r>
            <w:r w:rsidRPr="003618E2">
              <w:rPr>
                <w:sz w:val="20"/>
                <w:lang w:val="es-ES"/>
              </w:rPr>
              <w:t>Rica</w:t>
            </w:r>
          </w:p>
        </w:tc>
        <w:tc>
          <w:tcPr>
            <w:tcW w:w="2025" w:type="dxa"/>
            <w:vAlign w:val="center"/>
            <w:hideMark/>
          </w:tcPr>
          <w:p w14:paraId="771A6BC1" w14:textId="77777777" w:rsidR="006D362C" w:rsidRPr="003618E2" w:rsidRDefault="006D362C" w:rsidP="00D136BB">
            <w:pPr>
              <w:pStyle w:val="BodyText"/>
              <w:rPr>
                <w:sz w:val="20"/>
                <w:lang w:val="es-ES"/>
              </w:rPr>
            </w:pPr>
            <w:r w:rsidRPr="003618E2">
              <w:rPr>
                <w:sz w:val="20"/>
                <w:lang w:val="es-ES"/>
              </w:rPr>
              <w:t>X</w:t>
            </w:r>
          </w:p>
        </w:tc>
        <w:tc>
          <w:tcPr>
            <w:tcW w:w="1737" w:type="dxa"/>
            <w:vAlign w:val="center"/>
          </w:tcPr>
          <w:p w14:paraId="4BA4D3B5" w14:textId="77777777" w:rsidR="006D362C" w:rsidRPr="003618E2" w:rsidRDefault="006D362C" w:rsidP="00D136BB">
            <w:pPr>
              <w:pStyle w:val="BodyText"/>
              <w:rPr>
                <w:sz w:val="20"/>
                <w:lang w:val="es-ES"/>
              </w:rPr>
            </w:pPr>
          </w:p>
        </w:tc>
        <w:tc>
          <w:tcPr>
            <w:tcW w:w="1483" w:type="dxa"/>
            <w:vAlign w:val="center"/>
          </w:tcPr>
          <w:p w14:paraId="0D5AA5B1" w14:textId="77777777" w:rsidR="006D362C" w:rsidRPr="003618E2" w:rsidRDefault="006D362C" w:rsidP="00D136BB">
            <w:pPr>
              <w:pStyle w:val="BodyText"/>
              <w:rPr>
                <w:sz w:val="20"/>
                <w:lang w:val="es-ES"/>
              </w:rPr>
            </w:pPr>
          </w:p>
        </w:tc>
        <w:tc>
          <w:tcPr>
            <w:tcW w:w="1950" w:type="dxa"/>
            <w:vAlign w:val="center"/>
          </w:tcPr>
          <w:p w14:paraId="69933018" w14:textId="77777777" w:rsidR="006D362C" w:rsidRPr="003618E2" w:rsidRDefault="006D362C" w:rsidP="00D136BB">
            <w:pPr>
              <w:pStyle w:val="BodyText"/>
              <w:rPr>
                <w:sz w:val="20"/>
                <w:lang w:val="es-ES"/>
              </w:rPr>
            </w:pPr>
          </w:p>
        </w:tc>
      </w:tr>
      <w:tr w:rsidR="006D362C" w:rsidRPr="003618E2" w14:paraId="010F0E46" w14:textId="77777777" w:rsidTr="00D136BB">
        <w:trPr>
          <w:jc w:val="center"/>
        </w:trPr>
        <w:tc>
          <w:tcPr>
            <w:tcW w:w="1526" w:type="dxa"/>
            <w:shd w:val="clear" w:color="auto" w:fill="FF81AB"/>
            <w:vAlign w:val="center"/>
            <w:hideMark/>
          </w:tcPr>
          <w:p w14:paraId="43F66C5B" w14:textId="77777777" w:rsidR="006D362C" w:rsidRPr="003618E2" w:rsidRDefault="006D362C" w:rsidP="00D136BB">
            <w:pPr>
              <w:pStyle w:val="BodyText"/>
              <w:rPr>
                <w:sz w:val="20"/>
                <w:lang w:val="es-ES"/>
              </w:rPr>
            </w:pPr>
            <w:r w:rsidRPr="003618E2">
              <w:rPr>
                <w:sz w:val="20"/>
                <w:lang w:val="es-ES"/>
              </w:rPr>
              <w:t>Cuba</w:t>
            </w:r>
          </w:p>
        </w:tc>
        <w:tc>
          <w:tcPr>
            <w:tcW w:w="2025" w:type="dxa"/>
            <w:vAlign w:val="center"/>
            <w:hideMark/>
          </w:tcPr>
          <w:p w14:paraId="5FA7C7E2" w14:textId="77777777" w:rsidR="006D362C" w:rsidRPr="003618E2" w:rsidRDefault="006D362C" w:rsidP="00D136BB">
            <w:pPr>
              <w:pStyle w:val="BodyText"/>
              <w:rPr>
                <w:sz w:val="20"/>
                <w:lang w:val="es-ES"/>
              </w:rPr>
            </w:pPr>
            <w:r w:rsidRPr="003618E2">
              <w:rPr>
                <w:sz w:val="20"/>
                <w:lang w:val="es-ES"/>
              </w:rPr>
              <w:t>X</w:t>
            </w:r>
          </w:p>
        </w:tc>
        <w:tc>
          <w:tcPr>
            <w:tcW w:w="1737" w:type="dxa"/>
            <w:vAlign w:val="center"/>
          </w:tcPr>
          <w:p w14:paraId="42AC075D" w14:textId="77777777" w:rsidR="006D362C" w:rsidRPr="003618E2" w:rsidRDefault="006D362C" w:rsidP="00D136BB">
            <w:pPr>
              <w:pStyle w:val="BodyText"/>
              <w:rPr>
                <w:sz w:val="20"/>
                <w:lang w:val="es-ES"/>
              </w:rPr>
            </w:pPr>
          </w:p>
        </w:tc>
        <w:tc>
          <w:tcPr>
            <w:tcW w:w="1483" w:type="dxa"/>
            <w:vAlign w:val="center"/>
          </w:tcPr>
          <w:p w14:paraId="5CA34197" w14:textId="77777777" w:rsidR="006D362C" w:rsidRPr="003618E2" w:rsidRDefault="006D362C" w:rsidP="00D136BB">
            <w:pPr>
              <w:pStyle w:val="BodyText"/>
              <w:rPr>
                <w:sz w:val="20"/>
                <w:lang w:val="es-ES"/>
              </w:rPr>
            </w:pPr>
          </w:p>
        </w:tc>
        <w:tc>
          <w:tcPr>
            <w:tcW w:w="1950" w:type="dxa"/>
            <w:vAlign w:val="center"/>
          </w:tcPr>
          <w:p w14:paraId="7E1830A4" w14:textId="77777777" w:rsidR="006D362C" w:rsidRPr="003618E2" w:rsidRDefault="006D362C" w:rsidP="00D136BB">
            <w:pPr>
              <w:pStyle w:val="BodyText"/>
              <w:rPr>
                <w:sz w:val="20"/>
                <w:lang w:val="es-ES"/>
              </w:rPr>
            </w:pPr>
          </w:p>
        </w:tc>
      </w:tr>
      <w:tr w:rsidR="006D362C" w:rsidRPr="003618E2" w14:paraId="60A02E54" w14:textId="77777777" w:rsidTr="00D136BB">
        <w:trPr>
          <w:jc w:val="center"/>
        </w:trPr>
        <w:tc>
          <w:tcPr>
            <w:tcW w:w="1526" w:type="dxa"/>
            <w:shd w:val="clear" w:color="auto" w:fill="FF81AB"/>
            <w:vAlign w:val="center"/>
            <w:hideMark/>
          </w:tcPr>
          <w:p w14:paraId="39A34F4C" w14:textId="4648D4FE" w:rsidR="006D362C" w:rsidRPr="003618E2" w:rsidRDefault="006D362C" w:rsidP="00D136BB">
            <w:pPr>
              <w:pStyle w:val="BodyText"/>
              <w:rPr>
                <w:sz w:val="20"/>
                <w:lang w:val="es-ES"/>
              </w:rPr>
            </w:pPr>
            <w:r w:rsidRPr="003618E2">
              <w:rPr>
                <w:sz w:val="20"/>
                <w:lang w:val="es-ES"/>
              </w:rPr>
              <w:t>República</w:t>
            </w:r>
            <w:r w:rsidR="00D136BB">
              <w:rPr>
                <w:sz w:val="20"/>
                <w:lang w:val="es-ES"/>
              </w:rPr>
              <w:t xml:space="preserve"> </w:t>
            </w:r>
            <w:r w:rsidRPr="003618E2">
              <w:rPr>
                <w:sz w:val="20"/>
                <w:lang w:val="es-ES"/>
              </w:rPr>
              <w:t>Dominicana</w:t>
            </w:r>
          </w:p>
        </w:tc>
        <w:tc>
          <w:tcPr>
            <w:tcW w:w="2025" w:type="dxa"/>
            <w:vAlign w:val="center"/>
            <w:hideMark/>
          </w:tcPr>
          <w:p w14:paraId="4925F578" w14:textId="77777777" w:rsidR="006D362C" w:rsidRPr="003618E2" w:rsidRDefault="006D362C" w:rsidP="00D136BB">
            <w:pPr>
              <w:pStyle w:val="BodyText"/>
              <w:rPr>
                <w:sz w:val="20"/>
                <w:lang w:val="es-ES"/>
              </w:rPr>
            </w:pPr>
            <w:r w:rsidRPr="003618E2">
              <w:rPr>
                <w:sz w:val="20"/>
                <w:lang w:val="es-ES"/>
              </w:rPr>
              <w:t>X</w:t>
            </w:r>
          </w:p>
        </w:tc>
        <w:tc>
          <w:tcPr>
            <w:tcW w:w="1737" w:type="dxa"/>
            <w:vAlign w:val="center"/>
          </w:tcPr>
          <w:p w14:paraId="5046E03F" w14:textId="77777777" w:rsidR="006D362C" w:rsidRPr="003618E2" w:rsidRDefault="006D362C" w:rsidP="00D136BB">
            <w:pPr>
              <w:pStyle w:val="BodyText"/>
              <w:rPr>
                <w:sz w:val="20"/>
                <w:lang w:val="es-ES"/>
              </w:rPr>
            </w:pPr>
          </w:p>
        </w:tc>
        <w:tc>
          <w:tcPr>
            <w:tcW w:w="1483" w:type="dxa"/>
            <w:vAlign w:val="center"/>
          </w:tcPr>
          <w:p w14:paraId="4A15C10E" w14:textId="77777777" w:rsidR="006D362C" w:rsidRPr="003618E2" w:rsidRDefault="006D362C" w:rsidP="00D136BB">
            <w:pPr>
              <w:pStyle w:val="BodyText"/>
              <w:rPr>
                <w:sz w:val="20"/>
                <w:lang w:val="es-ES"/>
              </w:rPr>
            </w:pPr>
          </w:p>
        </w:tc>
        <w:tc>
          <w:tcPr>
            <w:tcW w:w="1950" w:type="dxa"/>
            <w:vAlign w:val="center"/>
          </w:tcPr>
          <w:p w14:paraId="3F9C0CB4" w14:textId="77777777" w:rsidR="006D362C" w:rsidRPr="003618E2" w:rsidRDefault="006D362C" w:rsidP="00D136BB">
            <w:pPr>
              <w:pStyle w:val="BodyText"/>
              <w:rPr>
                <w:sz w:val="20"/>
                <w:lang w:val="es-ES"/>
              </w:rPr>
            </w:pPr>
          </w:p>
        </w:tc>
      </w:tr>
      <w:tr w:rsidR="006D362C" w:rsidRPr="003618E2" w14:paraId="0DD1E35C" w14:textId="77777777" w:rsidTr="00D136BB">
        <w:trPr>
          <w:jc w:val="center"/>
        </w:trPr>
        <w:tc>
          <w:tcPr>
            <w:tcW w:w="1526" w:type="dxa"/>
            <w:shd w:val="clear" w:color="auto" w:fill="FF81AB"/>
            <w:vAlign w:val="center"/>
            <w:hideMark/>
          </w:tcPr>
          <w:p w14:paraId="7C1E3DA7" w14:textId="77777777" w:rsidR="006D362C" w:rsidRPr="003618E2" w:rsidRDefault="006D362C" w:rsidP="00D136BB">
            <w:pPr>
              <w:pStyle w:val="BodyText"/>
              <w:rPr>
                <w:sz w:val="20"/>
                <w:lang w:val="es-ES"/>
              </w:rPr>
            </w:pPr>
            <w:r w:rsidRPr="003618E2">
              <w:rPr>
                <w:sz w:val="20"/>
                <w:lang w:val="es-ES"/>
              </w:rPr>
              <w:t>Ecuador</w:t>
            </w:r>
          </w:p>
        </w:tc>
        <w:tc>
          <w:tcPr>
            <w:tcW w:w="2025" w:type="dxa"/>
            <w:vAlign w:val="center"/>
            <w:hideMark/>
          </w:tcPr>
          <w:p w14:paraId="2F303A83" w14:textId="77777777" w:rsidR="006D362C" w:rsidRPr="003618E2" w:rsidRDefault="006D362C" w:rsidP="00D136BB">
            <w:pPr>
              <w:pStyle w:val="BodyText"/>
              <w:rPr>
                <w:sz w:val="20"/>
                <w:lang w:val="es-ES"/>
              </w:rPr>
            </w:pPr>
            <w:r w:rsidRPr="003618E2">
              <w:rPr>
                <w:sz w:val="20"/>
                <w:lang w:val="es-ES"/>
              </w:rPr>
              <w:t>X</w:t>
            </w:r>
          </w:p>
        </w:tc>
        <w:tc>
          <w:tcPr>
            <w:tcW w:w="1737" w:type="dxa"/>
            <w:vAlign w:val="center"/>
          </w:tcPr>
          <w:p w14:paraId="68417D64" w14:textId="77777777" w:rsidR="006D362C" w:rsidRPr="003618E2" w:rsidRDefault="006D362C" w:rsidP="00D136BB">
            <w:pPr>
              <w:pStyle w:val="BodyText"/>
              <w:rPr>
                <w:sz w:val="20"/>
                <w:lang w:val="es-ES"/>
              </w:rPr>
            </w:pPr>
          </w:p>
        </w:tc>
        <w:tc>
          <w:tcPr>
            <w:tcW w:w="1483" w:type="dxa"/>
            <w:vAlign w:val="center"/>
          </w:tcPr>
          <w:p w14:paraId="3374624F" w14:textId="77777777" w:rsidR="006D362C" w:rsidRPr="003618E2" w:rsidRDefault="006D362C" w:rsidP="00D136BB">
            <w:pPr>
              <w:pStyle w:val="BodyText"/>
              <w:rPr>
                <w:sz w:val="20"/>
                <w:lang w:val="es-ES"/>
              </w:rPr>
            </w:pPr>
          </w:p>
        </w:tc>
        <w:tc>
          <w:tcPr>
            <w:tcW w:w="1950" w:type="dxa"/>
            <w:vAlign w:val="center"/>
            <w:hideMark/>
          </w:tcPr>
          <w:p w14:paraId="12EC49A4" w14:textId="77777777" w:rsidR="006D362C" w:rsidRPr="003618E2" w:rsidRDefault="006D362C" w:rsidP="00D136BB">
            <w:pPr>
              <w:pStyle w:val="BodyText"/>
              <w:rPr>
                <w:sz w:val="20"/>
                <w:lang w:val="es-ES"/>
              </w:rPr>
            </w:pPr>
            <w:r w:rsidRPr="003618E2">
              <w:rPr>
                <w:sz w:val="20"/>
                <w:lang w:val="es-ES"/>
              </w:rPr>
              <w:t>X</w:t>
            </w:r>
          </w:p>
        </w:tc>
      </w:tr>
      <w:tr w:rsidR="006D362C" w:rsidRPr="003618E2" w14:paraId="2C96C5A7" w14:textId="77777777" w:rsidTr="00D136BB">
        <w:trPr>
          <w:jc w:val="center"/>
        </w:trPr>
        <w:tc>
          <w:tcPr>
            <w:tcW w:w="1526" w:type="dxa"/>
            <w:shd w:val="clear" w:color="auto" w:fill="FF81AB"/>
            <w:vAlign w:val="center"/>
            <w:hideMark/>
          </w:tcPr>
          <w:p w14:paraId="480BFE8A" w14:textId="292A154A" w:rsidR="006D362C" w:rsidRPr="003618E2" w:rsidRDefault="006D362C" w:rsidP="00D136BB">
            <w:pPr>
              <w:pStyle w:val="BodyText"/>
              <w:rPr>
                <w:sz w:val="20"/>
                <w:lang w:val="es-ES"/>
              </w:rPr>
            </w:pPr>
            <w:r w:rsidRPr="003618E2">
              <w:rPr>
                <w:sz w:val="20"/>
                <w:lang w:val="es-ES"/>
              </w:rPr>
              <w:t>El</w:t>
            </w:r>
            <w:r w:rsidR="00D136BB">
              <w:rPr>
                <w:sz w:val="20"/>
                <w:lang w:val="es-ES"/>
              </w:rPr>
              <w:t xml:space="preserve"> </w:t>
            </w:r>
            <w:r w:rsidRPr="003618E2">
              <w:rPr>
                <w:sz w:val="20"/>
                <w:lang w:val="es-ES"/>
              </w:rPr>
              <w:t>Salvador</w:t>
            </w:r>
          </w:p>
        </w:tc>
        <w:tc>
          <w:tcPr>
            <w:tcW w:w="2025" w:type="dxa"/>
            <w:vAlign w:val="center"/>
            <w:hideMark/>
          </w:tcPr>
          <w:p w14:paraId="0F30BDDE" w14:textId="77777777" w:rsidR="006D362C" w:rsidRPr="003618E2" w:rsidRDefault="006D362C" w:rsidP="00D136BB">
            <w:pPr>
              <w:pStyle w:val="BodyText"/>
              <w:rPr>
                <w:sz w:val="20"/>
                <w:lang w:val="es-ES"/>
              </w:rPr>
            </w:pPr>
            <w:r w:rsidRPr="003618E2">
              <w:rPr>
                <w:sz w:val="20"/>
                <w:lang w:val="es-ES"/>
              </w:rPr>
              <w:t>X</w:t>
            </w:r>
          </w:p>
        </w:tc>
        <w:tc>
          <w:tcPr>
            <w:tcW w:w="1737" w:type="dxa"/>
            <w:vAlign w:val="center"/>
          </w:tcPr>
          <w:p w14:paraId="5BF096EF" w14:textId="77777777" w:rsidR="006D362C" w:rsidRPr="003618E2" w:rsidRDefault="006D362C" w:rsidP="00D136BB">
            <w:pPr>
              <w:pStyle w:val="BodyText"/>
              <w:rPr>
                <w:sz w:val="20"/>
                <w:lang w:val="es-ES"/>
              </w:rPr>
            </w:pPr>
          </w:p>
        </w:tc>
        <w:tc>
          <w:tcPr>
            <w:tcW w:w="1483" w:type="dxa"/>
            <w:vAlign w:val="center"/>
          </w:tcPr>
          <w:p w14:paraId="37DB2BE3" w14:textId="77777777" w:rsidR="006D362C" w:rsidRPr="003618E2" w:rsidRDefault="006D362C" w:rsidP="00D136BB">
            <w:pPr>
              <w:pStyle w:val="BodyText"/>
              <w:rPr>
                <w:sz w:val="20"/>
                <w:lang w:val="es-ES"/>
              </w:rPr>
            </w:pPr>
          </w:p>
        </w:tc>
        <w:tc>
          <w:tcPr>
            <w:tcW w:w="1950" w:type="dxa"/>
            <w:vAlign w:val="center"/>
          </w:tcPr>
          <w:p w14:paraId="6E2F6DDE" w14:textId="77777777" w:rsidR="006D362C" w:rsidRPr="003618E2" w:rsidRDefault="006D362C" w:rsidP="00D136BB">
            <w:pPr>
              <w:pStyle w:val="BodyText"/>
              <w:rPr>
                <w:sz w:val="20"/>
                <w:lang w:val="es-ES"/>
              </w:rPr>
            </w:pPr>
          </w:p>
        </w:tc>
      </w:tr>
      <w:tr w:rsidR="006D362C" w:rsidRPr="003618E2" w14:paraId="49E360B8" w14:textId="77777777" w:rsidTr="00D136BB">
        <w:trPr>
          <w:jc w:val="center"/>
        </w:trPr>
        <w:tc>
          <w:tcPr>
            <w:tcW w:w="1526" w:type="dxa"/>
            <w:shd w:val="clear" w:color="auto" w:fill="FF81AB"/>
            <w:vAlign w:val="center"/>
            <w:hideMark/>
          </w:tcPr>
          <w:p w14:paraId="2F294FA4" w14:textId="77777777" w:rsidR="006D362C" w:rsidRPr="003618E2" w:rsidRDefault="006D362C" w:rsidP="00D136BB">
            <w:pPr>
              <w:pStyle w:val="BodyText"/>
              <w:rPr>
                <w:sz w:val="20"/>
                <w:lang w:val="es-ES"/>
              </w:rPr>
            </w:pPr>
            <w:r w:rsidRPr="003618E2">
              <w:rPr>
                <w:sz w:val="20"/>
                <w:lang w:val="es-ES"/>
              </w:rPr>
              <w:t>Guatemala</w:t>
            </w:r>
          </w:p>
        </w:tc>
        <w:tc>
          <w:tcPr>
            <w:tcW w:w="2025" w:type="dxa"/>
            <w:vAlign w:val="center"/>
            <w:hideMark/>
          </w:tcPr>
          <w:p w14:paraId="5EE1145A" w14:textId="77777777" w:rsidR="006D362C" w:rsidRPr="003618E2" w:rsidRDefault="006D362C" w:rsidP="00D136BB">
            <w:pPr>
              <w:pStyle w:val="BodyText"/>
              <w:rPr>
                <w:sz w:val="20"/>
                <w:lang w:val="es-ES"/>
              </w:rPr>
            </w:pPr>
            <w:r w:rsidRPr="003618E2">
              <w:rPr>
                <w:sz w:val="20"/>
                <w:lang w:val="es-ES"/>
              </w:rPr>
              <w:t>X</w:t>
            </w:r>
          </w:p>
        </w:tc>
        <w:tc>
          <w:tcPr>
            <w:tcW w:w="1737" w:type="dxa"/>
            <w:vAlign w:val="center"/>
          </w:tcPr>
          <w:p w14:paraId="7BD6AF5C" w14:textId="77777777" w:rsidR="006D362C" w:rsidRPr="003618E2" w:rsidRDefault="006D362C" w:rsidP="00D136BB">
            <w:pPr>
              <w:pStyle w:val="BodyText"/>
              <w:rPr>
                <w:sz w:val="20"/>
                <w:lang w:val="es-ES"/>
              </w:rPr>
            </w:pPr>
          </w:p>
        </w:tc>
        <w:tc>
          <w:tcPr>
            <w:tcW w:w="1483" w:type="dxa"/>
            <w:vAlign w:val="center"/>
          </w:tcPr>
          <w:p w14:paraId="7612677C" w14:textId="77777777" w:rsidR="006D362C" w:rsidRPr="003618E2" w:rsidRDefault="006D362C" w:rsidP="00D136BB">
            <w:pPr>
              <w:pStyle w:val="BodyText"/>
              <w:rPr>
                <w:sz w:val="20"/>
                <w:lang w:val="es-ES"/>
              </w:rPr>
            </w:pPr>
          </w:p>
        </w:tc>
        <w:tc>
          <w:tcPr>
            <w:tcW w:w="1950" w:type="dxa"/>
            <w:vAlign w:val="center"/>
          </w:tcPr>
          <w:p w14:paraId="3B19050C" w14:textId="77777777" w:rsidR="006D362C" w:rsidRPr="003618E2" w:rsidRDefault="006D362C" w:rsidP="00D136BB">
            <w:pPr>
              <w:pStyle w:val="BodyText"/>
              <w:rPr>
                <w:sz w:val="20"/>
                <w:lang w:val="es-ES"/>
              </w:rPr>
            </w:pPr>
          </w:p>
        </w:tc>
      </w:tr>
      <w:tr w:rsidR="006D362C" w:rsidRPr="003618E2" w14:paraId="0910EE0B" w14:textId="77777777" w:rsidTr="00D136BB">
        <w:trPr>
          <w:jc w:val="center"/>
        </w:trPr>
        <w:tc>
          <w:tcPr>
            <w:tcW w:w="1526" w:type="dxa"/>
            <w:shd w:val="clear" w:color="auto" w:fill="FF81AB"/>
            <w:vAlign w:val="center"/>
            <w:hideMark/>
          </w:tcPr>
          <w:p w14:paraId="33025800" w14:textId="77777777" w:rsidR="006D362C" w:rsidRPr="003618E2" w:rsidRDefault="006D362C" w:rsidP="00D136BB">
            <w:pPr>
              <w:pStyle w:val="BodyText"/>
              <w:rPr>
                <w:sz w:val="20"/>
                <w:lang w:val="es-ES"/>
              </w:rPr>
            </w:pPr>
            <w:r w:rsidRPr="003618E2">
              <w:rPr>
                <w:sz w:val="20"/>
                <w:lang w:val="es-ES"/>
              </w:rPr>
              <w:t>México</w:t>
            </w:r>
          </w:p>
        </w:tc>
        <w:tc>
          <w:tcPr>
            <w:tcW w:w="2025" w:type="dxa"/>
            <w:vAlign w:val="center"/>
            <w:hideMark/>
          </w:tcPr>
          <w:p w14:paraId="7BF6B3B7" w14:textId="77777777" w:rsidR="006D362C" w:rsidRPr="003618E2" w:rsidRDefault="006D362C" w:rsidP="00D136BB">
            <w:pPr>
              <w:pStyle w:val="BodyText"/>
              <w:rPr>
                <w:sz w:val="20"/>
                <w:lang w:val="es-ES"/>
              </w:rPr>
            </w:pPr>
            <w:r w:rsidRPr="003618E2">
              <w:rPr>
                <w:sz w:val="20"/>
                <w:lang w:val="es-ES"/>
              </w:rPr>
              <w:t>X</w:t>
            </w:r>
          </w:p>
        </w:tc>
        <w:tc>
          <w:tcPr>
            <w:tcW w:w="1737" w:type="dxa"/>
            <w:vAlign w:val="center"/>
            <w:hideMark/>
          </w:tcPr>
          <w:p w14:paraId="42596AC4" w14:textId="77777777" w:rsidR="006D362C" w:rsidRPr="003618E2" w:rsidRDefault="006D362C" w:rsidP="00D136BB">
            <w:pPr>
              <w:pStyle w:val="BodyText"/>
              <w:rPr>
                <w:sz w:val="20"/>
                <w:lang w:val="es-ES"/>
              </w:rPr>
            </w:pPr>
            <w:r w:rsidRPr="003618E2">
              <w:rPr>
                <w:sz w:val="20"/>
                <w:lang w:val="es-ES"/>
              </w:rPr>
              <w:t>X</w:t>
            </w:r>
          </w:p>
        </w:tc>
        <w:tc>
          <w:tcPr>
            <w:tcW w:w="1483" w:type="dxa"/>
            <w:vAlign w:val="center"/>
            <w:hideMark/>
          </w:tcPr>
          <w:p w14:paraId="7B61C1A2" w14:textId="77777777" w:rsidR="006D362C" w:rsidRPr="003618E2" w:rsidRDefault="006D362C" w:rsidP="00D136BB">
            <w:pPr>
              <w:pStyle w:val="BodyText"/>
              <w:rPr>
                <w:sz w:val="20"/>
                <w:lang w:val="es-ES"/>
              </w:rPr>
            </w:pPr>
            <w:r w:rsidRPr="003618E2">
              <w:rPr>
                <w:sz w:val="20"/>
                <w:lang w:val="es-ES"/>
              </w:rPr>
              <w:t>X</w:t>
            </w:r>
          </w:p>
        </w:tc>
        <w:tc>
          <w:tcPr>
            <w:tcW w:w="1950" w:type="dxa"/>
            <w:vAlign w:val="center"/>
            <w:hideMark/>
          </w:tcPr>
          <w:p w14:paraId="704E5B49" w14:textId="77777777" w:rsidR="006D362C" w:rsidRPr="003618E2" w:rsidRDefault="006D362C" w:rsidP="00D136BB">
            <w:pPr>
              <w:pStyle w:val="BodyText"/>
              <w:rPr>
                <w:sz w:val="20"/>
                <w:lang w:val="es-ES"/>
              </w:rPr>
            </w:pPr>
            <w:r w:rsidRPr="003618E2">
              <w:rPr>
                <w:sz w:val="20"/>
                <w:lang w:val="es-ES"/>
              </w:rPr>
              <w:t>X</w:t>
            </w:r>
          </w:p>
        </w:tc>
      </w:tr>
      <w:tr w:rsidR="006D362C" w:rsidRPr="003618E2" w14:paraId="76A46FD7" w14:textId="77777777" w:rsidTr="00D136BB">
        <w:trPr>
          <w:jc w:val="center"/>
        </w:trPr>
        <w:tc>
          <w:tcPr>
            <w:tcW w:w="1526" w:type="dxa"/>
            <w:shd w:val="clear" w:color="auto" w:fill="FF81AB"/>
            <w:vAlign w:val="center"/>
            <w:hideMark/>
          </w:tcPr>
          <w:p w14:paraId="6988CC79" w14:textId="77777777" w:rsidR="006D362C" w:rsidRPr="003618E2" w:rsidRDefault="006D362C" w:rsidP="00D136BB">
            <w:pPr>
              <w:pStyle w:val="BodyText"/>
              <w:rPr>
                <w:sz w:val="20"/>
                <w:lang w:val="es-ES"/>
              </w:rPr>
            </w:pPr>
            <w:r w:rsidRPr="003618E2">
              <w:rPr>
                <w:sz w:val="20"/>
                <w:lang w:val="es-ES"/>
              </w:rPr>
              <w:t>Panamá</w:t>
            </w:r>
          </w:p>
        </w:tc>
        <w:tc>
          <w:tcPr>
            <w:tcW w:w="2025" w:type="dxa"/>
            <w:vAlign w:val="center"/>
            <w:hideMark/>
          </w:tcPr>
          <w:p w14:paraId="40192BCD" w14:textId="77777777" w:rsidR="006D362C" w:rsidRPr="003618E2" w:rsidRDefault="006D362C" w:rsidP="00D136BB">
            <w:pPr>
              <w:pStyle w:val="BodyText"/>
              <w:rPr>
                <w:sz w:val="20"/>
                <w:lang w:val="es-ES"/>
              </w:rPr>
            </w:pPr>
            <w:r w:rsidRPr="003618E2">
              <w:rPr>
                <w:sz w:val="20"/>
                <w:lang w:val="es-ES"/>
              </w:rPr>
              <w:t>X</w:t>
            </w:r>
          </w:p>
        </w:tc>
        <w:tc>
          <w:tcPr>
            <w:tcW w:w="1737" w:type="dxa"/>
            <w:vAlign w:val="center"/>
          </w:tcPr>
          <w:p w14:paraId="20B23C41" w14:textId="77777777" w:rsidR="006D362C" w:rsidRPr="003618E2" w:rsidRDefault="006D362C" w:rsidP="00D136BB">
            <w:pPr>
              <w:pStyle w:val="BodyText"/>
              <w:rPr>
                <w:sz w:val="20"/>
                <w:lang w:val="es-ES"/>
              </w:rPr>
            </w:pPr>
          </w:p>
        </w:tc>
        <w:tc>
          <w:tcPr>
            <w:tcW w:w="1483" w:type="dxa"/>
            <w:vAlign w:val="center"/>
          </w:tcPr>
          <w:p w14:paraId="70BE48DA" w14:textId="77777777" w:rsidR="006D362C" w:rsidRPr="003618E2" w:rsidRDefault="006D362C" w:rsidP="00D136BB">
            <w:pPr>
              <w:pStyle w:val="BodyText"/>
              <w:rPr>
                <w:sz w:val="20"/>
                <w:lang w:val="es-ES"/>
              </w:rPr>
            </w:pPr>
          </w:p>
        </w:tc>
        <w:tc>
          <w:tcPr>
            <w:tcW w:w="1950" w:type="dxa"/>
            <w:vAlign w:val="center"/>
          </w:tcPr>
          <w:p w14:paraId="4EFDB8B9" w14:textId="77777777" w:rsidR="006D362C" w:rsidRPr="003618E2" w:rsidRDefault="006D362C" w:rsidP="00D136BB">
            <w:pPr>
              <w:pStyle w:val="BodyText"/>
              <w:rPr>
                <w:sz w:val="20"/>
                <w:lang w:val="es-ES"/>
              </w:rPr>
            </w:pPr>
          </w:p>
        </w:tc>
      </w:tr>
      <w:tr w:rsidR="006D362C" w:rsidRPr="003618E2" w14:paraId="5888F50A" w14:textId="77777777" w:rsidTr="00D136BB">
        <w:trPr>
          <w:jc w:val="center"/>
        </w:trPr>
        <w:tc>
          <w:tcPr>
            <w:tcW w:w="1526" w:type="dxa"/>
            <w:shd w:val="clear" w:color="auto" w:fill="FF81AB"/>
            <w:vAlign w:val="center"/>
            <w:hideMark/>
          </w:tcPr>
          <w:p w14:paraId="1D6374C2" w14:textId="77777777" w:rsidR="006D362C" w:rsidRPr="003618E2" w:rsidRDefault="006D362C" w:rsidP="00D136BB">
            <w:pPr>
              <w:pStyle w:val="BodyText"/>
              <w:rPr>
                <w:sz w:val="20"/>
                <w:lang w:val="es-ES"/>
              </w:rPr>
            </w:pPr>
            <w:r w:rsidRPr="003618E2">
              <w:rPr>
                <w:sz w:val="20"/>
                <w:lang w:val="es-ES"/>
              </w:rPr>
              <w:t>Paraguay</w:t>
            </w:r>
          </w:p>
        </w:tc>
        <w:tc>
          <w:tcPr>
            <w:tcW w:w="2025" w:type="dxa"/>
            <w:vAlign w:val="center"/>
            <w:hideMark/>
          </w:tcPr>
          <w:p w14:paraId="0B82EE74" w14:textId="77777777" w:rsidR="006D362C" w:rsidRPr="003618E2" w:rsidRDefault="006D362C" w:rsidP="00D136BB">
            <w:pPr>
              <w:pStyle w:val="BodyText"/>
              <w:rPr>
                <w:sz w:val="20"/>
                <w:lang w:val="es-ES"/>
              </w:rPr>
            </w:pPr>
            <w:r w:rsidRPr="003618E2">
              <w:rPr>
                <w:sz w:val="20"/>
                <w:lang w:val="es-ES"/>
              </w:rPr>
              <w:t>X</w:t>
            </w:r>
          </w:p>
        </w:tc>
        <w:tc>
          <w:tcPr>
            <w:tcW w:w="1737" w:type="dxa"/>
            <w:vAlign w:val="center"/>
          </w:tcPr>
          <w:p w14:paraId="39027F8E" w14:textId="77777777" w:rsidR="006D362C" w:rsidRPr="003618E2" w:rsidRDefault="006D362C" w:rsidP="00D136BB">
            <w:pPr>
              <w:pStyle w:val="BodyText"/>
              <w:rPr>
                <w:sz w:val="20"/>
                <w:lang w:val="es-ES"/>
              </w:rPr>
            </w:pPr>
          </w:p>
        </w:tc>
        <w:tc>
          <w:tcPr>
            <w:tcW w:w="1483" w:type="dxa"/>
            <w:vAlign w:val="center"/>
          </w:tcPr>
          <w:p w14:paraId="2FE432E5" w14:textId="77777777" w:rsidR="006D362C" w:rsidRPr="003618E2" w:rsidRDefault="006D362C" w:rsidP="00D136BB">
            <w:pPr>
              <w:pStyle w:val="BodyText"/>
              <w:rPr>
                <w:sz w:val="20"/>
                <w:lang w:val="es-ES"/>
              </w:rPr>
            </w:pPr>
          </w:p>
        </w:tc>
        <w:tc>
          <w:tcPr>
            <w:tcW w:w="1950" w:type="dxa"/>
            <w:vAlign w:val="center"/>
          </w:tcPr>
          <w:p w14:paraId="60813988" w14:textId="77777777" w:rsidR="006D362C" w:rsidRPr="003618E2" w:rsidRDefault="006D362C" w:rsidP="00D136BB">
            <w:pPr>
              <w:pStyle w:val="BodyText"/>
              <w:rPr>
                <w:sz w:val="20"/>
                <w:lang w:val="es-ES"/>
              </w:rPr>
            </w:pPr>
          </w:p>
        </w:tc>
      </w:tr>
      <w:tr w:rsidR="006D362C" w:rsidRPr="003618E2" w14:paraId="5E50B848" w14:textId="77777777" w:rsidTr="00D136BB">
        <w:trPr>
          <w:jc w:val="center"/>
        </w:trPr>
        <w:tc>
          <w:tcPr>
            <w:tcW w:w="1526" w:type="dxa"/>
            <w:shd w:val="clear" w:color="auto" w:fill="FF81AB"/>
            <w:vAlign w:val="center"/>
            <w:hideMark/>
          </w:tcPr>
          <w:p w14:paraId="192D6A49" w14:textId="77777777" w:rsidR="006D362C" w:rsidRPr="003618E2" w:rsidRDefault="006D362C" w:rsidP="00D136BB">
            <w:pPr>
              <w:pStyle w:val="BodyText"/>
              <w:rPr>
                <w:sz w:val="20"/>
                <w:lang w:val="es-ES"/>
              </w:rPr>
            </w:pPr>
            <w:r w:rsidRPr="003618E2">
              <w:rPr>
                <w:sz w:val="20"/>
                <w:lang w:val="es-ES"/>
              </w:rPr>
              <w:t>Perú</w:t>
            </w:r>
          </w:p>
        </w:tc>
        <w:tc>
          <w:tcPr>
            <w:tcW w:w="2025" w:type="dxa"/>
            <w:vAlign w:val="center"/>
            <w:hideMark/>
          </w:tcPr>
          <w:p w14:paraId="7E532A56" w14:textId="77777777" w:rsidR="006D362C" w:rsidRPr="003618E2" w:rsidRDefault="006D362C" w:rsidP="00D136BB">
            <w:pPr>
              <w:pStyle w:val="BodyText"/>
              <w:rPr>
                <w:sz w:val="20"/>
                <w:lang w:val="es-ES"/>
              </w:rPr>
            </w:pPr>
            <w:r w:rsidRPr="003618E2">
              <w:rPr>
                <w:sz w:val="20"/>
                <w:lang w:val="es-ES"/>
              </w:rPr>
              <w:t>X</w:t>
            </w:r>
          </w:p>
        </w:tc>
        <w:tc>
          <w:tcPr>
            <w:tcW w:w="1737" w:type="dxa"/>
            <w:vAlign w:val="center"/>
            <w:hideMark/>
          </w:tcPr>
          <w:p w14:paraId="578C31CE" w14:textId="77777777" w:rsidR="006D362C" w:rsidRPr="003618E2" w:rsidRDefault="006D362C" w:rsidP="00D136BB">
            <w:pPr>
              <w:pStyle w:val="BodyText"/>
              <w:rPr>
                <w:sz w:val="20"/>
                <w:lang w:val="es-ES"/>
              </w:rPr>
            </w:pPr>
            <w:r w:rsidRPr="003618E2">
              <w:rPr>
                <w:sz w:val="20"/>
                <w:lang w:val="es-ES"/>
              </w:rPr>
              <w:t>X</w:t>
            </w:r>
          </w:p>
        </w:tc>
        <w:tc>
          <w:tcPr>
            <w:tcW w:w="1483" w:type="dxa"/>
            <w:vAlign w:val="center"/>
          </w:tcPr>
          <w:p w14:paraId="385FA2BF" w14:textId="77777777" w:rsidR="006D362C" w:rsidRPr="003618E2" w:rsidRDefault="006D362C" w:rsidP="00D136BB">
            <w:pPr>
              <w:pStyle w:val="BodyText"/>
              <w:rPr>
                <w:sz w:val="20"/>
                <w:lang w:val="es-ES"/>
              </w:rPr>
            </w:pPr>
          </w:p>
        </w:tc>
        <w:tc>
          <w:tcPr>
            <w:tcW w:w="1950" w:type="dxa"/>
            <w:vAlign w:val="center"/>
            <w:hideMark/>
          </w:tcPr>
          <w:p w14:paraId="47F35D57" w14:textId="77777777" w:rsidR="006D362C" w:rsidRPr="003618E2" w:rsidRDefault="006D362C" w:rsidP="00D136BB">
            <w:pPr>
              <w:pStyle w:val="BodyText"/>
              <w:rPr>
                <w:sz w:val="20"/>
                <w:lang w:val="es-ES"/>
              </w:rPr>
            </w:pPr>
            <w:r w:rsidRPr="003618E2">
              <w:rPr>
                <w:sz w:val="20"/>
                <w:lang w:val="es-ES"/>
              </w:rPr>
              <w:t>X</w:t>
            </w:r>
          </w:p>
        </w:tc>
      </w:tr>
      <w:tr w:rsidR="006D362C" w:rsidRPr="003618E2" w14:paraId="53D917C8" w14:textId="77777777" w:rsidTr="00D136BB">
        <w:trPr>
          <w:jc w:val="center"/>
        </w:trPr>
        <w:tc>
          <w:tcPr>
            <w:tcW w:w="1526" w:type="dxa"/>
            <w:shd w:val="clear" w:color="auto" w:fill="FF81AB"/>
            <w:vAlign w:val="center"/>
            <w:hideMark/>
          </w:tcPr>
          <w:p w14:paraId="59BA8EA7" w14:textId="77777777" w:rsidR="006D362C" w:rsidRPr="003618E2" w:rsidRDefault="006D362C" w:rsidP="00D136BB">
            <w:pPr>
              <w:pStyle w:val="BodyText"/>
              <w:rPr>
                <w:sz w:val="20"/>
                <w:lang w:val="es-ES"/>
              </w:rPr>
            </w:pPr>
            <w:r w:rsidRPr="003618E2">
              <w:rPr>
                <w:sz w:val="20"/>
                <w:lang w:val="es-ES"/>
              </w:rPr>
              <w:t>Uruguay</w:t>
            </w:r>
          </w:p>
        </w:tc>
        <w:tc>
          <w:tcPr>
            <w:tcW w:w="2025" w:type="dxa"/>
            <w:vAlign w:val="center"/>
            <w:hideMark/>
          </w:tcPr>
          <w:p w14:paraId="64FF771B" w14:textId="77777777" w:rsidR="006D362C" w:rsidRPr="003618E2" w:rsidRDefault="006D362C" w:rsidP="00D136BB">
            <w:pPr>
              <w:pStyle w:val="BodyText"/>
              <w:rPr>
                <w:sz w:val="20"/>
                <w:lang w:val="es-ES"/>
              </w:rPr>
            </w:pPr>
            <w:r w:rsidRPr="003618E2">
              <w:rPr>
                <w:sz w:val="20"/>
                <w:lang w:val="es-ES"/>
              </w:rPr>
              <w:t>X</w:t>
            </w:r>
          </w:p>
        </w:tc>
        <w:tc>
          <w:tcPr>
            <w:tcW w:w="1737" w:type="dxa"/>
            <w:vAlign w:val="center"/>
            <w:hideMark/>
          </w:tcPr>
          <w:p w14:paraId="378929DD" w14:textId="77777777" w:rsidR="006D362C" w:rsidRPr="003618E2" w:rsidRDefault="006D362C" w:rsidP="00D136BB">
            <w:pPr>
              <w:pStyle w:val="BodyText"/>
              <w:rPr>
                <w:sz w:val="20"/>
                <w:lang w:val="es-ES"/>
              </w:rPr>
            </w:pPr>
            <w:r w:rsidRPr="003618E2">
              <w:rPr>
                <w:sz w:val="20"/>
                <w:lang w:val="es-ES"/>
              </w:rPr>
              <w:t>X</w:t>
            </w:r>
          </w:p>
        </w:tc>
        <w:tc>
          <w:tcPr>
            <w:tcW w:w="1483" w:type="dxa"/>
            <w:vAlign w:val="center"/>
          </w:tcPr>
          <w:p w14:paraId="2417E212" w14:textId="77777777" w:rsidR="006D362C" w:rsidRPr="003618E2" w:rsidRDefault="006D362C" w:rsidP="00D136BB">
            <w:pPr>
              <w:pStyle w:val="BodyText"/>
              <w:rPr>
                <w:sz w:val="20"/>
                <w:lang w:val="es-ES"/>
              </w:rPr>
            </w:pPr>
          </w:p>
        </w:tc>
        <w:tc>
          <w:tcPr>
            <w:tcW w:w="1950" w:type="dxa"/>
            <w:vAlign w:val="center"/>
          </w:tcPr>
          <w:p w14:paraId="43489DC3" w14:textId="77777777" w:rsidR="006D362C" w:rsidRPr="003618E2" w:rsidRDefault="006D362C" w:rsidP="00D136BB">
            <w:pPr>
              <w:pStyle w:val="BodyText"/>
              <w:rPr>
                <w:sz w:val="20"/>
                <w:lang w:val="es-ES"/>
              </w:rPr>
            </w:pPr>
          </w:p>
        </w:tc>
      </w:tr>
      <w:tr w:rsidR="006D362C" w:rsidRPr="003618E2" w14:paraId="4BB31435" w14:textId="77777777" w:rsidTr="00D136BB">
        <w:trPr>
          <w:jc w:val="center"/>
        </w:trPr>
        <w:tc>
          <w:tcPr>
            <w:tcW w:w="1526" w:type="dxa"/>
            <w:shd w:val="clear" w:color="auto" w:fill="FF81AB"/>
            <w:vAlign w:val="center"/>
            <w:hideMark/>
          </w:tcPr>
          <w:p w14:paraId="4A723A9B" w14:textId="77777777" w:rsidR="006D362C" w:rsidRPr="003618E2" w:rsidRDefault="006D362C" w:rsidP="00D136BB">
            <w:pPr>
              <w:pStyle w:val="BodyText"/>
              <w:rPr>
                <w:sz w:val="20"/>
                <w:lang w:val="es-ES"/>
              </w:rPr>
            </w:pPr>
            <w:r w:rsidRPr="003618E2">
              <w:rPr>
                <w:sz w:val="20"/>
                <w:lang w:val="es-ES"/>
              </w:rPr>
              <w:t>Venezuela</w:t>
            </w:r>
          </w:p>
        </w:tc>
        <w:tc>
          <w:tcPr>
            <w:tcW w:w="2025" w:type="dxa"/>
            <w:vAlign w:val="center"/>
            <w:hideMark/>
          </w:tcPr>
          <w:p w14:paraId="1B3F3C2E" w14:textId="77777777" w:rsidR="006D362C" w:rsidRPr="003618E2" w:rsidRDefault="006D362C" w:rsidP="00D136BB">
            <w:pPr>
              <w:pStyle w:val="BodyText"/>
              <w:rPr>
                <w:sz w:val="20"/>
                <w:lang w:val="es-ES"/>
              </w:rPr>
            </w:pPr>
            <w:r w:rsidRPr="003618E2">
              <w:rPr>
                <w:sz w:val="20"/>
                <w:lang w:val="es-ES"/>
              </w:rPr>
              <w:t>X</w:t>
            </w:r>
          </w:p>
        </w:tc>
        <w:tc>
          <w:tcPr>
            <w:tcW w:w="1737" w:type="dxa"/>
            <w:vAlign w:val="center"/>
            <w:hideMark/>
          </w:tcPr>
          <w:p w14:paraId="63F46B74" w14:textId="77777777" w:rsidR="006D362C" w:rsidRPr="003618E2" w:rsidRDefault="006D362C" w:rsidP="00D136BB">
            <w:pPr>
              <w:pStyle w:val="BodyText"/>
              <w:rPr>
                <w:sz w:val="20"/>
                <w:lang w:val="es-ES"/>
              </w:rPr>
            </w:pPr>
            <w:r w:rsidRPr="003618E2">
              <w:rPr>
                <w:sz w:val="20"/>
                <w:lang w:val="es-ES"/>
              </w:rPr>
              <w:t>X</w:t>
            </w:r>
          </w:p>
        </w:tc>
        <w:tc>
          <w:tcPr>
            <w:tcW w:w="1483" w:type="dxa"/>
            <w:vAlign w:val="center"/>
          </w:tcPr>
          <w:p w14:paraId="32CB2A91" w14:textId="77777777" w:rsidR="006D362C" w:rsidRPr="003618E2" w:rsidRDefault="006D362C" w:rsidP="00D136BB">
            <w:pPr>
              <w:pStyle w:val="BodyText"/>
              <w:rPr>
                <w:sz w:val="20"/>
                <w:lang w:val="es-ES"/>
              </w:rPr>
            </w:pPr>
          </w:p>
        </w:tc>
        <w:tc>
          <w:tcPr>
            <w:tcW w:w="1950" w:type="dxa"/>
            <w:vAlign w:val="center"/>
          </w:tcPr>
          <w:p w14:paraId="372CC5F5" w14:textId="77777777" w:rsidR="006D362C" w:rsidRPr="003618E2" w:rsidRDefault="006D362C" w:rsidP="00D136BB">
            <w:pPr>
              <w:pStyle w:val="BodyText"/>
              <w:rPr>
                <w:sz w:val="20"/>
                <w:lang w:val="es-ES"/>
              </w:rPr>
            </w:pPr>
          </w:p>
        </w:tc>
      </w:tr>
    </w:tbl>
    <w:p w14:paraId="301B04AE" w14:textId="77777777" w:rsidR="006D362C" w:rsidRPr="003618E2" w:rsidRDefault="006D362C" w:rsidP="006D362C">
      <w:pPr>
        <w:pStyle w:val="BodyText"/>
        <w:rPr>
          <w:lang w:val="es-ES"/>
        </w:rPr>
      </w:pPr>
    </w:p>
    <w:p w14:paraId="178F4F5F" w14:textId="143439D1" w:rsidR="006D362C" w:rsidRPr="003618E2" w:rsidRDefault="006D362C" w:rsidP="006D362C">
      <w:pPr>
        <w:pStyle w:val="BodyText"/>
        <w:jc w:val="center"/>
        <w:rPr>
          <w:b/>
          <w:bCs/>
          <w:lang w:val="es-ES"/>
        </w:rPr>
      </w:pPr>
      <w:r w:rsidRPr="003618E2">
        <w:rPr>
          <w:b/>
          <w:bCs/>
          <w:lang w:val="es-ES"/>
        </w:rPr>
        <w:lastRenderedPageBreak/>
        <w:t>Tabla</w:t>
      </w:r>
      <w:r w:rsidR="00D136BB">
        <w:rPr>
          <w:b/>
          <w:bCs/>
          <w:lang w:val="es-ES"/>
        </w:rPr>
        <w:t xml:space="preserve"> </w:t>
      </w:r>
      <w:r w:rsidRPr="003618E2">
        <w:rPr>
          <w:b/>
          <w:bCs/>
          <w:lang w:val="es-ES"/>
        </w:rPr>
        <w:t>(c).</w:t>
      </w:r>
      <w:r w:rsidR="00D136BB">
        <w:rPr>
          <w:b/>
          <w:bCs/>
          <w:lang w:val="es-ES"/>
        </w:rPr>
        <w:t xml:space="preserve"> </w:t>
      </w:r>
      <w:r w:rsidRPr="003618E2">
        <w:rPr>
          <w:b/>
          <w:bCs/>
          <w:lang w:val="es-ES"/>
        </w:rPr>
        <w:t>Uso</w:t>
      </w:r>
      <w:r w:rsidR="00D136BB">
        <w:rPr>
          <w:b/>
          <w:bCs/>
          <w:lang w:val="es-ES"/>
        </w:rPr>
        <w:t xml:space="preserve"> </w:t>
      </w:r>
      <w:r w:rsidRPr="003618E2">
        <w:rPr>
          <w:b/>
          <w:bCs/>
          <w:lang w:val="es-ES"/>
        </w:rPr>
        <w:t>de</w:t>
      </w:r>
      <w:r w:rsidR="00D136BB">
        <w:rPr>
          <w:b/>
          <w:bCs/>
          <w:lang w:val="es-ES"/>
        </w:rPr>
        <w:t xml:space="preserve"> </w:t>
      </w:r>
      <w:r w:rsidRPr="003618E2">
        <w:rPr>
          <w:b/>
          <w:bCs/>
          <w:lang w:val="es-ES"/>
        </w:rPr>
        <w:t>las</w:t>
      </w:r>
      <w:r w:rsidR="00D136BB">
        <w:rPr>
          <w:b/>
          <w:bCs/>
          <w:lang w:val="es-ES"/>
        </w:rPr>
        <w:t xml:space="preserve"> </w:t>
      </w:r>
      <w:r w:rsidRPr="003618E2">
        <w:rPr>
          <w:b/>
          <w:bCs/>
          <w:lang w:val="es-ES"/>
        </w:rPr>
        <w:t>técnicas</w:t>
      </w:r>
      <w:r w:rsidR="00D136BB">
        <w:rPr>
          <w:b/>
          <w:bCs/>
          <w:lang w:val="es-ES"/>
        </w:rPr>
        <w:t xml:space="preserve"> </w:t>
      </w:r>
      <w:r w:rsidRPr="003618E2">
        <w:rPr>
          <w:b/>
          <w:bCs/>
          <w:lang w:val="es-ES"/>
        </w:rPr>
        <w:t>de</w:t>
      </w:r>
      <w:r w:rsidR="00D136BB">
        <w:rPr>
          <w:b/>
          <w:bCs/>
          <w:lang w:val="es-ES"/>
        </w:rPr>
        <w:t xml:space="preserve"> </w:t>
      </w:r>
      <w:r w:rsidRPr="003618E2">
        <w:rPr>
          <w:b/>
          <w:bCs/>
          <w:lang w:val="es-ES"/>
        </w:rPr>
        <w:t>ensayos</w:t>
      </w:r>
      <w:r w:rsidR="00D136BB">
        <w:rPr>
          <w:b/>
          <w:bCs/>
          <w:lang w:val="es-ES"/>
        </w:rPr>
        <w:t xml:space="preserve"> </w:t>
      </w:r>
      <w:r w:rsidRPr="003618E2">
        <w:rPr>
          <w:b/>
          <w:bCs/>
          <w:lang w:val="es-ES"/>
        </w:rPr>
        <w:t>no</w:t>
      </w:r>
      <w:r w:rsidR="00D136BB">
        <w:rPr>
          <w:b/>
          <w:bCs/>
          <w:lang w:val="es-ES"/>
        </w:rPr>
        <w:t xml:space="preserve"> </w:t>
      </w:r>
      <w:r w:rsidRPr="003618E2">
        <w:rPr>
          <w:b/>
          <w:bCs/>
          <w:lang w:val="es-ES"/>
        </w:rPr>
        <w:t>destructivos</w:t>
      </w:r>
      <w:r w:rsidR="00D136BB">
        <w:rPr>
          <w:b/>
          <w:bCs/>
          <w:lang w:val="es-ES"/>
        </w:rPr>
        <w:t xml:space="preserve"> </w:t>
      </w:r>
      <w:r w:rsidRPr="003618E2">
        <w:rPr>
          <w:b/>
          <w:bCs/>
          <w:lang w:val="es-ES"/>
        </w:rPr>
        <w:t>en</w:t>
      </w:r>
      <w:r w:rsidR="00D136BB">
        <w:rPr>
          <w:b/>
          <w:bCs/>
          <w:lang w:val="es-ES"/>
        </w:rPr>
        <w:t xml:space="preserve"> </w:t>
      </w:r>
      <w:r w:rsidRPr="003618E2">
        <w:rPr>
          <w:b/>
          <w:bCs/>
          <w:lang w:val="es-ES"/>
        </w:rPr>
        <w:t>los</w:t>
      </w:r>
      <w:r w:rsidR="00D136BB">
        <w:rPr>
          <w:b/>
          <w:bCs/>
          <w:lang w:val="es-ES"/>
        </w:rPr>
        <w:t xml:space="preserve"> </w:t>
      </w:r>
      <w:r w:rsidRPr="003618E2">
        <w:rPr>
          <w:b/>
          <w:bCs/>
          <w:lang w:val="es-ES"/>
        </w:rPr>
        <w:t>países</w:t>
      </w:r>
      <w:r w:rsidR="00D136BB">
        <w:rPr>
          <w:b/>
          <w:bCs/>
          <w:lang w:val="es-ES"/>
        </w:rPr>
        <w:t xml:space="preserve"> </w:t>
      </w:r>
      <w:r w:rsidRPr="003618E2">
        <w:rPr>
          <w:b/>
          <w:bCs/>
          <w:lang w:val="es-ES"/>
        </w:rPr>
        <w:t>de</w:t>
      </w:r>
      <w:r w:rsidR="00D136BB">
        <w:rPr>
          <w:b/>
          <w:bCs/>
          <w:lang w:val="es-ES"/>
        </w:rPr>
        <w:t xml:space="preserve"> </w:t>
      </w:r>
      <w:r w:rsidRPr="003618E2">
        <w:rPr>
          <w:b/>
          <w:bCs/>
          <w:lang w:val="es-ES"/>
        </w:rPr>
        <w:t>la</w:t>
      </w:r>
      <w:r w:rsidR="00D136BB">
        <w:rPr>
          <w:b/>
          <w:bCs/>
          <w:lang w:val="es-ES"/>
        </w:rPr>
        <w:t xml:space="preserve"> </w:t>
      </w:r>
      <w:r w:rsidRPr="003618E2">
        <w:rPr>
          <w:b/>
          <w:bCs/>
          <w:lang w:val="es-ES"/>
        </w:rPr>
        <w:t>región*.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2409"/>
        <w:gridCol w:w="1985"/>
      </w:tblGrid>
      <w:tr w:rsidR="006D362C" w:rsidRPr="003618E2" w14:paraId="504B1A19" w14:textId="77777777" w:rsidTr="00D136BB">
        <w:trPr>
          <w:trHeight w:val="593"/>
          <w:jc w:val="center"/>
        </w:trPr>
        <w:tc>
          <w:tcPr>
            <w:tcW w:w="2109" w:type="dxa"/>
            <w:shd w:val="clear" w:color="auto" w:fill="FF81AB"/>
            <w:vAlign w:val="center"/>
            <w:hideMark/>
          </w:tcPr>
          <w:p w14:paraId="6FE49FEA" w14:textId="77777777" w:rsidR="006D362C" w:rsidRPr="003618E2" w:rsidRDefault="006D362C" w:rsidP="00D136BB">
            <w:pPr>
              <w:pStyle w:val="BodyText"/>
              <w:rPr>
                <w:b/>
                <w:sz w:val="20"/>
                <w:lang w:val="es-ES"/>
              </w:rPr>
            </w:pPr>
            <w:r w:rsidRPr="003618E2">
              <w:rPr>
                <w:b/>
                <w:sz w:val="20"/>
                <w:lang w:val="es-ES"/>
              </w:rPr>
              <w:t>País</w:t>
            </w:r>
          </w:p>
        </w:tc>
        <w:tc>
          <w:tcPr>
            <w:tcW w:w="2409" w:type="dxa"/>
            <w:shd w:val="clear" w:color="auto" w:fill="FF81AB"/>
            <w:vAlign w:val="center"/>
            <w:hideMark/>
          </w:tcPr>
          <w:p w14:paraId="30D7BAE3" w14:textId="78044F86" w:rsidR="006D362C" w:rsidRPr="003618E2" w:rsidRDefault="006D362C" w:rsidP="00D136BB">
            <w:pPr>
              <w:pStyle w:val="BodyText"/>
              <w:rPr>
                <w:b/>
                <w:sz w:val="20"/>
                <w:lang w:val="es-ES"/>
              </w:rPr>
            </w:pPr>
            <w:r w:rsidRPr="003618E2">
              <w:rPr>
                <w:b/>
                <w:sz w:val="20"/>
                <w:lang w:val="es-ES"/>
              </w:rPr>
              <w:t>Nivel</w:t>
            </w:r>
            <w:r w:rsidR="00D136BB">
              <w:rPr>
                <w:b/>
                <w:sz w:val="20"/>
                <w:lang w:val="es-ES"/>
              </w:rPr>
              <w:t xml:space="preserve"> </w:t>
            </w:r>
            <w:r w:rsidRPr="003618E2">
              <w:rPr>
                <w:b/>
                <w:sz w:val="20"/>
                <w:lang w:val="es-ES"/>
              </w:rPr>
              <w:t>básico</w:t>
            </w:r>
          </w:p>
        </w:tc>
        <w:tc>
          <w:tcPr>
            <w:tcW w:w="1985" w:type="dxa"/>
            <w:shd w:val="clear" w:color="auto" w:fill="FF81AB"/>
            <w:vAlign w:val="center"/>
            <w:hideMark/>
          </w:tcPr>
          <w:p w14:paraId="5F295913" w14:textId="36B27F60" w:rsidR="006D362C" w:rsidRPr="003618E2" w:rsidRDefault="006D362C" w:rsidP="00D136BB">
            <w:pPr>
              <w:pStyle w:val="BodyText"/>
              <w:rPr>
                <w:b/>
                <w:sz w:val="20"/>
                <w:lang w:val="es-ES"/>
              </w:rPr>
            </w:pPr>
            <w:r w:rsidRPr="003618E2">
              <w:rPr>
                <w:b/>
                <w:sz w:val="20"/>
                <w:lang w:val="es-ES"/>
              </w:rPr>
              <w:t>Nivel</w:t>
            </w:r>
            <w:r w:rsidR="00D136BB">
              <w:rPr>
                <w:b/>
                <w:sz w:val="20"/>
                <w:lang w:val="es-ES"/>
              </w:rPr>
              <w:t xml:space="preserve"> </w:t>
            </w:r>
            <w:r w:rsidRPr="003618E2">
              <w:rPr>
                <w:b/>
                <w:sz w:val="20"/>
                <w:lang w:val="es-ES"/>
              </w:rPr>
              <w:t>avanzado</w:t>
            </w:r>
          </w:p>
        </w:tc>
      </w:tr>
      <w:tr w:rsidR="006D362C" w:rsidRPr="003618E2" w14:paraId="5C66EFF5" w14:textId="77777777" w:rsidTr="00D136BB">
        <w:trPr>
          <w:jc w:val="center"/>
        </w:trPr>
        <w:tc>
          <w:tcPr>
            <w:tcW w:w="2109" w:type="dxa"/>
            <w:shd w:val="clear" w:color="auto" w:fill="FF81AB"/>
            <w:vAlign w:val="center"/>
            <w:hideMark/>
          </w:tcPr>
          <w:p w14:paraId="6C351602" w14:textId="77777777" w:rsidR="006D362C" w:rsidRPr="003618E2" w:rsidRDefault="006D362C" w:rsidP="00D136BB">
            <w:pPr>
              <w:pStyle w:val="BodyText"/>
              <w:rPr>
                <w:sz w:val="20"/>
                <w:lang w:val="es-ES"/>
              </w:rPr>
            </w:pPr>
            <w:r w:rsidRPr="003618E2">
              <w:rPr>
                <w:sz w:val="20"/>
                <w:lang w:val="es-ES"/>
              </w:rPr>
              <w:t>Argentina</w:t>
            </w:r>
          </w:p>
        </w:tc>
        <w:tc>
          <w:tcPr>
            <w:tcW w:w="2409" w:type="dxa"/>
            <w:vAlign w:val="center"/>
          </w:tcPr>
          <w:p w14:paraId="4B9A3E44" w14:textId="77777777" w:rsidR="006D362C" w:rsidRPr="003618E2" w:rsidRDefault="006D362C" w:rsidP="00D136BB">
            <w:pPr>
              <w:pStyle w:val="BodyText"/>
              <w:rPr>
                <w:sz w:val="20"/>
                <w:lang w:val="es-ES"/>
              </w:rPr>
            </w:pPr>
          </w:p>
        </w:tc>
        <w:tc>
          <w:tcPr>
            <w:tcW w:w="1985" w:type="dxa"/>
            <w:vAlign w:val="center"/>
            <w:hideMark/>
          </w:tcPr>
          <w:p w14:paraId="77539423" w14:textId="77777777" w:rsidR="006D362C" w:rsidRPr="003618E2" w:rsidRDefault="006D362C" w:rsidP="00D136BB">
            <w:pPr>
              <w:pStyle w:val="BodyText"/>
              <w:rPr>
                <w:sz w:val="20"/>
                <w:lang w:val="es-ES"/>
              </w:rPr>
            </w:pPr>
            <w:r w:rsidRPr="003618E2">
              <w:rPr>
                <w:sz w:val="20"/>
                <w:lang w:val="es-ES"/>
              </w:rPr>
              <w:t>X</w:t>
            </w:r>
          </w:p>
        </w:tc>
      </w:tr>
      <w:tr w:rsidR="006D362C" w:rsidRPr="003618E2" w14:paraId="5723C558" w14:textId="77777777" w:rsidTr="00D136BB">
        <w:trPr>
          <w:jc w:val="center"/>
        </w:trPr>
        <w:tc>
          <w:tcPr>
            <w:tcW w:w="2109" w:type="dxa"/>
            <w:shd w:val="clear" w:color="auto" w:fill="FF81AB"/>
            <w:vAlign w:val="center"/>
            <w:hideMark/>
          </w:tcPr>
          <w:p w14:paraId="741083E9" w14:textId="77777777" w:rsidR="006D362C" w:rsidRPr="003618E2" w:rsidRDefault="006D362C" w:rsidP="00D136BB">
            <w:pPr>
              <w:pStyle w:val="BodyText"/>
              <w:rPr>
                <w:sz w:val="20"/>
                <w:lang w:val="es-ES"/>
              </w:rPr>
            </w:pPr>
            <w:r w:rsidRPr="003618E2">
              <w:rPr>
                <w:sz w:val="20"/>
                <w:lang w:val="es-ES"/>
              </w:rPr>
              <w:t>Bolivia</w:t>
            </w:r>
          </w:p>
        </w:tc>
        <w:tc>
          <w:tcPr>
            <w:tcW w:w="2409" w:type="dxa"/>
            <w:vAlign w:val="center"/>
            <w:hideMark/>
          </w:tcPr>
          <w:p w14:paraId="38A16FCA"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244A72D3" w14:textId="77777777" w:rsidR="006D362C" w:rsidRPr="003618E2" w:rsidRDefault="006D362C" w:rsidP="00D136BB">
            <w:pPr>
              <w:pStyle w:val="BodyText"/>
              <w:rPr>
                <w:sz w:val="20"/>
                <w:lang w:val="es-ES"/>
              </w:rPr>
            </w:pPr>
          </w:p>
        </w:tc>
      </w:tr>
      <w:tr w:rsidR="006D362C" w:rsidRPr="003618E2" w14:paraId="0119A708" w14:textId="77777777" w:rsidTr="00D136BB">
        <w:trPr>
          <w:jc w:val="center"/>
        </w:trPr>
        <w:tc>
          <w:tcPr>
            <w:tcW w:w="2109" w:type="dxa"/>
            <w:shd w:val="clear" w:color="auto" w:fill="FF81AB"/>
            <w:vAlign w:val="center"/>
            <w:hideMark/>
          </w:tcPr>
          <w:p w14:paraId="12569FC2" w14:textId="77777777" w:rsidR="006D362C" w:rsidRPr="003618E2" w:rsidRDefault="006D362C" w:rsidP="00D136BB">
            <w:pPr>
              <w:pStyle w:val="BodyText"/>
              <w:rPr>
                <w:sz w:val="20"/>
                <w:lang w:val="es-ES"/>
              </w:rPr>
            </w:pPr>
            <w:r w:rsidRPr="003618E2">
              <w:rPr>
                <w:sz w:val="20"/>
                <w:lang w:val="es-ES"/>
              </w:rPr>
              <w:t>Brasil</w:t>
            </w:r>
          </w:p>
        </w:tc>
        <w:tc>
          <w:tcPr>
            <w:tcW w:w="2409" w:type="dxa"/>
            <w:vAlign w:val="center"/>
          </w:tcPr>
          <w:p w14:paraId="203B8056" w14:textId="77777777" w:rsidR="006D362C" w:rsidRPr="003618E2" w:rsidRDefault="006D362C" w:rsidP="00D136BB">
            <w:pPr>
              <w:pStyle w:val="BodyText"/>
              <w:rPr>
                <w:sz w:val="20"/>
                <w:lang w:val="es-ES"/>
              </w:rPr>
            </w:pPr>
          </w:p>
        </w:tc>
        <w:tc>
          <w:tcPr>
            <w:tcW w:w="1985" w:type="dxa"/>
            <w:vAlign w:val="center"/>
            <w:hideMark/>
          </w:tcPr>
          <w:p w14:paraId="25B73930" w14:textId="77777777" w:rsidR="006D362C" w:rsidRPr="003618E2" w:rsidRDefault="006D362C" w:rsidP="00D136BB">
            <w:pPr>
              <w:pStyle w:val="BodyText"/>
              <w:rPr>
                <w:sz w:val="20"/>
                <w:lang w:val="es-ES"/>
              </w:rPr>
            </w:pPr>
            <w:r w:rsidRPr="003618E2">
              <w:rPr>
                <w:sz w:val="20"/>
                <w:lang w:val="es-ES"/>
              </w:rPr>
              <w:t>X</w:t>
            </w:r>
          </w:p>
        </w:tc>
      </w:tr>
      <w:tr w:rsidR="006D362C" w:rsidRPr="003618E2" w14:paraId="7F132285" w14:textId="77777777" w:rsidTr="00D136BB">
        <w:trPr>
          <w:jc w:val="center"/>
        </w:trPr>
        <w:tc>
          <w:tcPr>
            <w:tcW w:w="2109" w:type="dxa"/>
            <w:shd w:val="clear" w:color="auto" w:fill="FF81AB"/>
            <w:vAlign w:val="center"/>
            <w:hideMark/>
          </w:tcPr>
          <w:p w14:paraId="5029810C" w14:textId="77777777" w:rsidR="006D362C" w:rsidRPr="003618E2" w:rsidRDefault="006D362C" w:rsidP="00D136BB">
            <w:pPr>
              <w:pStyle w:val="BodyText"/>
              <w:rPr>
                <w:sz w:val="20"/>
                <w:lang w:val="es-ES"/>
              </w:rPr>
            </w:pPr>
            <w:r w:rsidRPr="003618E2">
              <w:rPr>
                <w:sz w:val="20"/>
                <w:lang w:val="es-ES"/>
              </w:rPr>
              <w:t>Colombia</w:t>
            </w:r>
          </w:p>
        </w:tc>
        <w:tc>
          <w:tcPr>
            <w:tcW w:w="2409" w:type="dxa"/>
            <w:vAlign w:val="center"/>
            <w:hideMark/>
          </w:tcPr>
          <w:p w14:paraId="63488A77"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70F4EC1E" w14:textId="77777777" w:rsidR="006D362C" w:rsidRPr="003618E2" w:rsidRDefault="006D362C" w:rsidP="00D136BB">
            <w:pPr>
              <w:pStyle w:val="BodyText"/>
              <w:rPr>
                <w:sz w:val="20"/>
                <w:lang w:val="es-ES"/>
              </w:rPr>
            </w:pPr>
          </w:p>
        </w:tc>
      </w:tr>
      <w:tr w:rsidR="006D362C" w:rsidRPr="003618E2" w14:paraId="6F8DCDFC" w14:textId="77777777" w:rsidTr="00D136BB">
        <w:trPr>
          <w:jc w:val="center"/>
        </w:trPr>
        <w:tc>
          <w:tcPr>
            <w:tcW w:w="2109" w:type="dxa"/>
            <w:shd w:val="clear" w:color="auto" w:fill="FF81AB"/>
            <w:vAlign w:val="center"/>
            <w:hideMark/>
          </w:tcPr>
          <w:p w14:paraId="1C20509D" w14:textId="77777777" w:rsidR="006D362C" w:rsidRPr="003618E2" w:rsidRDefault="006D362C" w:rsidP="00D136BB">
            <w:pPr>
              <w:pStyle w:val="BodyText"/>
              <w:rPr>
                <w:sz w:val="20"/>
                <w:lang w:val="es-ES"/>
              </w:rPr>
            </w:pPr>
            <w:r w:rsidRPr="003618E2">
              <w:rPr>
                <w:sz w:val="20"/>
                <w:lang w:val="es-ES"/>
              </w:rPr>
              <w:t>Chile</w:t>
            </w:r>
          </w:p>
        </w:tc>
        <w:tc>
          <w:tcPr>
            <w:tcW w:w="2409" w:type="dxa"/>
            <w:vAlign w:val="center"/>
          </w:tcPr>
          <w:p w14:paraId="1EC15A19" w14:textId="77777777" w:rsidR="006D362C" w:rsidRPr="003618E2" w:rsidRDefault="006D362C" w:rsidP="00D136BB">
            <w:pPr>
              <w:pStyle w:val="BodyText"/>
              <w:rPr>
                <w:sz w:val="20"/>
                <w:lang w:val="es-ES"/>
              </w:rPr>
            </w:pPr>
            <w:r w:rsidRPr="003618E2">
              <w:rPr>
                <w:sz w:val="20"/>
                <w:lang w:val="es-ES"/>
              </w:rPr>
              <w:t>X</w:t>
            </w:r>
          </w:p>
        </w:tc>
        <w:tc>
          <w:tcPr>
            <w:tcW w:w="1985" w:type="dxa"/>
            <w:vAlign w:val="center"/>
            <w:hideMark/>
          </w:tcPr>
          <w:p w14:paraId="7AAA3A5C" w14:textId="77777777" w:rsidR="006D362C" w:rsidRPr="003618E2" w:rsidRDefault="006D362C" w:rsidP="00D136BB">
            <w:pPr>
              <w:pStyle w:val="BodyText"/>
              <w:rPr>
                <w:sz w:val="20"/>
                <w:lang w:val="es-ES"/>
              </w:rPr>
            </w:pPr>
          </w:p>
        </w:tc>
      </w:tr>
      <w:tr w:rsidR="006D362C" w:rsidRPr="003618E2" w14:paraId="45BB9942" w14:textId="77777777" w:rsidTr="00D136BB">
        <w:trPr>
          <w:jc w:val="center"/>
        </w:trPr>
        <w:tc>
          <w:tcPr>
            <w:tcW w:w="2109" w:type="dxa"/>
            <w:shd w:val="clear" w:color="auto" w:fill="FF81AB"/>
            <w:vAlign w:val="center"/>
            <w:hideMark/>
          </w:tcPr>
          <w:p w14:paraId="2E243269" w14:textId="765A09A1" w:rsidR="006D362C" w:rsidRPr="003618E2" w:rsidRDefault="006D362C" w:rsidP="00D136BB">
            <w:pPr>
              <w:pStyle w:val="BodyText"/>
              <w:rPr>
                <w:sz w:val="20"/>
                <w:lang w:val="es-ES"/>
              </w:rPr>
            </w:pPr>
            <w:r w:rsidRPr="003618E2">
              <w:rPr>
                <w:sz w:val="20"/>
                <w:lang w:val="es-ES"/>
              </w:rPr>
              <w:t>Costa</w:t>
            </w:r>
            <w:r w:rsidR="00D136BB">
              <w:rPr>
                <w:sz w:val="20"/>
                <w:lang w:val="es-ES"/>
              </w:rPr>
              <w:t xml:space="preserve"> </w:t>
            </w:r>
            <w:r w:rsidRPr="003618E2">
              <w:rPr>
                <w:sz w:val="20"/>
                <w:lang w:val="es-ES"/>
              </w:rPr>
              <w:t>Rica</w:t>
            </w:r>
          </w:p>
        </w:tc>
        <w:tc>
          <w:tcPr>
            <w:tcW w:w="2409" w:type="dxa"/>
            <w:vAlign w:val="center"/>
            <w:hideMark/>
          </w:tcPr>
          <w:p w14:paraId="3DAEB558"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726FCA95" w14:textId="77777777" w:rsidR="006D362C" w:rsidRPr="003618E2" w:rsidRDefault="006D362C" w:rsidP="00D136BB">
            <w:pPr>
              <w:pStyle w:val="BodyText"/>
              <w:rPr>
                <w:sz w:val="20"/>
                <w:lang w:val="es-ES"/>
              </w:rPr>
            </w:pPr>
          </w:p>
        </w:tc>
      </w:tr>
      <w:tr w:rsidR="006D362C" w:rsidRPr="003618E2" w14:paraId="7996421F" w14:textId="77777777" w:rsidTr="00D136BB">
        <w:trPr>
          <w:jc w:val="center"/>
        </w:trPr>
        <w:tc>
          <w:tcPr>
            <w:tcW w:w="2109" w:type="dxa"/>
            <w:shd w:val="clear" w:color="auto" w:fill="FF81AB"/>
            <w:vAlign w:val="center"/>
            <w:hideMark/>
          </w:tcPr>
          <w:p w14:paraId="48F35ECE" w14:textId="77777777" w:rsidR="006D362C" w:rsidRPr="003618E2" w:rsidRDefault="006D362C" w:rsidP="00D136BB">
            <w:pPr>
              <w:pStyle w:val="BodyText"/>
              <w:rPr>
                <w:sz w:val="20"/>
                <w:lang w:val="es-ES"/>
              </w:rPr>
            </w:pPr>
            <w:r w:rsidRPr="003618E2">
              <w:rPr>
                <w:sz w:val="20"/>
                <w:lang w:val="es-ES"/>
              </w:rPr>
              <w:t>Cuba</w:t>
            </w:r>
          </w:p>
        </w:tc>
        <w:tc>
          <w:tcPr>
            <w:tcW w:w="2409" w:type="dxa"/>
            <w:vAlign w:val="center"/>
            <w:hideMark/>
          </w:tcPr>
          <w:p w14:paraId="3B88D8E8"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0BF60E7B" w14:textId="77777777" w:rsidR="006D362C" w:rsidRPr="003618E2" w:rsidRDefault="006D362C" w:rsidP="00D136BB">
            <w:pPr>
              <w:pStyle w:val="BodyText"/>
              <w:rPr>
                <w:sz w:val="20"/>
                <w:lang w:val="es-ES"/>
              </w:rPr>
            </w:pPr>
          </w:p>
        </w:tc>
      </w:tr>
      <w:tr w:rsidR="006D362C" w:rsidRPr="003618E2" w14:paraId="2606F524" w14:textId="77777777" w:rsidTr="00D136BB">
        <w:trPr>
          <w:jc w:val="center"/>
        </w:trPr>
        <w:tc>
          <w:tcPr>
            <w:tcW w:w="2109" w:type="dxa"/>
            <w:shd w:val="clear" w:color="auto" w:fill="FF81AB"/>
            <w:vAlign w:val="center"/>
            <w:hideMark/>
          </w:tcPr>
          <w:p w14:paraId="14739D5E" w14:textId="77777777" w:rsidR="006D362C" w:rsidRPr="003618E2" w:rsidRDefault="006D362C" w:rsidP="00D136BB">
            <w:pPr>
              <w:pStyle w:val="BodyText"/>
              <w:rPr>
                <w:sz w:val="20"/>
                <w:lang w:val="es-ES"/>
              </w:rPr>
            </w:pPr>
            <w:r w:rsidRPr="003618E2">
              <w:rPr>
                <w:sz w:val="20"/>
                <w:lang w:val="es-ES"/>
              </w:rPr>
              <w:t>Ecuador</w:t>
            </w:r>
          </w:p>
        </w:tc>
        <w:tc>
          <w:tcPr>
            <w:tcW w:w="2409" w:type="dxa"/>
            <w:vAlign w:val="center"/>
            <w:hideMark/>
          </w:tcPr>
          <w:p w14:paraId="3268ED99"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7E6FE73C" w14:textId="77777777" w:rsidR="006D362C" w:rsidRPr="003618E2" w:rsidRDefault="006D362C" w:rsidP="00D136BB">
            <w:pPr>
              <w:pStyle w:val="BodyText"/>
              <w:rPr>
                <w:sz w:val="20"/>
                <w:lang w:val="es-ES"/>
              </w:rPr>
            </w:pPr>
          </w:p>
        </w:tc>
      </w:tr>
      <w:tr w:rsidR="006D362C" w:rsidRPr="003618E2" w14:paraId="48CC21C1" w14:textId="77777777" w:rsidTr="00D136BB">
        <w:trPr>
          <w:jc w:val="center"/>
        </w:trPr>
        <w:tc>
          <w:tcPr>
            <w:tcW w:w="2109" w:type="dxa"/>
            <w:shd w:val="clear" w:color="auto" w:fill="FF81AB"/>
            <w:vAlign w:val="center"/>
            <w:hideMark/>
          </w:tcPr>
          <w:p w14:paraId="73F721CB" w14:textId="77777777" w:rsidR="006D362C" w:rsidRPr="003618E2" w:rsidRDefault="006D362C" w:rsidP="00D136BB">
            <w:pPr>
              <w:pStyle w:val="BodyText"/>
              <w:rPr>
                <w:sz w:val="20"/>
                <w:lang w:val="es-ES"/>
              </w:rPr>
            </w:pPr>
            <w:r w:rsidRPr="003618E2">
              <w:rPr>
                <w:sz w:val="20"/>
                <w:lang w:val="es-ES"/>
              </w:rPr>
              <w:t>Guatemala</w:t>
            </w:r>
          </w:p>
        </w:tc>
        <w:tc>
          <w:tcPr>
            <w:tcW w:w="2409" w:type="dxa"/>
            <w:vAlign w:val="center"/>
            <w:hideMark/>
          </w:tcPr>
          <w:p w14:paraId="6AD86008"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09E8F358" w14:textId="77777777" w:rsidR="006D362C" w:rsidRPr="003618E2" w:rsidRDefault="006D362C" w:rsidP="00D136BB">
            <w:pPr>
              <w:pStyle w:val="BodyText"/>
              <w:rPr>
                <w:sz w:val="20"/>
                <w:lang w:val="es-ES"/>
              </w:rPr>
            </w:pPr>
          </w:p>
        </w:tc>
      </w:tr>
      <w:tr w:rsidR="006D362C" w:rsidRPr="003618E2" w14:paraId="6A753CF6" w14:textId="77777777" w:rsidTr="00D136BB">
        <w:trPr>
          <w:jc w:val="center"/>
        </w:trPr>
        <w:tc>
          <w:tcPr>
            <w:tcW w:w="2109" w:type="dxa"/>
            <w:shd w:val="clear" w:color="auto" w:fill="FF81AB"/>
            <w:vAlign w:val="center"/>
            <w:hideMark/>
          </w:tcPr>
          <w:p w14:paraId="5A37B816" w14:textId="77777777" w:rsidR="006D362C" w:rsidRPr="003618E2" w:rsidRDefault="006D362C" w:rsidP="00D136BB">
            <w:pPr>
              <w:pStyle w:val="BodyText"/>
              <w:rPr>
                <w:sz w:val="20"/>
                <w:lang w:val="es-ES"/>
              </w:rPr>
            </w:pPr>
            <w:r w:rsidRPr="003618E2">
              <w:rPr>
                <w:sz w:val="20"/>
                <w:lang w:val="es-ES"/>
              </w:rPr>
              <w:t>Haití</w:t>
            </w:r>
          </w:p>
        </w:tc>
        <w:tc>
          <w:tcPr>
            <w:tcW w:w="2409" w:type="dxa"/>
            <w:vAlign w:val="center"/>
            <w:hideMark/>
          </w:tcPr>
          <w:p w14:paraId="269E0F11"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18B4C84F" w14:textId="77777777" w:rsidR="006D362C" w:rsidRPr="003618E2" w:rsidRDefault="006D362C" w:rsidP="00D136BB">
            <w:pPr>
              <w:pStyle w:val="BodyText"/>
              <w:rPr>
                <w:sz w:val="20"/>
                <w:lang w:val="es-ES"/>
              </w:rPr>
            </w:pPr>
          </w:p>
        </w:tc>
      </w:tr>
      <w:tr w:rsidR="006D362C" w:rsidRPr="003618E2" w14:paraId="7FCB8591" w14:textId="77777777" w:rsidTr="00D136BB">
        <w:trPr>
          <w:jc w:val="center"/>
        </w:trPr>
        <w:tc>
          <w:tcPr>
            <w:tcW w:w="2109" w:type="dxa"/>
            <w:shd w:val="clear" w:color="auto" w:fill="FF81AB"/>
            <w:vAlign w:val="center"/>
            <w:hideMark/>
          </w:tcPr>
          <w:p w14:paraId="2EB0A766" w14:textId="77777777" w:rsidR="006D362C" w:rsidRPr="003618E2" w:rsidRDefault="006D362C" w:rsidP="00D136BB">
            <w:pPr>
              <w:pStyle w:val="BodyText"/>
              <w:rPr>
                <w:sz w:val="20"/>
                <w:lang w:val="es-ES"/>
              </w:rPr>
            </w:pPr>
            <w:r w:rsidRPr="003618E2">
              <w:rPr>
                <w:sz w:val="20"/>
                <w:lang w:val="es-ES"/>
              </w:rPr>
              <w:t>México</w:t>
            </w:r>
          </w:p>
        </w:tc>
        <w:tc>
          <w:tcPr>
            <w:tcW w:w="2409" w:type="dxa"/>
            <w:vAlign w:val="center"/>
          </w:tcPr>
          <w:p w14:paraId="4A12BB76" w14:textId="77777777" w:rsidR="006D362C" w:rsidRPr="003618E2" w:rsidRDefault="006D362C" w:rsidP="00D136BB">
            <w:pPr>
              <w:pStyle w:val="BodyText"/>
              <w:rPr>
                <w:sz w:val="20"/>
                <w:lang w:val="es-ES"/>
              </w:rPr>
            </w:pPr>
          </w:p>
        </w:tc>
        <w:tc>
          <w:tcPr>
            <w:tcW w:w="1985" w:type="dxa"/>
            <w:vAlign w:val="center"/>
            <w:hideMark/>
          </w:tcPr>
          <w:p w14:paraId="4BAE7BAD" w14:textId="77777777" w:rsidR="006D362C" w:rsidRPr="003618E2" w:rsidRDefault="006D362C" w:rsidP="00D136BB">
            <w:pPr>
              <w:pStyle w:val="BodyText"/>
              <w:rPr>
                <w:sz w:val="20"/>
                <w:lang w:val="es-ES"/>
              </w:rPr>
            </w:pPr>
            <w:r w:rsidRPr="003618E2">
              <w:rPr>
                <w:sz w:val="20"/>
                <w:lang w:val="es-ES"/>
              </w:rPr>
              <w:t>X</w:t>
            </w:r>
          </w:p>
        </w:tc>
      </w:tr>
      <w:tr w:rsidR="006D362C" w:rsidRPr="003618E2" w14:paraId="3988618B" w14:textId="77777777" w:rsidTr="00D136BB">
        <w:trPr>
          <w:jc w:val="center"/>
        </w:trPr>
        <w:tc>
          <w:tcPr>
            <w:tcW w:w="2109" w:type="dxa"/>
            <w:shd w:val="clear" w:color="auto" w:fill="FF81AB"/>
            <w:vAlign w:val="center"/>
            <w:hideMark/>
          </w:tcPr>
          <w:p w14:paraId="3DD01731" w14:textId="77777777" w:rsidR="006D362C" w:rsidRPr="003618E2" w:rsidRDefault="006D362C" w:rsidP="00D136BB">
            <w:pPr>
              <w:pStyle w:val="BodyText"/>
              <w:rPr>
                <w:sz w:val="20"/>
                <w:lang w:val="es-ES"/>
              </w:rPr>
            </w:pPr>
            <w:r w:rsidRPr="003618E2">
              <w:rPr>
                <w:sz w:val="20"/>
                <w:lang w:val="es-ES"/>
              </w:rPr>
              <w:t>Paraguay</w:t>
            </w:r>
          </w:p>
        </w:tc>
        <w:tc>
          <w:tcPr>
            <w:tcW w:w="2409" w:type="dxa"/>
            <w:vAlign w:val="center"/>
            <w:hideMark/>
          </w:tcPr>
          <w:p w14:paraId="73169507"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446032C4" w14:textId="77777777" w:rsidR="006D362C" w:rsidRPr="003618E2" w:rsidRDefault="006D362C" w:rsidP="00D136BB">
            <w:pPr>
              <w:pStyle w:val="BodyText"/>
              <w:rPr>
                <w:sz w:val="20"/>
                <w:lang w:val="es-ES"/>
              </w:rPr>
            </w:pPr>
          </w:p>
        </w:tc>
      </w:tr>
      <w:tr w:rsidR="006D362C" w:rsidRPr="003618E2" w14:paraId="62D5C44C" w14:textId="77777777" w:rsidTr="00D136BB">
        <w:trPr>
          <w:jc w:val="center"/>
        </w:trPr>
        <w:tc>
          <w:tcPr>
            <w:tcW w:w="2109" w:type="dxa"/>
            <w:shd w:val="clear" w:color="auto" w:fill="FF81AB"/>
            <w:vAlign w:val="center"/>
            <w:hideMark/>
          </w:tcPr>
          <w:p w14:paraId="4012F141" w14:textId="77777777" w:rsidR="006D362C" w:rsidRPr="003618E2" w:rsidRDefault="006D362C" w:rsidP="00D136BB">
            <w:pPr>
              <w:pStyle w:val="BodyText"/>
              <w:rPr>
                <w:sz w:val="20"/>
                <w:lang w:val="es-ES"/>
              </w:rPr>
            </w:pPr>
            <w:r w:rsidRPr="003618E2">
              <w:rPr>
                <w:sz w:val="20"/>
                <w:lang w:val="es-ES"/>
              </w:rPr>
              <w:t>Perú</w:t>
            </w:r>
          </w:p>
        </w:tc>
        <w:tc>
          <w:tcPr>
            <w:tcW w:w="2409" w:type="dxa"/>
            <w:vAlign w:val="center"/>
          </w:tcPr>
          <w:p w14:paraId="31BE29B3" w14:textId="77777777" w:rsidR="006D362C" w:rsidRPr="003618E2" w:rsidRDefault="006D362C" w:rsidP="00D136BB">
            <w:pPr>
              <w:pStyle w:val="BodyText"/>
              <w:rPr>
                <w:sz w:val="20"/>
                <w:lang w:val="es-ES"/>
              </w:rPr>
            </w:pPr>
            <w:r w:rsidRPr="003618E2">
              <w:rPr>
                <w:sz w:val="20"/>
                <w:lang w:val="es-ES"/>
              </w:rPr>
              <w:t>X</w:t>
            </w:r>
          </w:p>
        </w:tc>
        <w:tc>
          <w:tcPr>
            <w:tcW w:w="1985" w:type="dxa"/>
            <w:vAlign w:val="center"/>
            <w:hideMark/>
          </w:tcPr>
          <w:p w14:paraId="67527EC2" w14:textId="77777777" w:rsidR="006D362C" w:rsidRPr="003618E2" w:rsidRDefault="006D362C" w:rsidP="00D136BB">
            <w:pPr>
              <w:pStyle w:val="BodyText"/>
              <w:rPr>
                <w:sz w:val="20"/>
                <w:lang w:val="es-ES"/>
              </w:rPr>
            </w:pPr>
          </w:p>
        </w:tc>
      </w:tr>
      <w:tr w:rsidR="006D362C" w:rsidRPr="003618E2" w14:paraId="0CF36264" w14:textId="77777777" w:rsidTr="00D136BB">
        <w:trPr>
          <w:jc w:val="center"/>
        </w:trPr>
        <w:tc>
          <w:tcPr>
            <w:tcW w:w="2109" w:type="dxa"/>
            <w:shd w:val="clear" w:color="auto" w:fill="FF81AB"/>
            <w:vAlign w:val="center"/>
            <w:hideMark/>
          </w:tcPr>
          <w:p w14:paraId="3DD8800F" w14:textId="77777777" w:rsidR="006D362C" w:rsidRPr="003618E2" w:rsidRDefault="006D362C" w:rsidP="00D136BB">
            <w:pPr>
              <w:pStyle w:val="BodyText"/>
              <w:rPr>
                <w:sz w:val="20"/>
                <w:lang w:val="es-ES"/>
              </w:rPr>
            </w:pPr>
            <w:r w:rsidRPr="003618E2">
              <w:rPr>
                <w:sz w:val="20"/>
                <w:lang w:val="es-ES"/>
              </w:rPr>
              <w:t>Uruguay</w:t>
            </w:r>
          </w:p>
        </w:tc>
        <w:tc>
          <w:tcPr>
            <w:tcW w:w="2409" w:type="dxa"/>
            <w:vAlign w:val="center"/>
            <w:hideMark/>
          </w:tcPr>
          <w:p w14:paraId="35B5A13B" w14:textId="77777777" w:rsidR="006D362C" w:rsidRPr="003618E2" w:rsidRDefault="006D362C" w:rsidP="00D136BB">
            <w:pPr>
              <w:pStyle w:val="BodyText"/>
              <w:rPr>
                <w:sz w:val="20"/>
                <w:lang w:val="es-ES"/>
              </w:rPr>
            </w:pPr>
            <w:r w:rsidRPr="003618E2">
              <w:rPr>
                <w:sz w:val="20"/>
                <w:lang w:val="es-ES"/>
              </w:rPr>
              <w:t>X</w:t>
            </w:r>
          </w:p>
        </w:tc>
        <w:tc>
          <w:tcPr>
            <w:tcW w:w="1985" w:type="dxa"/>
            <w:vAlign w:val="center"/>
          </w:tcPr>
          <w:p w14:paraId="13F72FD9" w14:textId="77777777" w:rsidR="006D362C" w:rsidRPr="003618E2" w:rsidRDefault="006D362C" w:rsidP="00D136BB">
            <w:pPr>
              <w:pStyle w:val="BodyText"/>
              <w:rPr>
                <w:sz w:val="20"/>
                <w:lang w:val="es-ES"/>
              </w:rPr>
            </w:pPr>
          </w:p>
        </w:tc>
      </w:tr>
      <w:tr w:rsidR="006D362C" w:rsidRPr="003618E2" w14:paraId="092790B8" w14:textId="77777777" w:rsidTr="00D136BB">
        <w:trPr>
          <w:jc w:val="center"/>
        </w:trPr>
        <w:tc>
          <w:tcPr>
            <w:tcW w:w="2109" w:type="dxa"/>
            <w:shd w:val="clear" w:color="auto" w:fill="FF81AB"/>
            <w:vAlign w:val="center"/>
            <w:hideMark/>
          </w:tcPr>
          <w:p w14:paraId="70123F89" w14:textId="77777777" w:rsidR="006D362C" w:rsidRPr="003618E2" w:rsidRDefault="006D362C" w:rsidP="00D136BB">
            <w:pPr>
              <w:pStyle w:val="BodyText"/>
              <w:rPr>
                <w:sz w:val="20"/>
                <w:lang w:val="es-ES"/>
              </w:rPr>
            </w:pPr>
            <w:r w:rsidRPr="003618E2">
              <w:rPr>
                <w:sz w:val="20"/>
                <w:lang w:val="es-ES"/>
              </w:rPr>
              <w:t>Venezuela</w:t>
            </w:r>
          </w:p>
        </w:tc>
        <w:tc>
          <w:tcPr>
            <w:tcW w:w="2409" w:type="dxa"/>
            <w:vAlign w:val="center"/>
          </w:tcPr>
          <w:p w14:paraId="071C673B" w14:textId="77777777" w:rsidR="006D362C" w:rsidRPr="003618E2" w:rsidRDefault="006D362C" w:rsidP="00D136BB">
            <w:pPr>
              <w:pStyle w:val="BodyText"/>
              <w:rPr>
                <w:sz w:val="20"/>
                <w:lang w:val="es-ES"/>
              </w:rPr>
            </w:pPr>
            <w:r w:rsidRPr="003618E2">
              <w:rPr>
                <w:sz w:val="20"/>
                <w:lang w:val="es-ES"/>
              </w:rPr>
              <w:t>X</w:t>
            </w:r>
          </w:p>
        </w:tc>
        <w:tc>
          <w:tcPr>
            <w:tcW w:w="1985" w:type="dxa"/>
            <w:vAlign w:val="center"/>
            <w:hideMark/>
          </w:tcPr>
          <w:p w14:paraId="67B0EAAB" w14:textId="77777777" w:rsidR="006D362C" w:rsidRPr="003618E2" w:rsidRDefault="006D362C" w:rsidP="00D136BB">
            <w:pPr>
              <w:pStyle w:val="BodyText"/>
              <w:rPr>
                <w:sz w:val="20"/>
                <w:lang w:val="es-ES"/>
              </w:rPr>
            </w:pPr>
          </w:p>
        </w:tc>
      </w:tr>
    </w:tbl>
    <w:p w14:paraId="4DE79A37" w14:textId="77777777" w:rsidR="006D362C" w:rsidRPr="003618E2" w:rsidRDefault="006D362C" w:rsidP="006D362C">
      <w:pPr>
        <w:pStyle w:val="BodyText"/>
        <w:rPr>
          <w:lang w:val="es-ES"/>
        </w:rPr>
      </w:pPr>
    </w:p>
    <w:p w14:paraId="491412BC" w14:textId="2BC49BE1" w:rsidR="006D362C" w:rsidRPr="003618E2" w:rsidRDefault="006D362C" w:rsidP="006D362C">
      <w:pPr>
        <w:pStyle w:val="BodyText"/>
        <w:rPr>
          <w:lang w:val="es-ES"/>
        </w:rPr>
      </w:pPr>
      <w:r w:rsidRPr="003618E2">
        <w:rPr>
          <w:lang w:val="es-ES"/>
        </w:rPr>
        <w:t>*Se</w:t>
      </w:r>
      <w:r w:rsidR="00D136BB">
        <w:rPr>
          <w:lang w:val="es-ES"/>
        </w:rPr>
        <w:t xml:space="preserve"> </w:t>
      </w:r>
      <w:r w:rsidRPr="003618E2">
        <w:rPr>
          <w:lang w:val="es-ES"/>
        </w:rPr>
        <w:t>prevé</w:t>
      </w:r>
      <w:r w:rsidR="00D136BB">
        <w:rPr>
          <w:lang w:val="es-ES"/>
        </w:rPr>
        <w:t xml:space="preserve"> </w:t>
      </w:r>
      <w:r w:rsidRPr="003618E2">
        <w:rPr>
          <w:lang w:val="es-ES"/>
        </w:rPr>
        <w:t>que</w:t>
      </w:r>
      <w:r w:rsidR="00D136BB">
        <w:rPr>
          <w:lang w:val="es-ES"/>
        </w:rPr>
        <w:t xml:space="preserve"> </w:t>
      </w:r>
      <w:r w:rsidRPr="003618E2">
        <w:rPr>
          <w:lang w:val="es-ES"/>
        </w:rPr>
        <w:t>para</w:t>
      </w:r>
      <w:r w:rsidR="00D136BB">
        <w:rPr>
          <w:lang w:val="es-ES"/>
        </w:rPr>
        <w:t xml:space="preserve"> </w:t>
      </w:r>
      <w:r w:rsidRPr="003618E2">
        <w:rPr>
          <w:lang w:val="es-ES"/>
        </w:rPr>
        <w:t>2021</w:t>
      </w:r>
      <w:r w:rsidR="00D136BB">
        <w:rPr>
          <w:lang w:val="es-ES"/>
        </w:rPr>
        <w:t xml:space="preserve"> </w:t>
      </w:r>
      <w:r w:rsidRPr="003618E2">
        <w:rPr>
          <w:lang w:val="es-ES"/>
        </w:rPr>
        <w:t>se</w:t>
      </w:r>
      <w:r w:rsidR="00D136BB">
        <w:rPr>
          <w:lang w:val="es-ES"/>
        </w:rPr>
        <w:t xml:space="preserve"> </w:t>
      </w:r>
      <w:r w:rsidRPr="003618E2">
        <w:rPr>
          <w:lang w:val="es-ES"/>
        </w:rPr>
        <w:t>contará</w:t>
      </w:r>
      <w:r w:rsidR="00D136BB">
        <w:rPr>
          <w:lang w:val="es-ES"/>
        </w:rPr>
        <w:t xml:space="preserve"> </w:t>
      </w:r>
      <w:r w:rsidRPr="003618E2">
        <w:rPr>
          <w:lang w:val="es-ES"/>
        </w:rPr>
        <w:t>con</w:t>
      </w:r>
      <w:r w:rsidR="00D136BB">
        <w:rPr>
          <w:lang w:val="es-ES"/>
        </w:rPr>
        <w:t xml:space="preserve"> </w:t>
      </w:r>
      <w:r w:rsidRPr="003618E2">
        <w:rPr>
          <w:lang w:val="es-ES"/>
        </w:rPr>
        <w:t>4</w:t>
      </w:r>
      <w:r w:rsidR="00D136BB">
        <w:rPr>
          <w:lang w:val="es-ES"/>
        </w:rPr>
        <w:t xml:space="preserve"> </w:t>
      </w:r>
      <w:r w:rsidRPr="003618E2">
        <w:rPr>
          <w:lang w:val="es-ES"/>
        </w:rPr>
        <w:t>países</w:t>
      </w:r>
      <w:r w:rsidR="00D136BB">
        <w:rPr>
          <w:lang w:val="es-ES"/>
        </w:rPr>
        <w:t xml:space="preserve"> </w:t>
      </w:r>
      <w:r w:rsidRPr="003618E2">
        <w:rPr>
          <w:lang w:val="es-ES"/>
        </w:rPr>
        <w:t>adicionales</w:t>
      </w:r>
      <w:r w:rsidR="00D136BB">
        <w:rPr>
          <w:lang w:val="es-ES"/>
        </w:rPr>
        <w:t xml:space="preserve"> </w:t>
      </w:r>
      <w:r w:rsidRPr="003618E2">
        <w:rPr>
          <w:lang w:val="es-ES"/>
        </w:rPr>
        <w:t>con</w:t>
      </w:r>
      <w:r w:rsidR="00D136BB">
        <w:rPr>
          <w:lang w:val="es-ES"/>
        </w:rPr>
        <w:t xml:space="preserve"> </w:t>
      </w:r>
      <w:r w:rsidRPr="003618E2">
        <w:rPr>
          <w:lang w:val="es-ES"/>
        </w:rPr>
        <w:t>nivel</w:t>
      </w:r>
      <w:r w:rsidR="00D136BB">
        <w:rPr>
          <w:lang w:val="es-ES"/>
        </w:rPr>
        <w:t xml:space="preserve"> </w:t>
      </w:r>
      <w:r w:rsidRPr="003618E2">
        <w:rPr>
          <w:lang w:val="es-ES"/>
        </w:rPr>
        <w:t>avanzado</w:t>
      </w:r>
      <w:r w:rsidR="00D136BB">
        <w:rPr>
          <w:lang w:val="es-ES"/>
        </w:rPr>
        <w:t xml:space="preserve"> </w:t>
      </w:r>
      <w:r w:rsidRPr="003618E2">
        <w:rPr>
          <w:lang w:val="es-ES"/>
        </w:rPr>
        <w:t>y</w:t>
      </w:r>
      <w:r w:rsidR="00D136BB">
        <w:rPr>
          <w:lang w:val="es-ES"/>
        </w:rPr>
        <w:t xml:space="preserve"> </w:t>
      </w:r>
      <w:r w:rsidRPr="003618E2">
        <w:rPr>
          <w:lang w:val="es-ES"/>
        </w:rPr>
        <w:t>con</w:t>
      </w:r>
      <w:r w:rsidR="00D136BB">
        <w:rPr>
          <w:lang w:val="es-ES"/>
        </w:rPr>
        <w:t xml:space="preserve"> </w:t>
      </w:r>
      <w:r w:rsidRPr="003618E2">
        <w:rPr>
          <w:lang w:val="es-ES"/>
        </w:rPr>
        <w:t>sistemas</w:t>
      </w:r>
      <w:r w:rsidR="00D136BB">
        <w:rPr>
          <w:lang w:val="es-ES"/>
        </w:rPr>
        <w:t xml:space="preserve"> </w:t>
      </w:r>
      <w:r w:rsidRPr="003618E2">
        <w:rPr>
          <w:lang w:val="es-ES"/>
        </w:rPr>
        <w:t>de</w:t>
      </w:r>
      <w:r w:rsidR="00D136BB">
        <w:rPr>
          <w:lang w:val="es-ES"/>
        </w:rPr>
        <w:t xml:space="preserve"> </w:t>
      </w:r>
      <w:r w:rsidRPr="003618E2">
        <w:rPr>
          <w:lang w:val="es-ES"/>
        </w:rPr>
        <w:t>certificación</w:t>
      </w:r>
      <w:r w:rsidR="00D136BB">
        <w:rPr>
          <w:lang w:val="es-ES"/>
        </w:rPr>
        <w:t xml:space="preserve"> </w:t>
      </w:r>
      <w:r w:rsidRPr="003618E2">
        <w:rPr>
          <w:lang w:val="es-ES"/>
        </w:rPr>
        <w:t>ISO9712:</w:t>
      </w:r>
      <w:r w:rsidR="00D136BB">
        <w:rPr>
          <w:lang w:val="es-ES"/>
        </w:rPr>
        <w:t xml:space="preserve"> </w:t>
      </w:r>
      <w:r w:rsidRPr="003618E2">
        <w:rPr>
          <w:lang w:val="es-ES"/>
        </w:rPr>
        <w:t>Chile,</w:t>
      </w:r>
      <w:r w:rsidR="00D136BB">
        <w:rPr>
          <w:lang w:val="es-ES"/>
        </w:rPr>
        <w:t xml:space="preserve"> </w:t>
      </w:r>
      <w:r w:rsidRPr="003618E2">
        <w:rPr>
          <w:lang w:val="es-ES"/>
        </w:rPr>
        <w:t>Costa</w:t>
      </w:r>
      <w:r w:rsidR="00D136BB">
        <w:rPr>
          <w:lang w:val="es-ES"/>
        </w:rPr>
        <w:t xml:space="preserve"> </w:t>
      </w:r>
      <w:r w:rsidRPr="003618E2">
        <w:rPr>
          <w:lang w:val="es-ES"/>
        </w:rPr>
        <w:t>Rica,</w:t>
      </w:r>
      <w:r w:rsidR="00D136BB">
        <w:rPr>
          <w:lang w:val="es-ES"/>
        </w:rPr>
        <w:t xml:space="preserve"> </w:t>
      </w:r>
      <w:r w:rsidRPr="003618E2">
        <w:rPr>
          <w:lang w:val="es-ES"/>
        </w:rPr>
        <w:t>Ecuador</w:t>
      </w:r>
      <w:r w:rsidR="00D136BB">
        <w:rPr>
          <w:lang w:val="es-ES"/>
        </w:rPr>
        <w:t xml:space="preserve"> </w:t>
      </w:r>
      <w:r w:rsidRPr="003618E2">
        <w:rPr>
          <w:lang w:val="es-ES"/>
        </w:rPr>
        <w:t>y</w:t>
      </w:r>
      <w:r w:rsidR="00D136BB">
        <w:rPr>
          <w:lang w:val="es-ES"/>
        </w:rPr>
        <w:t xml:space="preserve"> </w:t>
      </w:r>
      <w:r w:rsidRPr="003618E2">
        <w:rPr>
          <w:lang w:val="es-ES"/>
        </w:rPr>
        <w:t>Perú</w:t>
      </w:r>
    </w:p>
    <w:p w14:paraId="221F9F93" w14:textId="77777777" w:rsidR="006D362C" w:rsidRPr="003618E2" w:rsidRDefault="006D362C" w:rsidP="006D362C">
      <w:pPr>
        <w:pStyle w:val="BodyText"/>
        <w:rPr>
          <w:lang w:val="es-ES"/>
        </w:rPr>
      </w:pPr>
    </w:p>
    <w:p w14:paraId="323985BF" w14:textId="6FD45967" w:rsidR="006D362C" w:rsidRPr="003618E2" w:rsidRDefault="006D362C" w:rsidP="006D362C">
      <w:pPr>
        <w:pStyle w:val="BodyText"/>
        <w:rPr>
          <w:lang w:val="es-ES"/>
        </w:rPr>
      </w:pPr>
      <w:r w:rsidRPr="003618E2">
        <w:rPr>
          <w:lang w:val="es-ES"/>
        </w:rPr>
        <w:t>Con</w:t>
      </w:r>
      <w:r w:rsidR="00D136BB">
        <w:rPr>
          <w:lang w:val="es-ES"/>
        </w:rPr>
        <w:t xml:space="preserve"> </w:t>
      </w:r>
      <w:r w:rsidRPr="003618E2">
        <w:rPr>
          <w:lang w:val="es-ES"/>
        </w:rPr>
        <w:t>el</w:t>
      </w:r>
      <w:r w:rsidR="00D136BB">
        <w:rPr>
          <w:lang w:val="es-ES"/>
        </w:rPr>
        <w:t xml:space="preserve"> </w:t>
      </w:r>
      <w:r w:rsidRPr="003618E2">
        <w:rPr>
          <w:lang w:val="es-ES"/>
        </w:rPr>
        <w:t>proyecto</w:t>
      </w:r>
      <w:r w:rsidR="00D136BB">
        <w:rPr>
          <w:lang w:val="es-ES"/>
        </w:rPr>
        <w:t xml:space="preserve"> </w:t>
      </w:r>
      <w:r w:rsidRPr="003618E2">
        <w:rPr>
          <w:lang w:val="es-ES"/>
        </w:rPr>
        <w:t>RLA1014,</w:t>
      </w:r>
      <w:r w:rsidR="00D136BB">
        <w:rPr>
          <w:lang w:val="es-ES"/>
        </w:rPr>
        <w:t xml:space="preserve"> </w:t>
      </w:r>
      <w:r w:rsidRPr="003618E2">
        <w:rPr>
          <w:lang w:val="es-ES"/>
        </w:rPr>
        <w:t>se</w:t>
      </w:r>
      <w:r w:rsidR="00D136BB">
        <w:rPr>
          <w:lang w:val="es-ES"/>
        </w:rPr>
        <w:t xml:space="preserve"> </w:t>
      </w:r>
      <w:r w:rsidRPr="003618E2">
        <w:rPr>
          <w:lang w:val="es-ES"/>
        </w:rPr>
        <w:t>tiene</w:t>
      </w:r>
      <w:r w:rsidR="00D136BB">
        <w:rPr>
          <w:lang w:val="es-ES"/>
        </w:rPr>
        <w:t xml:space="preserve"> </w:t>
      </w:r>
      <w:r w:rsidRPr="003618E2">
        <w:rPr>
          <w:lang w:val="es-ES"/>
        </w:rPr>
        <w:t>como</w:t>
      </w:r>
      <w:r w:rsidR="00D136BB">
        <w:rPr>
          <w:lang w:val="es-ES"/>
        </w:rPr>
        <w:t xml:space="preserve"> </w:t>
      </w:r>
      <w:r w:rsidRPr="003618E2">
        <w:rPr>
          <w:lang w:val="es-ES"/>
        </w:rPr>
        <w:t>meta</w:t>
      </w:r>
      <w:r w:rsidR="00D136BB">
        <w:rPr>
          <w:lang w:val="es-ES"/>
        </w:rPr>
        <w:t xml:space="preserve"> </w:t>
      </w:r>
      <w:r w:rsidRPr="003618E2">
        <w:rPr>
          <w:lang w:val="es-ES"/>
        </w:rPr>
        <w:t>establecer</w:t>
      </w:r>
      <w:r w:rsidR="00D136BB">
        <w:rPr>
          <w:lang w:val="es-ES"/>
        </w:rPr>
        <w:t xml:space="preserve"> </w:t>
      </w:r>
      <w:r w:rsidRPr="003618E2">
        <w:rPr>
          <w:lang w:val="es-ES"/>
        </w:rPr>
        <w:t>4</w:t>
      </w:r>
      <w:r w:rsidR="00D136BB">
        <w:rPr>
          <w:lang w:val="es-ES"/>
        </w:rPr>
        <w:t xml:space="preserve"> </w:t>
      </w:r>
      <w:r w:rsidRPr="003618E2">
        <w:rPr>
          <w:lang w:val="es-ES"/>
        </w:rPr>
        <w:t>Centros</w:t>
      </w:r>
      <w:r w:rsidR="00D136BB">
        <w:rPr>
          <w:lang w:val="es-ES"/>
        </w:rPr>
        <w:t xml:space="preserve"> </w:t>
      </w:r>
      <w:r w:rsidRPr="003618E2">
        <w:rPr>
          <w:lang w:val="es-ES"/>
        </w:rPr>
        <w:t>de</w:t>
      </w:r>
      <w:r w:rsidR="00D136BB">
        <w:rPr>
          <w:lang w:val="es-ES"/>
        </w:rPr>
        <w:t xml:space="preserve"> </w:t>
      </w:r>
      <w:r w:rsidRPr="003618E2">
        <w:rPr>
          <w:lang w:val="es-ES"/>
        </w:rPr>
        <w:t>referencia</w:t>
      </w:r>
      <w:r w:rsidR="00D136BB">
        <w:rPr>
          <w:lang w:val="es-ES"/>
        </w:rPr>
        <w:t xml:space="preserve"> </w:t>
      </w:r>
      <w:r w:rsidRPr="003618E2">
        <w:rPr>
          <w:lang w:val="es-ES"/>
        </w:rPr>
        <w:t>en</w:t>
      </w:r>
      <w:r w:rsidR="00D136BB">
        <w:rPr>
          <w:lang w:val="es-ES"/>
        </w:rPr>
        <w:t xml:space="preserve"> </w:t>
      </w:r>
      <w:r w:rsidRPr="003618E2">
        <w:rPr>
          <w:lang w:val="es-ES"/>
        </w:rPr>
        <w:t>END</w:t>
      </w:r>
      <w:r w:rsidR="00D136BB">
        <w:rPr>
          <w:lang w:val="es-ES"/>
        </w:rPr>
        <w:t xml:space="preserve"> </w:t>
      </w:r>
      <w:r w:rsidRPr="003618E2">
        <w:rPr>
          <w:lang w:val="es-ES"/>
        </w:rPr>
        <w:t>(estructuras</w:t>
      </w:r>
      <w:r w:rsidR="00D136BB">
        <w:rPr>
          <w:lang w:val="es-ES"/>
        </w:rPr>
        <w:t xml:space="preserve"> </w:t>
      </w:r>
      <w:r w:rsidRPr="003618E2">
        <w:rPr>
          <w:lang w:val="es-ES"/>
        </w:rPr>
        <w:t>civiles)</w:t>
      </w:r>
      <w:r w:rsidR="00D136BB">
        <w:rPr>
          <w:lang w:val="es-ES"/>
        </w:rPr>
        <w:t xml:space="preserve"> </w:t>
      </w:r>
      <w:r w:rsidRPr="003618E2">
        <w:rPr>
          <w:lang w:val="es-ES"/>
        </w:rPr>
        <w:t>en</w:t>
      </w:r>
      <w:r w:rsidR="00D136BB">
        <w:rPr>
          <w:lang w:val="es-ES"/>
        </w:rPr>
        <w:t xml:space="preserve"> </w:t>
      </w:r>
      <w:r w:rsidRPr="003618E2">
        <w:rPr>
          <w:lang w:val="es-ES"/>
        </w:rPr>
        <w:t>Argentina,</w:t>
      </w:r>
      <w:r w:rsidR="00D136BB">
        <w:rPr>
          <w:lang w:val="es-ES"/>
        </w:rPr>
        <w:t xml:space="preserve"> </w:t>
      </w:r>
      <w:r w:rsidRPr="003618E2">
        <w:rPr>
          <w:lang w:val="es-ES"/>
        </w:rPr>
        <w:t>Chile,</w:t>
      </w:r>
      <w:r w:rsidR="00D136BB">
        <w:rPr>
          <w:lang w:val="es-ES"/>
        </w:rPr>
        <w:t xml:space="preserve"> </w:t>
      </w:r>
      <w:r w:rsidRPr="003618E2">
        <w:rPr>
          <w:lang w:val="es-ES"/>
        </w:rPr>
        <w:t>México</w:t>
      </w:r>
      <w:r w:rsidR="00D136BB">
        <w:rPr>
          <w:lang w:val="es-ES"/>
        </w:rPr>
        <w:t xml:space="preserve"> </w:t>
      </w:r>
      <w:r w:rsidRPr="003618E2">
        <w:rPr>
          <w:lang w:val="es-ES"/>
        </w:rPr>
        <w:t>y</w:t>
      </w:r>
      <w:r w:rsidR="00D136BB">
        <w:rPr>
          <w:lang w:val="es-ES"/>
        </w:rPr>
        <w:t xml:space="preserve"> </w:t>
      </w:r>
      <w:r w:rsidRPr="003618E2">
        <w:rPr>
          <w:lang w:val="es-ES"/>
        </w:rPr>
        <w:t>Perú,</w:t>
      </w:r>
      <w:r w:rsidR="00D136BB">
        <w:rPr>
          <w:lang w:val="es-ES"/>
        </w:rPr>
        <w:t xml:space="preserve"> </w:t>
      </w:r>
      <w:r w:rsidRPr="003618E2">
        <w:rPr>
          <w:lang w:val="es-ES"/>
        </w:rPr>
        <w:t>contando</w:t>
      </w:r>
      <w:r w:rsidR="00D136BB">
        <w:rPr>
          <w:lang w:val="es-ES"/>
        </w:rPr>
        <w:t xml:space="preserve"> </w:t>
      </w:r>
      <w:r w:rsidRPr="003618E2">
        <w:rPr>
          <w:lang w:val="es-ES"/>
        </w:rPr>
        <w:t>con</w:t>
      </w:r>
      <w:r w:rsidR="00D136BB">
        <w:rPr>
          <w:lang w:val="es-ES"/>
        </w:rPr>
        <w:t xml:space="preserve"> </w:t>
      </w:r>
      <w:r w:rsidRPr="003618E2">
        <w:rPr>
          <w:lang w:val="es-ES"/>
        </w:rPr>
        <w:t>equipo</w:t>
      </w:r>
      <w:r w:rsidR="00D136BB">
        <w:rPr>
          <w:lang w:val="es-ES"/>
        </w:rPr>
        <w:t xml:space="preserve"> </w:t>
      </w:r>
      <w:r w:rsidRPr="003618E2">
        <w:rPr>
          <w:lang w:val="es-ES"/>
        </w:rPr>
        <w:t>y</w:t>
      </w:r>
      <w:r w:rsidR="00D136BB">
        <w:rPr>
          <w:lang w:val="es-ES"/>
        </w:rPr>
        <w:t xml:space="preserve"> </w:t>
      </w:r>
      <w:r w:rsidRPr="003618E2">
        <w:rPr>
          <w:lang w:val="es-ES"/>
        </w:rPr>
        <w:t>personal</w:t>
      </w:r>
      <w:r w:rsidR="00D136BB">
        <w:rPr>
          <w:lang w:val="es-ES"/>
        </w:rPr>
        <w:t xml:space="preserve"> </w:t>
      </w:r>
      <w:r w:rsidRPr="003618E2">
        <w:rPr>
          <w:lang w:val="es-ES"/>
        </w:rPr>
        <w:t>calificado.</w:t>
      </w:r>
    </w:p>
    <w:p w14:paraId="63CCC4D4" w14:textId="77777777" w:rsidR="006D362C" w:rsidRDefault="006D362C" w:rsidP="006D362C">
      <w:pPr>
        <w:rPr>
          <w:rFonts w:ascii="Times New Roman" w:eastAsia="Times New Roman" w:hAnsi="Times New Roman" w:cs="Times New Roman"/>
          <w:sz w:val="24"/>
          <w:szCs w:val="20"/>
          <w:lang w:val="es-ES"/>
        </w:rPr>
      </w:pPr>
      <w:r>
        <w:rPr>
          <w:lang w:val="es-ES"/>
        </w:rPr>
        <w:br w:type="page"/>
      </w:r>
    </w:p>
    <w:p w14:paraId="41A7EE0E" w14:textId="6A847B97" w:rsidR="006D362C" w:rsidRPr="003618E2" w:rsidRDefault="006D362C" w:rsidP="006D362C">
      <w:pPr>
        <w:pStyle w:val="BodyText"/>
        <w:jc w:val="center"/>
        <w:rPr>
          <w:b/>
          <w:bCs/>
          <w:lang w:val="es-ES"/>
        </w:rPr>
      </w:pPr>
      <w:r w:rsidRPr="003618E2">
        <w:rPr>
          <w:b/>
          <w:bCs/>
          <w:lang w:val="es-ES"/>
        </w:rPr>
        <w:lastRenderedPageBreak/>
        <w:t>Tabla</w:t>
      </w:r>
      <w:r w:rsidR="00D136BB">
        <w:rPr>
          <w:b/>
          <w:bCs/>
          <w:lang w:val="es-ES"/>
        </w:rPr>
        <w:t xml:space="preserve"> </w:t>
      </w:r>
      <w:r w:rsidRPr="003618E2">
        <w:rPr>
          <w:b/>
          <w:bCs/>
          <w:lang w:val="es-ES"/>
        </w:rPr>
        <w:t>(d).</w:t>
      </w:r>
      <w:r w:rsidR="00D136BB">
        <w:rPr>
          <w:b/>
          <w:bCs/>
          <w:lang w:val="es-ES"/>
        </w:rPr>
        <w:t xml:space="preserve"> </w:t>
      </w:r>
      <w:r w:rsidRPr="003618E2">
        <w:rPr>
          <w:b/>
          <w:bCs/>
          <w:lang w:val="es-ES"/>
        </w:rPr>
        <w:t>Irradiadores</w:t>
      </w:r>
      <w:r w:rsidR="00D136BB">
        <w:rPr>
          <w:b/>
          <w:bCs/>
          <w:lang w:val="es-ES"/>
        </w:rPr>
        <w:t xml:space="preserve"> </w:t>
      </w:r>
      <w:r w:rsidRPr="003618E2">
        <w:rPr>
          <w:b/>
          <w:bCs/>
          <w:lang w:val="es-ES"/>
        </w:rPr>
        <w:t>gamma</w:t>
      </w:r>
      <w:r w:rsidR="00D136BB">
        <w:rPr>
          <w:b/>
          <w:bCs/>
          <w:lang w:val="es-ES"/>
        </w:rPr>
        <w:t xml:space="preserve"> </w:t>
      </w:r>
      <w:r w:rsidRPr="003618E2">
        <w:rPr>
          <w:b/>
          <w:bCs/>
          <w:lang w:val="es-ES"/>
        </w:rPr>
        <w:t>y</w:t>
      </w:r>
      <w:r w:rsidR="00D136BB">
        <w:rPr>
          <w:b/>
          <w:bCs/>
          <w:lang w:val="es-ES"/>
        </w:rPr>
        <w:t xml:space="preserve"> </w:t>
      </w:r>
      <w:r w:rsidRPr="003618E2">
        <w:rPr>
          <w:b/>
          <w:bCs/>
          <w:lang w:val="es-ES"/>
        </w:rPr>
        <w:t>aceleradores</w:t>
      </w:r>
      <w:r w:rsidR="00D136BB">
        <w:rPr>
          <w:b/>
          <w:bCs/>
          <w:lang w:val="es-ES"/>
        </w:rPr>
        <w:t xml:space="preserve"> </w:t>
      </w:r>
      <w:r w:rsidRPr="003618E2">
        <w:rPr>
          <w:b/>
          <w:bCs/>
          <w:lang w:val="es-ES"/>
        </w:rPr>
        <w:t>de</w:t>
      </w:r>
      <w:r w:rsidR="00D136BB">
        <w:rPr>
          <w:b/>
          <w:bCs/>
          <w:lang w:val="es-ES"/>
        </w:rPr>
        <w:t xml:space="preserve"> </w:t>
      </w:r>
      <w:r w:rsidRPr="003618E2">
        <w:rPr>
          <w:b/>
          <w:bCs/>
          <w:lang w:val="es-ES"/>
        </w:rPr>
        <w:t>haces</w:t>
      </w:r>
      <w:r w:rsidR="00D136BB">
        <w:rPr>
          <w:b/>
          <w:bCs/>
          <w:lang w:val="es-ES"/>
        </w:rPr>
        <w:t xml:space="preserve"> </w:t>
      </w:r>
      <w:r w:rsidRPr="003618E2">
        <w:rPr>
          <w:b/>
          <w:bCs/>
          <w:lang w:val="es-ES"/>
        </w:rPr>
        <w:t>de</w:t>
      </w:r>
      <w:r w:rsidR="00D136BB">
        <w:rPr>
          <w:b/>
          <w:bCs/>
          <w:lang w:val="es-ES"/>
        </w:rPr>
        <w:t xml:space="preserve"> </w:t>
      </w:r>
      <w:r w:rsidRPr="003618E2">
        <w:rPr>
          <w:b/>
          <w:bCs/>
          <w:lang w:val="es-ES"/>
        </w:rPr>
        <w:t>electrones</w:t>
      </w:r>
      <w:r w:rsidR="00D136BB">
        <w:rPr>
          <w:b/>
          <w:bCs/>
          <w:lang w:val="es-ES"/>
        </w:rPr>
        <w:t xml:space="preserve"> </w:t>
      </w:r>
      <w:r w:rsidRPr="003618E2">
        <w:rPr>
          <w:b/>
          <w:bCs/>
          <w:lang w:val="es-ES"/>
        </w:rPr>
        <w:t>en</w:t>
      </w:r>
      <w:r w:rsidR="00D136BB">
        <w:rPr>
          <w:b/>
          <w:bCs/>
          <w:lang w:val="es-ES"/>
        </w:rPr>
        <w:t xml:space="preserve"> </w:t>
      </w:r>
      <w:r w:rsidRPr="003618E2">
        <w:rPr>
          <w:b/>
          <w:bCs/>
          <w:lang w:val="es-ES"/>
        </w:rPr>
        <w:t>América</w:t>
      </w:r>
      <w:r w:rsidR="00D136BB">
        <w:rPr>
          <w:b/>
          <w:bCs/>
          <w:lang w:val="es-ES"/>
        </w:rPr>
        <w:t xml:space="preserve"> </w:t>
      </w:r>
      <w:r w:rsidRPr="003618E2">
        <w:rPr>
          <w:b/>
          <w:bCs/>
          <w:lang w:val="es-ES"/>
        </w:rPr>
        <w:t>Latina.</w:t>
      </w:r>
    </w:p>
    <w:tbl>
      <w:tblPr>
        <w:tblW w:w="9357" w:type="dxa"/>
        <w:jc w:val="center"/>
        <w:tblLayout w:type="fixed"/>
        <w:tblCellMar>
          <w:left w:w="70" w:type="dxa"/>
          <w:right w:w="70" w:type="dxa"/>
        </w:tblCellMar>
        <w:tblLook w:val="04A0" w:firstRow="1" w:lastRow="0" w:firstColumn="1" w:lastColumn="0" w:noHBand="0" w:noVBand="1"/>
      </w:tblPr>
      <w:tblGrid>
        <w:gridCol w:w="1272"/>
        <w:gridCol w:w="1701"/>
        <w:gridCol w:w="1418"/>
        <w:gridCol w:w="1561"/>
        <w:gridCol w:w="1137"/>
        <w:gridCol w:w="1134"/>
        <w:gridCol w:w="1134"/>
      </w:tblGrid>
      <w:tr w:rsidR="006D362C" w:rsidRPr="003618E2" w14:paraId="072F8A47" w14:textId="77777777" w:rsidTr="00D136BB">
        <w:trPr>
          <w:trHeight w:val="567"/>
          <w:jc w:val="center"/>
        </w:trPr>
        <w:tc>
          <w:tcPr>
            <w:tcW w:w="1272" w:type="dxa"/>
            <w:tcBorders>
              <w:top w:val="double" w:sz="4" w:space="0" w:color="auto"/>
              <w:left w:val="double" w:sz="4" w:space="0" w:color="auto"/>
              <w:bottom w:val="double" w:sz="4" w:space="0" w:color="auto"/>
              <w:right w:val="single" w:sz="4" w:space="0" w:color="auto"/>
            </w:tcBorders>
            <w:shd w:val="clear" w:color="auto" w:fill="FF81AB"/>
            <w:vAlign w:val="center"/>
            <w:hideMark/>
          </w:tcPr>
          <w:p w14:paraId="62645E49" w14:textId="77777777" w:rsidR="006D362C" w:rsidRPr="003618E2" w:rsidRDefault="006D362C" w:rsidP="00D136BB">
            <w:pPr>
              <w:pStyle w:val="BodyText"/>
              <w:rPr>
                <w:b/>
                <w:bCs/>
                <w:sz w:val="20"/>
                <w:lang w:val="es-ES"/>
              </w:rPr>
            </w:pPr>
            <w:r w:rsidRPr="003618E2">
              <w:rPr>
                <w:b/>
                <w:bCs/>
                <w:sz w:val="20"/>
                <w:lang w:val="es-ES"/>
              </w:rPr>
              <w:t>País</w:t>
            </w:r>
          </w:p>
        </w:tc>
        <w:tc>
          <w:tcPr>
            <w:tcW w:w="1701" w:type="dxa"/>
            <w:tcBorders>
              <w:top w:val="double" w:sz="4" w:space="0" w:color="auto"/>
              <w:left w:val="nil"/>
              <w:bottom w:val="double" w:sz="4" w:space="0" w:color="auto"/>
              <w:right w:val="single" w:sz="4" w:space="0" w:color="auto"/>
            </w:tcBorders>
            <w:shd w:val="clear" w:color="auto" w:fill="FF81AB"/>
            <w:vAlign w:val="center"/>
            <w:hideMark/>
          </w:tcPr>
          <w:p w14:paraId="3F81F022" w14:textId="4414E48C" w:rsidR="006D362C" w:rsidRPr="003618E2" w:rsidRDefault="006D362C" w:rsidP="00D136BB">
            <w:pPr>
              <w:pStyle w:val="BodyText"/>
              <w:rPr>
                <w:b/>
                <w:bCs/>
                <w:sz w:val="20"/>
                <w:lang w:val="es-ES"/>
              </w:rPr>
            </w:pPr>
            <w:r w:rsidRPr="003618E2">
              <w:rPr>
                <w:b/>
                <w:bCs/>
                <w:sz w:val="20"/>
                <w:lang w:val="es-ES"/>
              </w:rPr>
              <w:t>Tipo</w:t>
            </w:r>
            <w:r w:rsidR="00D136BB">
              <w:rPr>
                <w:b/>
                <w:bCs/>
                <w:sz w:val="20"/>
                <w:lang w:val="es-ES"/>
              </w:rPr>
              <w:t xml:space="preserve"> </w:t>
            </w:r>
            <w:r w:rsidRPr="003618E2">
              <w:rPr>
                <w:b/>
                <w:bCs/>
                <w:sz w:val="20"/>
                <w:lang w:val="es-ES"/>
              </w:rPr>
              <w:t>de</w:t>
            </w:r>
            <w:r w:rsidR="00D136BB">
              <w:rPr>
                <w:b/>
                <w:bCs/>
                <w:sz w:val="20"/>
                <w:lang w:val="es-ES"/>
              </w:rPr>
              <w:t xml:space="preserve"> </w:t>
            </w:r>
            <w:r w:rsidRPr="003618E2">
              <w:rPr>
                <w:b/>
                <w:bCs/>
                <w:sz w:val="20"/>
                <w:lang w:val="es-ES"/>
              </w:rPr>
              <w:t>instalación</w:t>
            </w:r>
          </w:p>
        </w:tc>
        <w:tc>
          <w:tcPr>
            <w:tcW w:w="1418" w:type="dxa"/>
            <w:tcBorders>
              <w:top w:val="double" w:sz="4" w:space="0" w:color="auto"/>
              <w:left w:val="nil"/>
              <w:bottom w:val="double" w:sz="4" w:space="0" w:color="auto"/>
              <w:right w:val="single" w:sz="4" w:space="0" w:color="auto"/>
            </w:tcBorders>
            <w:shd w:val="clear" w:color="auto" w:fill="FF81AB"/>
            <w:vAlign w:val="center"/>
            <w:hideMark/>
          </w:tcPr>
          <w:p w14:paraId="76E62B7B" w14:textId="77777777" w:rsidR="006D362C" w:rsidRPr="003618E2" w:rsidRDefault="006D362C" w:rsidP="00D136BB">
            <w:pPr>
              <w:pStyle w:val="BodyText"/>
              <w:rPr>
                <w:b/>
                <w:bCs/>
                <w:sz w:val="20"/>
                <w:lang w:val="es-ES"/>
              </w:rPr>
            </w:pPr>
            <w:r w:rsidRPr="003618E2">
              <w:rPr>
                <w:b/>
                <w:bCs/>
                <w:sz w:val="20"/>
                <w:lang w:val="es-ES"/>
              </w:rPr>
              <w:t>Uso</w:t>
            </w:r>
          </w:p>
        </w:tc>
        <w:tc>
          <w:tcPr>
            <w:tcW w:w="1561" w:type="dxa"/>
            <w:tcBorders>
              <w:top w:val="double" w:sz="4" w:space="0" w:color="auto"/>
              <w:left w:val="nil"/>
              <w:bottom w:val="double" w:sz="4" w:space="0" w:color="auto"/>
              <w:right w:val="single" w:sz="4" w:space="0" w:color="auto"/>
            </w:tcBorders>
            <w:shd w:val="clear" w:color="auto" w:fill="FF81AB"/>
            <w:vAlign w:val="center"/>
            <w:hideMark/>
          </w:tcPr>
          <w:p w14:paraId="771EF36F" w14:textId="3051D1B7" w:rsidR="006D362C" w:rsidRPr="003618E2" w:rsidRDefault="006D362C" w:rsidP="00D136BB">
            <w:pPr>
              <w:pStyle w:val="BodyText"/>
              <w:rPr>
                <w:b/>
                <w:bCs/>
                <w:sz w:val="20"/>
                <w:lang w:val="es-ES"/>
              </w:rPr>
            </w:pPr>
            <w:r w:rsidRPr="003618E2">
              <w:rPr>
                <w:b/>
                <w:bCs/>
                <w:sz w:val="20"/>
                <w:lang w:val="es-ES"/>
              </w:rPr>
              <w:t>Dosímetro</w:t>
            </w:r>
            <w:r w:rsidR="00D136BB">
              <w:rPr>
                <w:b/>
                <w:bCs/>
                <w:sz w:val="20"/>
                <w:lang w:val="es-ES"/>
              </w:rPr>
              <w:t xml:space="preserve"> </w:t>
            </w:r>
            <w:r w:rsidRPr="003618E2">
              <w:rPr>
                <w:b/>
                <w:bCs/>
                <w:sz w:val="20"/>
                <w:lang w:val="es-ES"/>
              </w:rPr>
              <w:t>de</w:t>
            </w:r>
            <w:r w:rsidR="00D136BB">
              <w:rPr>
                <w:b/>
                <w:bCs/>
                <w:sz w:val="20"/>
                <w:lang w:val="es-ES"/>
              </w:rPr>
              <w:t xml:space="preserve"> </w:t>
            </w:r>
            <w:r w:rsidRPr="003618E2">
              <w:rPr>
                <w:b/>
                <w:bCs/>
                <w:sz w:val="20"/>
                <w:lang w:val="es-ES"/>
              </w:rPr>
              <w:t>rutina</w:t>
            </w:r>
          </w:p>
        </w:tc>
        <w:tc>
          <w:tcPr>
            <w:tcW w:w="1137" w:type="dxa"/>
            <w:tcBorders>
              <w:top w:val="double" w:sz="4" w:space="0" w:color="auto"/>
              <w:left w:val="nil"/>
              <w:bottom w:val="double" w:sz="4" w:space="0" w:color="auto"/>
              <w:right w:val="single" w:sz="4" w:space="0" w:color="auto"/>
            </w:tcBorders>
            <w:shd w:val="clear" w:color="auto" w:fill="FF81AB"/>
            <w:vAlign w:val="center"/>
            <w:hideMark/>
          </w:tcPr>
          <w:p w14:paraId="796DDCEF" w14:textId="30DCDD37" w:rsidR="006D362C" w:rsidRPr="003618E2" w:rsidRDefault="006D362C" w:rsidP="00D136BB">
            <w:pPr>
              <w:pStyle w:val="BodyText"/>
              <w:rPr>
                <w:b/>
                <w:bCs/>
                <w:sz w:val="20"/>
                <w:lang w:val="es-ES"/>
              </w:rPr>
            </w:pPr>
            <w:r w:rsidRPr="003618E2">
              <w:rPr>
                <w:b/>
                <w:bCs/>
                <w:sz w:val="20"/>
                <w:lang w:val="es-ES"/>
              </w:rPr>
              <w:t>Dosímetro</w:t>
            </w:r>
            <w:r w:rsidR="00D136BB">
              <w:rPr>
                <w:b/>
                <w:bCs/>
                <w:sz w:val="20"/>
                <w:lang w:val="es-ES"/>
              </w:rPr>
              <w:t xml:space="preserve"> </w:t>
            </w:r>
            <w:r w:rsidRPr="003618E2">
              <w:rPr>
                <w:b/>
                <w:bCs/>
                <w:sz w:val="20"/>
                <w:lang w:val="es-ES"/>
              </w:rPr>
              <w:t>de</w:t>
            </w:r>
            <w:r w:rsidR="00D136BB">
              <w:rPr>
                <w:b/>
                <w:bCs/>
                <w:sz w:val="20"/>
                <w:lang w:val="es-ES"/>
              </w:rPr>
              <w:t xml:space="preserve"> </w:t>
            </w:r>
            <w:r w:rsidRPr="003618E2">
              <w:rPr>
                <w:b/>
                <w:bCs/>
                <w:sz w:val="20"/>
                <w:lang w:val="es-ES"/>
              </w:rPr>
              <w:t>referencia</w:t>
            </w:r>
          </w:p>
        </w:tc>
        <w:tc>
          <w:tcPr>
            <w:tcW w:w="1134" w:type="dxa"/>
            <w:tcBorders>
              <w:top w:val="double" w:sz="4" w:space="0" w:color="auto"/>
              <w:left w:val="nil"/>
              <w:bottom w:val="double" w:sz="4" w:space="0" w:color="auto"/>
              <w:right w:val="single" w:sz="4" w:space="0" w:color="auto"/>
            </w:tcBorders>
            <w:shd w:val="clear" w:color="auto" w:fill="FF81AB"/>
            <w:vAlign w:val="center"/>
            <w:hideMark/>
          </w:tcPr>
          <w:p w14:paraId="06C1C785" w14:textId="590C11BF" w:rsidR="006D362C" w:rsidRPr="003618E2" w:rsidRDefault="006D362C" w:rsidP="00D136BB">
            <w:pPr>
              <w:pStyle w:val="BodyText"/>
              <w:rPr>
                <w:b/>
                <w:bCs/>
                <w:sz w:val="20"/>
                <w:lang w:val="es-ES"/>
              </w:rPr>
            </w:pPr>
            <w:r w:rsidRPr="003618E2">
              <w:rPr>
                <w:b/>
                <w:bCs/>
                <w:sz w:val="20"/>
                <w:lang w:val="es-ES"/>
              </w:rPr>
              <w:t>Capacidad</w:t>
            </w:r>
            <w:r w:rsidR="00D136BB">
              <w:rPr>
                <w:b/>
                <w:bCs/>
                <w:sz w:val="20"/>
                <w:lang w:val="es-ES"/>
              </w:rPr>
              <w:t xml:space="preserve"> </w:t>
            </w:r>
            <w:r w:rsidRPr="003618E2">
              <w:rPr>
                <w:b/>
                <w:bCs/>
                <w:sz w:val="20"/>
                <w:lang w:val="es-ES"/>
              </w:rPr>
              <w:t>de</w:t>
            </w:r>
            <w:r w:rsidR="00D136BB">
              <w:rPr>
                <w:b/>
                <w:bCs/>
                <w:sz w:val="20"/>
                <w:lang w:val="es-ES"/>
              </w:rPr>
              <w:t xml:space="preserve"> </w:t>
            </w:r>
            <w:r w:rsidRPr="003618E2">
              <w:rPr>
                <w:b/>
                <w:bCs/>
                <w:sz w:val="20"/>
                <w:lang w:val="es-ES"/>
              </w:rPr>
              <w:t>calibra-</w:t>
            </w:r>
          </w:p>
          <w:p w14:paraId="530FF52F" w14:textId="77777777" w:rsidR="006D362C" w:rsidRPr="003618E2" w:rsidRDefault="006D362C" w:rsidP="00D136BB">
            <w:pPr>
              <w:pStyle w:val="BodyText"/>
              <w:rPr>
                <w:b/>
                <w:bCs/>
                <w:sz w:val="20"/>
                <w:lang w:val="es-ES"/>
              </w:rPr>
            </w:pPr>
            <w:r w:rsidRPr="003618E2">
              <w:rPr>
                <w:b/>
                <w:bCs/>
                <w:sz w:val="20"/>
                <w:lang w:val="es-ES"/>
              </w:rPr>
              <w:t>ción</w:t>
            </w:r>
          </w:p>
        </w:tc>
        <w:tc>
          <w:tcPr>
            <w:tcW w:w="1134" w:type="dxa"/>
            <w:tcBorders>
              <w:top w:val="double" w:sz="4" w:space="0" w:color="auto"/>
              <w:left w:val="nil"/>
              <w:bottom w:val="double" w:sz="4" w:space="0" w:color="auto"/>
              <w:right w:val="double" w:sz="4" w:space="0" w:color="auto"/>
            </w:tcBorders>
            <w:shd w:val="clear" w:color="auto" w:fill="FF81AB"/>
            <w:vAlign w:val="center"/>
            <w:hideMark/>
          </w:tcPr>
          <w:p w14:paraId="263DEAEF" w14:textId="77777777" w:rsidR="006D362C" w:rsidRPr="003618E2" w:rsidRDefault="006D362C" w:rsidP="00D136BB">
            <w:pPr>
              <w:pStyle w:val="BodyText"/>
              <w:rPr>
                <w:b/>
                <w:bCs/>
                <w:sz w:val="20"/>
                <w:lang w:val="es-ES"/>
              </w:rPr>
            </w:pPr>
            <w:r w:rsidRPr="003618E2">
              <w:rPr>
                <w:b/>
                <w:bCs/>
                <w:sz w:val="20"/>
                <w:lang w:val="es-ES"/>
              </w:rPr>
              <w:t>Certifica-</w:t>
            </w:r>
          </w:p>
          <w:p w14:paraId="306AAB04" w14:textId="25CC1218" w:rsidR="006D362C" w:rsidRPr="003618E2" w:rsidRDefault="006D362C" w:rsidP="00D136BB">
            <w:pPr>
              <w:pStyle w:val="BodyText"/>
              <w:rPr>
                <w:b/>
                <w:bCs/>
                <w:sz w:val="20"/>
                <w:lang w:val="es-ES"/>
              </w:rPr>
            </w:pPr>
            <w:r w:rsidRPr="003618E2">
              <w:rPr>
                <w:b/>
                <w:bCs/>
                <w:sz w:val="20"/>
                <w:lang w:val="es-ES"/>
              </w:rPr>
              <w:t>ción</w:t>
            </w:r>
            <w:r w:rsidR="00D136BB">
              <w:rPr>
                <w:b/>
                <w:bCs/>
                <w:sz w:val="20"/>
                <w:lang w:val="es-ES"/>
              </w:rPr>
              <w:t xml:space="preserve"> </w:t>
            </w:r>
            <w:r w:rsidRPr="003618E2">
              <w:rPr>
                <w:b/>
                <w:bCs/>
                <w:sz w:val="20"/>
                <w:lang w:val="es-ES"/>
              </w:rPr>
              <w:t>ISO</w:t>
            </w:r>
          </w:p>
        </w:tc>
      </w:tr>
      <w:tr w:rsidR="006D362C" w:rsidRPr="003618E2" w14:paraId="58A40139" w14:textId="77777777" w:rsidTr="00D136BB">
        <w:trPr>
          <w:trHeight w:val="765"/>
          <w:jc w:val="center"/>
        </w:trPr>
        <w:tc>
          <w:tcPr>
            <w:tcW w:w="1272" w:type="dxa"/>
            <w:vMerge w:val="restart"/>
            <w:tcBorders>
              <w:top w:val="double" w:sz="4" w:space="0" w:color="auto"/>
              <w:left w:val="double" w:sz="4" w:space="0" w:color="auto"/>
              <w:right w:val="single" w:sz="4" w:space="0" w:color="auto"/>
            </w:tcBorders>
            <w:shd w:val="clear" w:color="auto" w:fill="FF81AB"/>
            <w:vAlign w:val="center"/>
            <w:hideMark/>
          </w:tcPr>
          <w:p w14:paraId="45D886C1" w14:textId="77777777" w:rsidR="006D362C" w:rsidRPr="003618E2" w:rsidRDefault="006D362C" w:rsidP="00D136BB">
            <w:pPr>
              <w:pStyle w:val="BodyText"/>
              <w:rPr>
                <w:b/>
                <w:sz w:val="20"/>
                <w:lang w:val="es-ES"/>
              </w:rPr>
            </w:pPr>
            <w:r w:rsidRPr="003618E2">
              <w:rPr>
                <w:b/>
                <w:sz w:val="20"/>
                <w:lang w:val="es-ES"/>
              </w:rPr>
              <w:t>Argentina</w:t>
            </w:r>
          </w:p>
        </w:tc>
        <w:tc>
          <w:tcPr>
            <w:tcW w:w="1701" w:type="dxa"/>
            <w:tcBorders>
              <w:top w:val="double" w:sz="4" w:space="0" w:color="auto"/>
              <w:left w:val="single" w:sz="4" w:space="0" w:color="auto"/>
              <w:bottom w:val="single" w:sz="4" w:space="0" w:color="auto"/>
              <w:right w:val="single" w:sz="4" w:space="0" w:color="auto"/>
            </w:tcBorders>
            <w:vAlign w:val="center"/>
            <w:hideMark/>
          </w:tcPr>
          <w:p w14:paraId="1EB68676" w14:textId="7C74C479" w:rsidR="006D362C" w:rsidRPr="003618E2" w:rsidRDefault="006D362C" w:rsidP="00D136BB">
            <w:pPr>
              <w:pStyle w:val="BodyText"/>
              <w:rPr>
                <w:sz w:val="20"/>
                <w:lang w:val="es-MX"/>
              </w:rPr>
            </w:pPr>
            <w:r w:rsidRPr="003618E2">
              <w:rPr>
                <w:sz w:val="20"/>
                <w:lang w:val="es-MX"/>
              </w:rPr>
              <w:t>Planta</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Co-60,</w:t>
            </w:r>
            <w:r w:rsidR="00D136BB">
              <w:rPr>
                <w:sz w:val="20"/>
                <w:lang w:val="es-MX"/>
              </w:rPr>
              <w:t xml:space="preserve"> </w:t>
            </w:r>
            <w:r w:rsidRPr="003618E2">
              <w:rPr>
                <w:sz w:val="20"/>
                <w:lang w:val="es-MX"/>
              </w:rPr>
              <w:t>CNEA.</w:t>
            </w:r>
            <w:r w:rsidR="00D136BB">
              <w:rPr>
                <w:sz w:val="20"/>
                <w:lang w:val="es-MX"/>
              </w:rPr>
              <w:t xml:space="preserve"> </w:t>
            </w:r>
            <w:r w:rsidRPr="003618E2">
              <w:rPr>
                <w:sz w:val="20"/>
                <w:lang w:val="es-MX"/>
              </w:rPr>
              <w:t>Actividad</w:t>
            </w:r>
            <w:r w:rsidR="00D136BB">
              <w:rPr>
                <w:sz w:val="20"/>
                <w:lang w:val="es-MX"/>
              </w:rPr>
              <w:t xml:space="preserve"> </w:t>
            </w:r>
            <w:r w:rsidRPr="003618E2">
              <w:rPr>
                <w:sz w:val="20"/>
                <w:lang w:val="es-MX"/>
              </w:rPr>
              <w:t>actual</w:t>
            </w:r>
            <w:r w:rsidR="00D136BB">
              <w:rPr>
                <w:sz w:val="20"/>
                <w:lang w:val="es-MX"/>
              </w:rPr>
              <w:t xml:space="preserve"> </w:t>
            </w:r>
            <w:r w:rsidRPr="003618E2">
              <w:rPr>
                <w:sz w:val="20"/>
                <w:lang w:val="es-MX"/>
              </w:rPr>
              <w:t>600</w:t>
            </w:r>
            <w:r w:rsidR="00D136BB">
              <w:rPr>
                <w:sz w:val="20"/>
                <w:lang w:val="es-MX"/>
              </w:rPr>
              <w:t xml:space="preserve"> </w:t>
            </w:r>
            <w:r w:rsidRPr="003618E2">
              <w:rPr>
                <w:sz w:val="20"/>
                <w:lang w:val="es-MX"/>
              </w:rPr>
              <w:t>kCi</w:t>
            </w:r>
          </w:p>
        </w:tc>
        <w:tc>
          <w:tcPr>
            <w:tcW w:w="1418" w:type="dxa"/>
            <w:tcBorders>
              <w:top w:val="double" w:sz="4" w:space="0" w:color="auto"/>
              <w:left w:val="single" w:sz="4" w:space="0" w:color="auto"/>
              <w:bottom w:val="single" w:sz="4" w:space="0" w:color="auto"/>
              <w:right w:val="single" w:sz="4" w:space="0" w:color="auto"/>
            </w:tcBorders>
            <w:vAlign w:val="center"/>
            <w:hideMark/>
          </w:tcPr>
          <w:p w14:paraId="5B51295E" w14:textId="48BDDE70"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desarrollo</w:t>
            </w:r>
          </w:p>
        </w:tc>
        <w:tc>
          <w:tcPr>
            <w:tcW w:w="1561" w:type="dxa"/>
            <w:tcBorders>
              <w:top w:val="double" w:sz="4" w:space="0" w:color="auto"/>
              <w:left w:val="single" w:sz="4" w:space="0" w:color="auto"/>
              <w:bottom w:val="single" w:sz="4" w:space="0" w:color="auto"/>
              <w:right w:val="single" w:sz="4" w:space="0" w:color="auto"/>
            </w:tcBorders>
            <w:vAlign w:val="center"/>
            <w:hideMark/>
          </w:tcPr>
          <w:p w14:paraId="53ACE672" w14:textId="77777777" w:rsidR="006D362C" w:rsidRPr="003618E2" w:rsidRDefault="006D362C" w:rsidP="00D136BB">
            <w:pPr>
              <w:pStyle w:val="BodyText"/>
              <w:rPr>
                <w:sz w:val="20"/>
                <w:lang w:val="es-MX"/>
              </w:rPr>
            </w:pPr>
            <w:r w:rsidRPr="003618E2">
              <w:rPr>
                <w:sz w:val="20"/>
                <w:lang w:val="es-MX"/>
              </w:rPr>
              <w:t>PMMA</w:t>
            </w:r>
          </w:p>
        </w:tc>
        <w:tc>
          <w:tcPr>
            <w:tcW w:w="1137" w:type="dxa"/>
            <w:tcBorders>
              <w:top w:val="double" w:sz="4" w:space="0" w:color="auto"/>
              <w:left w:val="single" w:sz="4" w:space="0" w:color="auto"/>
              <w:bottom w:val="single" w:sz="4" w:space="0" w:color="auto"/>
              <w:right w:val="single" w:sz="4" w:space="0" w:color="auto"/>
            </w:tcBorders>
            <w:vAlign w:val="center"/>
            <w:hideMark/>
          </w:tcPr>
          <w:p w14:paraId="2B118173" w14:textId="3E12B428" w:rsidR="006D362C" w:rsidRPr="003618E2" w:rsidRDefault="006D362C" w:rsidP="00D136BB">
            <w:pPr>
              <w:pStyle w:val="BodyText"/>
              <w:rPr>
                <w:sz w:val="20"/>
                <w:lang w:val="es-MX"/>
              </w:rPr>
            </w:pPr>
            <w:r w:rsidRPr="003618E2">
              <w:rPr>
                <w:sz w:val="20"/>
                <w:lang w:val="es-MX"/>
              </w:rPr>
              <w:t>Fricke,</w:t>
            </w:r>
            <w:r w:rsidR="00D136BB">
              <w:rPr>
                <w:sz w:val="20"/>
                <w:lang w:val="es-MX"/>
              </w:rPr>
              <w:t xml:space="preserve"> </w:t>
            </w:r>
            <w:r w:rsidRPr="003618E2">
              <w:rPr>
                <w:sz w:val="20"/>
                <w:lang w:val="es-MX"/>
              </w:rPr>
              <w:t>Alanina,</w:t>
            </w:r>
            <w:r w:rsidR="00D136BB">
              <w:rPr>
                <w:sz w:val="20"/>
                <w:lang w:val="es-MX"/>
              </w:rPr>
              <w:t xml:space="preserve"> </w:t>
            </w:r>
            <w:r w:rsidRPr="003618E2">
              <w:rPr>
                <w:sz w:val="20"/>
                <w:lang w:val="es-MX"/>
              </w:rPr>
              <w:t>Dicromato</w:t>
            </w:r>
          </w:p>
        </w:tc>
        <w:tc>
          <w:tcPr>
            <w:tcW w:w="1134" w:type="dxa"/>
            <w:tcBorders>
              <w:top w:val="double" w:sz="4" w:space="0" w:color="auto"/>
              <w:left w:val="single" w:sz="4" w:space="0" w:color="auto"/>
              <w:bottom w:val="single" w:sz="4" w:space="0" w:color="auto"/>
              <w:right w:val="single" w:sz="4" w:space="0" w:color="auto"/>
            </w:tcBorders>
            <w:vAlign w:val="center"/>
            <w:hideMark/>
          </w:tcPr>
          <w:p w14:paraId="599FF10B" w14:textId="77777777" w:rsidR="006D362C" w:rsidRPr="003618E2" w:rsidRDefault="006D362C" w:rsidP="00D136BB">
            <w:pPr>
              <w:pStyle w:val="BodyText"/>
              <w:rPr>
                <w:sz w:val="20"/>
                <w:lang w:val="es-MX"/>
              </w:rPr>
            </w:pPr>
            <w:r w:rsidRPr="003618E2">
              <w:rPr>
                <w:sz w:val="20"/>
                <w:lang w:val="es-MX"/>
              </w:rPr>
              <w:t>Si</w:t>
            </w:r>
          </w:p>
        </w:tc>
        <w:tc>
          <w:tcPr>
            <w:tcW w:w="1134" w:type="dxa"/>
            <w:tcBorders>
              <w:top w:val="double" w:sz="4" w:space="0" w:color="auto"/>
              <w:left w:val="single" w:sz="4" w:space="0" w:color="auto"/>
              <w:bottom w:val="single" w:sz="4" w:space="0" w:color="auto"/>
              <w:right w:val="double" w:sz="4" w:space="0" w:color="auto"/>
            </w:tcBorders>
            <w:vAlign w:val="center"/>
            <w:hideMark/>
          </w:tcPr>
          <w:p w14:paraId="67EF0BC9" w14:textId="77777777" w:rsidR="006D362C" w:rsidRPr="003618E2" w:rsidRDefault="006D362C" w:rsidP="00D136BB">
            <w:pPr>
              <w:pStyle w:val="BodyText"/>
              <w:rPr>
                <w:sz w:val="20"/>
                <w:lang w:val="es-MX"/>
              </w:rPr>
            </w:pPr>
            <w:r w:rsidRPr="003618E2">
              <w:rPr>
                <w:sz w:val="20"/>
                <w:lang w:val="es-MX"/>
              </w:rPr>
              <w:t>No</w:t>
            </w:r>
          </w:p>
        </w:tc>
      </w:tr>
      <w:tr w:rsidR="006D362C" w:rsidRPr="003618E2" w14:paraId="3B237A83" w14:textId="77777777" w:rsidTr="00D136BB">
        <w:trPr>
          <w:trHeight w:val="885"/>
          <w:jc w:val="center"/>
        </w:trPr>
        <w:tc>
          <w:tcPr>
            <w:tcW w:w="1272" w:type="dxa"/>
            <w:vMerge/>
            <w:tcBorders>
              <w:left w:val="double" w:sz="4" w:space="0" w:color="auto"/>
              <w:bottom w:val="double" w:sz="4" w:space="0" w:color="auto"/>
              <w:right w:val="single" w:sz="4" w:space="0" w:color="auto"/>
            </w:tcBorders>
            <w:shd w:val="clear" w:color="auto" w:fill="FF81AB"/>
            <w:vAlign w:val="center"/>
            <w:hideMark/>
          </w:tcPr>
          <w:p w14:paraId="26CFD46E"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double" w:sz="4" w:space="0" w:color="auto"/>
              <w:right w:val="single" w:sz="4" w:space="0" w:color="auto"/>
            </w:tcBorders>
            <w:vAlign w:val="center"/>
            <w:hideMark/>
          </w:tcPr>
          <w:p w14:paraId="0E1548F2" w14:textId="3833C20A" w:rsidR="006D362C" w:rsidRPr="003618E2" w:rsidRDefault="006D362C" w:rsidP="00D136BB">
            <w:pPr>
              <w:pStyle w:val="BodyText"/>
              <w:rPr>
                <w:sz w:val="20"/>
                <w:lang w:val="es-MX"/>
              </w:rPr>
            </w:pPr>
            <w:r w:rsidRPr="006C45C9">
              <w:rPr>
                <w:sz w:val="20"/>
                <w:lang w:val="pt-BR"/>
              </w:rPr>
              <w:t>02</w:t>
            </w:r>
            <w:r w:rsidR="00D136BB">
              <w:rPr>
                <w:sz w:val="20"/>
                <w:lang w:val="pt-BR"/>
              </w:rPr>
              <w:t xml:space="preserve"> </w:t>
            </w:r>
            <w:r w:rsidRPr="006C45C9">
              <w:rPr>
                <w:sz w:val="20"/>
                <w:lang w:val="pt-BR"/>
              </w:rPr>
              <w:t>Plantas</w:t>
            </w:r>
            <w:r w:rsidR="00D136BB">
              <w:rPr>
                <w:sz w:val="20"/>
                <w:lang w:val="pt-BR"/>
              </w:rPr>
              <w:t xml:space="preserve"> </w:t>
            </w:r>
            <w:r w:rsidRPr="006C45C9">
              <w:rPr>
                <w:sz w:val="20"/>
                <w:lang w:val="pt-BR"/>
              </w:rPr>
              <w:t>de</w:t>
            </w:r>
            <w:r w:rsidR="00D136BB">
              <w:rPr>
                <w:sz w:val="20"/>
                <w:lang w:val="pt-BR"/>
              </w:rPr>
              <w:t xml:space="preserve"> </w:t>
            </w:r>
            <w:r w:rsidRPr="006C45C9">
              <w:rPr>
                <w:sz w:val="20"/>
                <w:lang w:val="pt-BR"/>
              </w:rPr>
              <w:t>Co-60</w:t>
            </w:r>
            <w:r w:rsidR="00D136BB">
              <w:rPr>
                <w:sz w:val="20"/>
                <w:lang w:val="pt-BR"/>
              </w:rPr>
              <w:t xml:space="preserve"> </w:t>
            </w:r>
            <w:r w:rsidRPr="006C45C9">
              <w:rPr>
                <w:sz w:val="20"/>
                <w:lang w:val="pt-BR"/>
              </w:rPr>
              <w:t>privada</w:t>
            </w:r>
            <w:r w:rsidR="00D136BB">
              <w:rPr>
                <w:sz w:val="20"/>
                <w:lang w:val="pt-BR"/>
              </w:rPr>
              <w:t xml:space="preserve"> </w:t>
            </w:r>
            <w:r w:rsidRPr="006C45C9">
              <w:rPr>
                <w:sz w:val="20"/>
                <w:lang w:val="pt-BR"/>
              </w:rPr>
              <w:t>(Ionics).</w:t>
            </w:r>
            <w:r w:rsidR="00D136BB">
              <w:rPr>
                <w:sz w:val="20"/>
                <w:lang w:val="pt-BR"/>
              </w:rPr>
              <w:t xml:space="preserve"> </w:t>
            </w:r>
            <w:r w:rsidRPr="003618E2">
              <w:rPr>
                <w:sz w:val="20"/>
                <w:lang w:val="es-MX"/>
              </w:rPr>
              <w:t>Actividad</w:t>
            </w:r>
            <w:r w:rsidR="00D136BB">
              <w:rPr>
                <w:sz w:val="20"/>
                <w:lang w:val="es-MX"/>
              </w:rPr>
              <w:t xml:space="preserve"> </w:t>
            </w:r>
            <w:r w:rsidRPr="003618E2">
              <w:rPr>
                <w:sz w:val="20"/>
                <w:lang w:val="es-MX"/>
              </w:rPr>
              <w:t>actual</w:t>
            </w:r>
            <w:r w:rsidR="00D136BB">
              <w:rPr>
                <w:sz w:val="20"/>
                <w:lang w:val="es-MX"/>
              </w:rPr>
              <w:t xml:space="preserve"> </w:t>
            </w:r>
            <w:r w:rsidRPr="003618E2">
              <w:rPr>
                <w:sz w:val="20"/>
                <w:lang w:val="es-MX"/>
              </w:rPr>
              <w:t>1070</w:t>
            </w:r>
            <w:r w:rsidR="00D136BB">
              <w:rPr>
                <w:sz w:val="20"/>
                <w:lang w:val="es-MX"/>
              </w:rPr>
              <w:t xml:space="preserve"> </w:t>
            </w:r>
            <w:r w:rsidRPr="003618E2">
              <w:rPr>
                <w:sz w:val="20"/>
                <w:lang w:val="es-MX"/>
              </w:rPr>
              <w:t>kCi</w:t>
            </w:r>
          </w:p>
        </w:tc>
        <w:tc>
          <w:tcPr>
            <w:tcW w:w="1418" w:type="dxa"/>
            <w:tcBorders>
              <w:top w:val="single" w:sz="4" w:space="0" w:color="auto"/>
              <w:left w:val="single" w:sz="4" w:space="0" w:color="auto"/>
              <w:bottom w:val="double" w:sz="4" w:space="0" w:color="auto"/>
              <w:right w:val="single" w:sz="4" w:space="0" w:color="auto"/>
            </w:tcBorders>
            <w:vAlign w:val="center"/>
            <w:hideMark/>
          </w:tcPr>
          <w:p w14:paraId="619C1C3E"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single" w:sz="4" w:space="0" w:color="auto"/>
              <w:bottom w:val="double" w:sz="4" w:space="0" w:color="auto"/>
              <w:right w:val="single" w:sz="4" w:space="0" w:color="auto"/>
            </w:tcBorders>
            <w:vAlign w:val="center"/>
            <w:hideMark/>
          </w:tcPr>
          <w:p w14:paraId="3CF4566F" w14:textId="77777777" w:rsidR="006D362C" w:rsidRPr="003618E2" w:rsidRDefault="006D362C" w:rsidP="00D136BB">
            <w:pPr>
              <w:pStyle w:val="BodyText"/>
              <w:rPr>
                <w:sz w:val="20"/>
                <w:lang w:val="es-MX"/>
              </w:rPr>
            </w:pPr>
            <w:r w:rsidRPr="003618E2">
              <w:rPr>
                <w:sz w:val="20"/>
                <w:lang w:val="es-MX"/>
              </w:rPr>
              <w:t>PMMA</w:t>
            </w:r>
          </w:p>
        </w:tc>
        <w:tc>
          <w:tcPr>
            <w:tcW w:w="1137" w:type="dxa"/>
            <w:tcBorders>
              <w:top w:val="single" w:sz="4" w:space="0" w:color="auto"/>
              <w:left w:val="single" w:sz="4" w:space="0" w:color="auto"/>
              <w:bottom w:val="double" w:sz="4" w:space="0" w:color="auto"/>
              <w:right w:val="single" w:sz="4" w:space="0" w:color="auto"/>
            </w:tcBorders>
            <w:vAlign w:val="center"/>
            <w:hideMark/>
          </w:tcPr>
          <w:p w14:paraId="04A4A6FC" w14:textId="77777777" w:rsidR="006D362C" w:rsidRPr="003618E2" w:rsidRDefault="006D362C" w:rsidP="00D136BB">
            <w:pPr>
              <w:pStyle w:val="BodyText"/>
              <w:rPr>
                <w:sz w:val="20"/>
                <w:lang w:val="es-MX"/>
              </w:rPr>
            </w:pPr>
            <w:r w:rsidRPr="003618E2">
              <w:rPr>
                <w:sz w:val="20"/>
                <w:lang w:val="es-MX"/>
              </w:rPr>
              <w:t>Dicromato/CNEA</w:t>
            </w:r>
          </w:p>
        </w:tc>
        <w:tc>
          <w:tcPr>
            <w:tcW w:w="1134" w:type="dxa"/>
            <w:tcBorders>
              <w:top w:val="single" w:sz="4" w:space="0" w:color="auto"/>
              <w:left w:val="single" w:sz="4" w:space="0" w:color="auto"/>
              <w:bottom w:val="double" w:sz="4" w:space="0" w:color="auto"/>
              <w:right w:val="single" w:sz="4" w:space="0" w:color="auto"/>
            </w:tcBorders>
            <w:vAlign w:val="center"/>
            <w:hideMark/>
          </w:tcPr>
          <w:p w14:paraId="3BA6D00A"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single" w:sz="4" w:space="0" w:color="auto"/>
              <w:bottom w:val="double" w:sz="4" w:space="0" w:color="auto"/>
              <w:right w:val="double" w:sz="4" w:space="0" w:color="auto"/>
            </w:tcBorders>
            <w:vAlign w:val="center"/>
            <w:hideMark/>
          </w:tcPr>
          <w:p w14:paraId="0987D5D8" w14:textId="77777777" w:rsidR="006D362C" w:rsidRPr="003618E2" w:rsidRDefault="006D362C" w:rsidP="00D136BB">
            <w:pPr>
              <w:pStyle w:val="BodyText"/>
              <w:rPr>
                <w:sz w:val="20"/>
                <w:lang w:val="es-MX"/>
              </w:rPr>
            </w:pPr>
            <w:r w:rsidRPr="003618E2">
              <w:rPr>
                <w:sz w:val="20"/>
                <w:lang w:val="es-MX"/>
              </w:rPr>
              <w:t>No</w:t>
            </w:r>
          </w:p>
        </w:tc>
      </w:tr>
      <w:tr w:rsidR="006D362C" w:rsidRPr="003618E2" w14:paraId="6FBBBF91" w14:textId="77777777" w:rsidTr="00D136BB">
        <w:trPr>
          <w:trHeight w:val="765"/>
          <w:jc w:val="center"/>
        </w:trPr>
        <w:tc>
          <w:tcPr>
            <w:tcW w:w="1272" w:type="dxa"/>
            <w:vMerge w:val="restart"/>
            <w:tcBorders>
              <w:top w:val="double" w:sz="4" w:space="0" w:color="auto"/>
              <w:left w:val="double" w:sz="4" w:space="0" w:color="auto"/>
              <w:right w:val="single" w:sz="4" w:space="0" w:color="auto"/>
            </w:tcBorders>
            <w:shd w:val="clear" w:color="auto" w:fill="FF81AB"/>
            <w:vAlign w:val="center"/>
            <w:hideMark/>
          </w:tcPr>
          <w:p w14:paraId="5B1FD286" w14:textId="77777777" w:rsidR="006D362C" w:rsidRPr="003618E2" w:rsidRDefault="006D362C" w:rsidP="00D136BB">
            <w:pPr>
              <w:pStyle w:val="BodyText"/>
              <w:rPr>
                <w:b/>
                <w:sz w:val="20"/>
                <w:lang w:val="es-ES"/>
              </w:rPr>
            </w:pPr>
            <w:r w:rsidRPr="003618E2">
              <w:rPr>
                <w:b/>
                <w:sz w:val="20"/>
                <w:lang w:val="es-ES"/>
              </w:rPr>
              <w:t>Brasil</w:t>
            </w:r>
          </w:p>
        </w:tc>
        <w:tc>
          <w:tcPr>
            <w:tcW w:w="1701" w:type="dxa"/>
            <w:tcBorders>
              <w:top w:val="double" w:sz="4" w:space="0" w:color="auto"/>
              <w:left w:val="single" w:sz="4" w:space="0" w:color="auto"/>
              <w:bottom w:val="single" w:sz="4" w:space="0" w:color="auto"/>
              <w:right w:val="single" w:sz="4" w:space="0" w:color="auto"/>
            </w:tcBorders>
            <w:vAlign w:val="center"/>
            <w:hideMark/>
          </w:tcPr>
          <w:p w14:paraId="6EDC3DD6" w14:textId="183FBD56" w:rsidR="006D362C" w:rsidRPr="003618E2" w:rsidRDefault="006D362C" w:rsidP="00D136BB">
            <w:pPr>
              <w:pStyle w:val="BodyText"/>
              <w:rPr>
                <w:sz w:val="20"/>
                <w:lang w:val="es-MX"/>
              </w:rPr>
            </w:pPr>
            <w:r w:rsidRPr="003618E2">
              <w:rPr>
                <w:sz w:val="20"/>
                <w:lang w:val="es-MX"/>
              </w:rPr>
              <w:t>3</w:t>
            </w:r>
            <w:r w:rsidR="00D136BB">
              <w:rPr>
                <w:sz w:val="20"/>
                <w:lang w:val="es-MX"/>
              </w:rPr>
              <w:t xml:space="preserve"> </w:t>
            </w:r>
            <w:r w:rsidRPr="003618E2">
              <w:rPr>
                <w:sz w:val="20"/>
                <w:lang w:val="es-MX"/>
              </w:rPr>
              <w:t>Plantas</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Co</w:t>
            </w:r>
            <w:r w:rsidR="00D136BB">
              <w:rPr>
                <w:sz w:val="20"/>
                <w:lang w:val="es-MX"/>
              </w:rPr>
              <w:t xml:space="preserve"> </w:t>
            </w:r>
            <w:r w:rsidRPr="003618E2">
              <w:rPr>
                <w:sz w:val="20"/>
                <w:lang w:val="es-MX"/>
              </w:rPr>
              <w:t>-</w:t>
            </w:r>
            <w:r w:rsidR="00D136BB">
              <w:rPr>
                <w:sz w:val="20"/>
                <w:lang w:val="es-MX"/>
              </w:rPr>
              <w:t xml:space="preserve"> </w:t>
            </w:r>
            <w:r w:rsidRPr="003618E2">
              <w:rPr>
                <w:sz w:val="20"/>
                <w:lang w:val="es-MX"/>
              </w:rPr>
              <w:t>60</w:t>
            </w:r>
            <w:r w:rsidR="00D136BB">
              <w:rPr>
                <w:sz w:val="20"/>
                <w:lang w:val="es-MX"/>
              </w:rPr>
              <w:t xml:space="preserve"> </w:t>
            </w:r>
            <w:r w:rsidRPr="003618E2">
              <w:rPr>
                <w:sz w:val="20"/>
                <w:lang w:val="es-MX"/>
              </w:rPr>
              <w:t>Privadas</w:t>
            </w:r>
            <w:r w:rsidR="00D136BB">
              <w:rPr>
                <w:sz w:val="20"/>
                <w:lang w:val="es-MX"/>
              </w:rPr>
              <w:t xml:space="preserve"> </w:t>
            </w:r>
            <w:r w:rsidRPr="003618E2">
              <w:rPr>
                <w:sz w:val="20"/>
                <w:lang w:val="es-MX"/>
              </w:rPr>
              <w:t>(Sterigenics)</w:t>
            </w:r>
            <w:r w:rsidR="00D136BB">
              <w:rPr>
                <w:sz w:val="20"/>
                <w:lang w:val="es-MX"/>
              </w:rPr>
              <w:t xml:space="preserve"> </w:t>
            </w:r>
            <w:r w:rsidRPr="003618E2">
              <w:rPr>
                <w:sz w:val="20"/>
                <w:lang w:val="es-MX"/>
              </w:rPr>
              <w:t>Actividad</w:t>
            </w:r>
            <w:r w:rsidR="00D136BB">
              <w:rPr>
                <w:sz w:val="20"/>
                <w:lang w:val="es-MX"/>
              </w:rPr>
              <w:t xml:space="preserve"> </w:t>
            </w:r>
            <w:r w:rsidRPr="003618E2">
              <w:rPr>
                <w:sz w:val="20"/>
                <w:lang w:val="es-MX"/>
              </w:rPr>
              <w:t>media</w:t>
            </w:r>
            <w:r w:rsidR="00D136BB">
              <w:rPr>
                <w:sz w:val="20"/>
                <w:lang w:val="es-MX"/>
              </w:rPr>
              <w:t xml:space="preserve">  </w:t>
            </w:r>
            <w:r w:rsidRPr="003618E2">
              <w:rPr>
                <w:sz w:val="20"/>
                <w:lang w:val="es-MX"/>
              </w:rPr>
              <w:t>6000</w:t>
            </w:r>
            <w:r w:rsidR="00D136BB">
              <w:rPr>
                <w:sz w:val="20"/>
                <w:lang w:val="es-MX"/>
              </w:rPr>
              <w:t xml:space="preserve"> </w:t>
            </w:r>
            <w:r w:rsidRPr="003618E2">
              <w:rPr>
                <w:sz w:val="20"/>
                <w:lang w:val="es-MX"/>
              </w:rPr>
              <w:t>kCi</w:t>
            </w:r>
          </w:p>
        </w:tc>
        <w:tc>
          <w:tcPr>
            <w:tcW w:w="1418" w:type="dxa"/>
            <w:tcBorders>
              <w:top w:val="double" w:sz="4" w:space="0" w:color="auto"/>
              <w:left w:val="nil"/>
              <w:bottom w:val="single" w:sz="4" w:space="0" w:color="auto"/>
              <w:right w:val="single" w:sz="4" w:space="0" w:color="auto"/>
            </w:tcBorders>
            <w:vAlign w:val="center"/>
            <w:hideMark/>
          </w:tcPr>
          <w:p w14:paraId="123D2ECF" w14:textId="46C9721A"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desarrollo</w:t>
            </w:r>
          </w:p>
        </w:tc>
        <w:tc>
          <w:tcPr>
            <w:tcW w:w="1561" w:type="dxa"/>
            <w:tcBorders>
              <w:top w:val="double" w:sz="4" w:space="0" w:color="auto"/>
              <w:left w:val="nil"/>
              <w:bottom w:val="single" w:sz="4" w:space="0" w:color="auto"/>
              <w:right w:val="single" w:sz="4" w:space="0" w:color="auto"/>
            </w:tcBorders>
            <w:vAlign w:val="center"/>
            <w:hideMark/>
          </w:tcPr>
          <w:p w14:paraId="50397C9C" w14:textId="77777777" w:rsidR="006D362C" w:rsidRPr="003618E2" w:rsidRDefault="006D362C" w:rsidP="00D136BB">
            <w:pPr>
              <w:pStyle w:val="BodyText"/>
              <w:rPr>
                <w:sz w:val="20"/>
                <w:lang w:val="es-MX"/>
              </w:rPr>
            </w:pPr>
            <w:r w:rsidRPr="003618E2">
              <w:rPr>
                <w:sz w:val="20"/>
                <w:lang w:val="es-MX"/>
              </w:rPr>
              <w:t>PMMA</w:t>
            </w:r>
          </w:p>
        </w:tc>
        <w:tc>
          <w:tcPr>
            <w:tcW w:w="1137" w:type="dxa"/>
            <w:tcBorders>
              <w:top w:val="double" w:sz="4" w:space="0" w:color="auto"/>
              <w:left w:val="nil"/>
              <w:bottom w:val="single" w:sz="4" w:space="0" w:color="auto"/>
              <w:right w:val="single" w:sz="4" w:space="0" w:color="auto"/>
            </w:tcBorders>
            <w:vAlign w:val="center"/>
            <w:hideMark/>
          </w:tcPr>
          <w:p w14:paraId="486E5C77" w14:textId="77777777" w:rsidR="006D362C" w:rsidRPr="003618E2" w:rsidRDefault="006D362C" w:rsidP="00D136BB">
            <w:pPr>
              <w:pStyle w:val="BodyText"/>
              <w:rPr>
                <w:sz w:val="20"/>
                <w:lang w:val="es-MX"/>
              </w:rPr>
            </w:pPr>
            <w:r w:rsidRPr="003618E2">
              <w:rPr>
                <w:sz w:val="20"/>
                <w:lang w:val="es-MX"/>
              </w:rPr>
              <w:t>Alanina</w:t>
            </w:r>
          </w:p>
        </w:tc>
        <w:tc>
          <w:tcPr>
            <w:tcW w:w="1134" w:type="dxa"/>
            <w:tcBorders>
              <w:top w:val="double" w:sz="4" w:space="0" w:color="auto"/>
              <w:left w:val="nil"/>
              <w:bottom w:val="single" w:sz="4" w:space="0" w:color="auto"/>
              <w:right w:val="single" w:sz="4" w:space="0" w:color="auto"/>
            </w:tcBorders>
            <w:vAlign w:val="center"/>
            <w:hideMark/>
          </w:tcPr>
          <w:p w14:paraId="4CDE1B5E" w14:textId="77777777" w:rsidR="006D362C" w:rsidRPr="003618E2" w:rsidRDefault="006D362C" w:rsidP="00D136BB">
            <w:pPr>
              <w:pStyle w:val="BodyText"/>
              <w:rPr>
                <w:sz w:val="20"/>
                <w:lang w:val="es-MX"/>
              </w:rPr>
            </w:pPr>
            <w:r w:rsidRPr="003618E2">
              <w:rPr>
                <w:sz w:val="20"/>
                <w:lang w:val="es-MX"/>
              </w:rPr>
              <w:t>Si</w:t>
            </w:r>
          </w:p>
        </w:tc>
        <w:tc>
          <w:tcPr>
            <w:tcW w:w="1134" w:type="dxa"/>
            <w:tcBorders>
              <w:top w:val="double" w:sz="4" w:space="0" w:color="auto"/>
              <w:left w:val="nil"/>
              <w:bottom w:val="single" w:sz="4" w:space="0" w:color="auto"/>
              <w:right w:val="double" w:sz="4" w:space="0" w:color="auto"/>
            </w:tcBorders>
            <w:vAlign w:val="center"/>
            <w:hideMark/>
          </w:tcPr>
          <w:p w14:paraId="7FCCD2B1" w14:textId="77777777" w:rsidR="006D362C" w:rsidRPr="003618E2" w:rsidRDefault="006D362C" w:rsidP="00D136BB">
            <w:pPr>
              <w:pStyle w:val="BodyText"/>
              <w:rPr>
                <w:sz w:val="20"/>
                <w:lang w:val="es-MX"/>
              </w:rPr>
            </w:pPr>
            <w:r w:rsidRPr="003618E2">
              <w:rPr>
                <w:sz w:val="20"/>
                <w:lang w:val="es-MX"/>
              </w:rPr>
              <w:t>Si</w:t>
            </w:r>
          </w:p>
        </w:tc>
      </w:tr>
      <w:tr w:rsidR="006D362C" w:rsidRPr="003618E2" w14:paraId="0B104C53" w14:textId="77777777" w:rsidTr="00D136BB">
        <w:trPr>
          <w:trHeight w:val="765"/>
          <w:jc w:val="center"/>
        </w:trPr>
        <w:tc>
          <w:tcPr>
            <w:tcW w:w="1272" w:type="dxa"/>
            <w:vMerge/>
            <w:tcBorders>
              <w:left w:val="double" w:sz="4" w:space="0" w:color="auto"/>
              <w:right w:val="single" w:sz="4" w:space="0" w:color="auto"/>
            </w:tcBorders>
            <w:shd w:val="clear" w:color="auto" w:fill="FF81AB"/>
            <w:vAlign w:val="center"/>
          </w:tcPr>
          <w:p w14:paraId="10B113D7"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452E3D0" w14:textId="135AACD4" w:rsidR="006D362C" w:rsidRPr="003618E2" w:rsidRDefault="006D362C" w:rsidP="00D136BB">
            <w:pPr>
              <w:pStyle w:val="BodyText"/>
              <w:rPr>
                <w:sz w:val="20"/>
                <w:lang w:val="es-MX"/>
              </w:rPr>
            </w:pPr>
            <w:r w:rsidRPr="003618E2">
              <w:rPr>
                <w:sz w:val="20"/>
                <w:lang w:val="es-MX"/>
              </w:rPr>
              <w:t>01</w:t>
            </w:r>
            <w:r w:rsidR="00D136BB">
              <w:rPr>
                <w:sz w:val="20"/>
                <w:lang w:val="es-MX"/>
              </w:rPr>
              <w:t xml:space="preserve"> </w:t>
            </w:r>
            <w:r w:rsidRPr="003618E2">
              <w:rPr>
                <w:sz w:val="20"/>
                <w:lang w:val="es-MX"/>
              </w:rPr>
              <w:t>Acelerador</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electrones</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10</w:t>
            </w:r>
            <w:r w:rsidR="00D136BB">
              <w:rPr>
                <w:sz w:val="20"/>
                <w:lang w:val="es-MX"/>
              </w:rPr>
              <w:t xml:space="preserve"> </w:t>
            </w:r>
            <w:r w:rsidRPr="003618E2">
              <w:rPr>
                <w:sz w:val="20"/>
                <w:lang w:val="es-MX"/>
              </w:rPr>
              <w:t>MeV-(Sterigenics)</w:t>
            </w:r>
          </w:p>
        </w:tc>
        <w:tc>
          <w:tcPr>
            <w:tcW w:w="1418" w:type="dxa"/>
            <w:tcBorders>
              <w:top w:val="single" w:sz="4" w:space="0" w:color="auto"/>
              <w:left w:val="nil"/>
              <w:bottom w:val="single" w:sz="4" w:space="0" w:color="auto"/>
              <w:right w:val="single" w:sz="4" w:space="0" w:color="auto"/>
            </w:tcBorders>
            <w:vAlign w:val="center"/>
            <w:hideMark/>
          </w:tcPr>
          <w:p w14:paraId="2AFA920F"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nil"/>
              <w:bottom w:val="single" w:sz="4" w:space="0" w:color="auto"/>
              <w:right w:val="single" w:sz="4" w:space="0" w:color="auto"/>
            </w:tcBorders>
            <w:vAlign w:val="center"/>
          </w:tcPr>
          <w:p w14:paraId="69C207B6" w14:textId="0F43A969" w:rsidR="006D362C" w:rsidRPr="003618E2" w:rsidRDefault="006D362C" w:rsidP="00D136BB">
            <w:pPr>
              <w:pStyle w:val="BodyText"/>
              <w:rPr>
                <w:sz w:val="20"/>
                <w:lang w:val="es-MX"/>
              </w:rPr>
            </w:pPr>
            <w:r w:rsidRPr="003618E2">
              <w:rPr>
                <w:sz w:val="20"/>
                <w:lang w:val="es-MX"/>
              </w:rPr>
              <w:t>Radiocromico,</w:t>
            </w:r>
            <w:r w:rsidR="00D136BB">
              <w:rPr>
                <w:sz w:val="20"/>
                <w:lang w:val="es-MX"/>
              </w:rPr>
              <w:t xml:space="preserve"> </w:t>
            </w:r>
            <w:r w:rsidRPr="003618E2">
              <w:rPr>
                <w:sz w:val="20"/>
                <w:lang w:val="es-MX"/>
              </w:rPr>
              <w:t>CTA</w:t>
            </w:r>
          </w:p>
        </w:tc>
        <w:tc>
          <w:tcPr>
            <w:tcW w:w="1137" w:type="dxa"/>
            <w:tcBorders>
              <w:top w:val="single" w:sz="4" w:space="0" w:color="auto"/>
              <w:left w:val="nil"/>
              <w:bottom w:val="single" w:sz="4" w:space="0" w:color="auto"/>
              <w:right w:val="single" w:sz="4" w:space="0" w:color="auto"/>
            </w:tcBorders>
            <w:vAlign w:val="center"/>
          </w:tcPr>
          <w:p w14:paraId="53AECF25" w14:textId="77777777" w:rsidR="006D362C" w:rsidRPr="003618E2" w:rsidRDefault="006D362C" w:rsidP="00D136BB">
            <w:pPr>
              <w:pStyle w:val="BodyText"/>
              <w:rPr>
                <w:sz w:val="20"/>
                <w:lang w:val="es-MX"/>
              </w:rPr>
            </w:pPr>
            <w:r w:rsidRPr="003618E2">
              <w:rPr>
                <w:sz w:val="20"/>
                <w:lang w:val="es-MX"/>
              </w:rPr>
              <w:t>Alanina</w:t>
            </w:r>
          </w:p>
        </w:tc>
        <w:tc>
          <w:tcPr>
            <w:tcW w:w="1134" w:type="dxa"/>
            <w:tcBorders>
              <w:top w:val="single" w:sz="4" w:space="0" w:color="auto"/>
              <w:left w:val="nil"/>
              <w:bottom w:val="single" w:sz="4" w:space="0" w:color="auto"/>
              <w:right w:val="single" w:sz="4" w:space="0" w:color="auto"/>
            </w:tcBorders>
            <w:vAlign w:val="center"/>
          </w:tcPr>
          <w:p w14:paraId="744DAC35" w14:textId="77777777" w:rsidR="006D362C" w:rsidRPr="003618E2" w:rsidRDefault="006D362C" w:rsidP="00D136BB">
            <w:pPr>
              <w:pStyle w:val="BodyText"/>
              <w:rPr>
                <w:sz w:val="20"/>
                <w:lang w:val="es-MX"/>
              </w:rPr>
            </w:pPr>
            <w:r w:rsidRPr="003618E2">
              <w:rPr>
                <w:sz w:val="20"/>
                <w:lang w:val="es-MX"/>
              </w:rPr>
              <w:t>Si</w:t>
            </w:r>
          </w:p>
        </w:tc>
        <w:tc>
          <w:tcPr>
            <w:tcW w:w="1134" w:type="dxa"/>
            <w:tcBorders>
              <w:top w:val="single" w:sz="4" w:space="0" w:color="auto"/>
              <w:left w:val="nil"/>
              <w:bottom w:val="single" w:sz="4" w:space="0" w:color="auto"/>
              <w:right w:val="double" w:sz="4" w:space="0" w:color="auto"/>
            </w:tcBorders>
            <w:vAlign w:val="center"/>
          </w:tcPr>
          <w:p w14:paraId="62D4716D" w14:textId="77777777" w:rsidR="006D362C" w:rsidRPr="003618E2" w:rsidRDefault="006D362C" w:rsidP="00D136BB">
            <w:pPr>
              <w:pStyle w:val="BodyText"/>
              <w:rPr>
                <w:sz w:val="20"/>
                <w:lang w:val="es-MX"/>
              </w:rPr>
            </w:pPr>
            <w:r w:rsidRPr="003618E2">
              <w:rPr>
                <w:sz w:val="20"/>
                <w:lang w:val="es-MX"/>
              </w:rPr>
              <w:t>Si</w:t>
            </w:r>
          </w:p>
        </w:tc>
      </w:tr>
      <w:tr w:rsidR="006D362C" w:rsidRPr="003618E2" w14:paraId="32AA7348" w14:textId="77777777" w:rsidTr="00D136BB">
        <w:trPr>
          <w:trHeight w:val="765"/>
          <w:jc w:val="center"/>
        </w:trPr>
        <w:tc>
          <w:tcPr>
            <w:tcW w:w="1272" w:type="dxa"/>
            <w:vMerge/>
            <w:tcBorders>
              <w:left w:val="double" w:sz="4" w:space="0" w:color="auto"/>
              <w:right w:val="single" w:sz="4" w:space="0" w:color="auto"/>
            </w:tcBorders>
            <w:shd w:val="clear" w:color="auto" w:fill="FF81AB"/>
            <w:vAlign w:val="center"/>
            <w:hideMark/>
          </w:tcPr>
          <w:p w14:paraId="0B4CCAF2"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C1261A2" w14:textId="781E49BC" w:rsidR="006D362C" w:rsidRPr="003618E2" w:rsidRDefault="006D362C" w:rsidP="00D136BB">
            <w:pPr>
              <w:pStyle w:val="BodyText"/>
              <w:rPr>
                <w:sz w:val="20"/>
                <w:lang w:val="es-MX"/>
              </w:rPr>
            </w:pPr>
            <w:r w:rsidRPr="003618E2">
              <w:rPr>
                <w:sz w:val="20"/>
                <w:lang w:val="es-MX"/>
              </w:rPr>
              <w:t>12</w:t>
            </w:r>
            <w:r w:rsidR="00D136BB">
              <w:rPr>
                <w:sz w:val="20"/>
                <w:lang w:val="es-MX"/>
              </w:rPr>
              <w:t xml:space="preserve"> </w:t>
            </w:r>
            <w:r w:rsidRPr="003618E2">
              <w:rPr>
                <w:sz w:val="20"/>
                <w:lang w:val="es-MX"/>
              </w:rPr>
              <w:t>Aceleradores</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electrones</w:t>
            </w:r>
            <w:r w:rsidR="00D136BB">
              <w:rPr>
                <w:sz w:val="20"/>
                <w:lang w:val="es-MX"/>
              </w:rPr>
              <w:t xml:space="preserve"> </w:t>
            </w:r>
            <w:r w:rsidRPr="003618E2">
              <w:rPr>
                <w:sz w:val="20"/>
                <w:lang w:val="es-MX"/>
              </w:rPr>
              <w:t>privados</w:t>
            </w:r>
            <w:r w:rsidR="00D136BB">
              <w:rPr>
                <w:sz w:val="20"/>
                <w:lang w:val="es-MX"/>
              </w:rPr>
              <w:t xml:space="preserve"> </w:t>
            </w:r>
            <w:r w:rsidRPr="003618E2">
              <w:rPr>
                <w:sz w:val="20"/>
                <w:lang w:val="es-MX"/>
              </w:rPr>
              <w:t>energía</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0.3</w:t>
            </w:r>
            <w:r w:rsidR="00D136BB">
              <w:rPr>
                <w:sz w:val="20"/>
                <w:lang w:val="es-MX"/>
              </w:rPr>
              <w:t xml:space="preserve"> </w:t>
            </w:r>
            <w:r w:rsidRPr="003618E2">
              <w:rPr>
                <w:sz w:val="20"/>
                <w:lang w:val="es-MX"/>
              </w:rPr>
              <w:t>a</w:t>
            </w:r>
            <w:r w:rsidR="00D136BB">
              <w:rPr>
                <w:sz w:val="20"/>
                <w:lang w:val="es-MX"/>
              </w:rPr>
              <w:t xml:space="preserve"> </w:t>
            </w:r>
            <w:r w:rsidRPr="003618E2">
              <w:rPr>
                <w:sz w:val="20"/>
                <w:lang w:val="es-MX"/>
              </w:rPr>
              <w:t>10</w:t>
            </w:r>
            <w:r w:rsidR="00D136BB">
              <w:rPr>
                <w:sz w:val="20"/>
                <w:lang w:val="es-MX"/>
              </w:rPr>
              <w:t xml:space="preserve"> </w:t>
            </w:r>
            <w:r w:rsidRPr="003618E2">
              <w:rPr>
                <w:sz w:val="20"/>
                <w:lang w:val="es-MX"/>
              </w:rPr>
              <w:t>MeV</w:t>
            </w:r>
          </w:p>
        </w:tc>
        <w:tc>
          <w:tcPr>
            <w:tcW w:w="1418" w:type="dxa"/>
            <w:tcBorders>
              <w:top w:val="single" w:sz="4" w:space="0" w:color="auto"/>
              <w:left w:val="nil"/>
              <w:bottom w:val="single" w:sz="4" w:space="0" w:color="auto"/>
              <w:right w:val="single" w:sz="4" w:space="0" w:color="auto"/>
            </w:tcBorders>
            <w:vAlign w:val="center"/>
            <w:hideMark/>
          </w:tcPr>
          <w:p w14:paraId="083854C7"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nil"/>
              <w:bottom w:val="single" w:sz="4" w:space="0" w:color="auto"/>
              <w:right w:val="single" w:sz="4" w:space="0" w:color="auto"/>
            </w:tcBorders>
            <w:vAlign w:val="center"/>
            <w:hideMark/>
          </w:tcPr>
          <w:p w14:paraId="7419105C" w14:textId="34F393BC" w:rsidR="006D362C" w:rsidRPr="003618E2" w:rsidRDefault="006D362C" w:rsidP="00D136BB">
            <w:pPr>
              <w:pStyle w:val="BodyText"/>
              <w:rPr>
                <w:sz w:val="20"/>
                <w:lang w:val="es-MX"/>
              </w:rPr>
            </w:pPr>
            <w:r w:rsidRPr="003618E2">
              <w:rPr>
                <w:sz w:val="20"/>
                <w:lang w:val="es-MX"/>
              </w:rPr>
              <w:t>Alanina,</w:t>
            </w:r>
            <w:r w:rsidR="00D136BB">
              <w:rPr>
                <w:sz w:val="20"/>
                <w:lang w:val="es-MX"/>
              </w:rPr>
              <w:t xml:space="preserve"> </w:t>
            </w:r>
            <w:r w:rsidRPr="003618E2">
              <w:rPr>
                <w:sz w:val="20"/>
                <w:lang w:val="es-MX"/>
              </w:rPr>
              <w:t>CTA</w:t>
            </w:r>
          </w:p>
        </w:tc>
        <w:tc>
          <w:tcPr>
            <w:tcW w:w="1137" w:type="dxa"/>
            <w:tcBorders>
              <w:top w:val="single" w:sz="4" w:space="0" w:color="auto"/>
              <w:left w:val="nil"/>
              <w:bottom w:val="single" w:sz="4" w:space="0" w:color="auto"/>
              <w:right w:val="single" w:sz="4" w:space="0" w:color="auto"/>
            </w:tcBorders>
            <w:vAlign w:val="center"/>
            <w:hideMark/>
          </w:tcPr>
          <w:p w14:paraId="009590DD" w14:textId="77777777" w:rsidR="006D362C" w:rsidRPr="003618E2" w:rsidRDefault="006D362C" w:rsidP="00D136BB">
            <w:pPr>
              <w:pStyle w:val="BodyText"/>
              <w:rPr>
                <w:sz w:val="20"/>
                <w:lang w:val="es-MX"/>
              </w:rPr>
            </w:pPr>
            <w:r w:rsidRPr="003618E2">
              <w:rPr>
                <w:sz w:val="20"/>
                <w:lang w:val="es-MX"/>
              </w:rPr>
              <w:t>Alanina</w:t>
            </w:r>
          </w:p>
        </w:tc>
        <w:tc>
          <w:tcPr>
            <w:tcW w:w="1134" w:type="dxa"/>
            <w:tcBorders>
              <w:top w:val="single" w:sz="4" w:space="0" w:color="auto"/>
              <w:left w:val="nil"/>
              <w:bottom w:val="single" w:sz="4" w:space="0" w:color="auto"/>
              <w:right w:val="single" w:sz="4" w:space="0" w:color="auto"/>
            </w:tcBorders>
            <w:vAlign w:val="center"/>
            <w:hideMark/>
          </w:tcPr>
          <w:p w14:paraId="04E31015" w14:textId="77777777" w:rsidR="006D362C" w:rsidRPr="003618E2" w:rsidRDefault="006D362C" w:rsidP="00D136BB">
            <w:pPr>
              <w:pStyle w:val="BodyText"/>
              <w:rPr>
                <w:sz w:val="20"/>
                <w:lang w:val="es-MX"/>
              </w:rPr>
            </w:pPr>
            <w:r w:rsidRPr="003618E2">
              <w:rPr>
                <w:sz w:val="20"/>
                <w:lang w:val="es-MX"/>
              </w:rPr>
              <w:t>Si</w:t>
            </w:r>
          </w:p>
        </w:tc>
        <w:tc>
          <w:tcPr>
            <w:tcW w:w="1134" w:type="dxa"/>
            <w:tcBorders>
              <w:top w:val="single" w:sz="4" w:space="0" w:color="auto"/>
              <w:left w:val="nil"/>
              <w:bottom w:val="single" w:sz="4" w:space="0" w:color="auto"/>
              <w:right w:val="double" w:sz="4" w:space="0" w:color="auto"/>
            </w:tcBorders>
            <w:vAlign w:val="center"/>
            <w:hideMark/>
          </w:tcPr>
          <w:p w14:paraId="15ECA609" w14:textId="77777777" w:rsidR="006D362C" w:rsidRPr="003618E2" w:rsidRDefault="006D362C" w:rsidP="00D136BB">
            <w:pPr>
              <w:pStyle w:val="BodyText"/>
              <w:rPr>
                <w:sz w:val="20"/>
                <w:lang w:val="es-MX"/>
              </w:rPr>
            </w:pPr>
          </w:p>
        </w:tc>
      </w:tr>
      <w:tr w:rsidR="006D362C" w:rsidRPr="003618E2" w14:paraId="7AAB6EA6" w14:textId="77777777" w:rsidTr="00D136BB">
        <w:trPr>
          <w:trHeight w:val="735"/>
          <w:jc w:val="center"/>
        </w:trPr>
        <w:tc>
          <w:tcPr>
            <w:tcW w:w="1272" w:type="dxa"/>
            <w:vMerge/>
            <w:tcBorders>
              <w:left w:val="double" w:sz="4" w:space="0" w:color="auto"/>
              <w:right w:val="single" w:sz="4" w:space="0" w:color="auto"/>
            </w:tcBorders>
            <w:shd w:val="clear" w:color="auto" w:fill="FF81AB"/>
            <w:vAlign w:val="center"/>
            <w:hideMark/>
          </w:tcPr>
          <w:p w14:paraId="50155AB7"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5E460E6C" w14:textId="7C7105BA" w:rsidR="006D362C" w:rsidRPr="003618E2" w:rsidRDefault="006D362C" w:rsidP="00D136BB">
            <w:pPr>
              <w:pStyle w:val="BodyText"/>
              <w:rPr>
                <w:sz w:val="20"/>
                <w:lang w:val="es-MX"/>
              </w:rPr>
            </w:pPr>
            <w:r w:rsidRPr="006C45C9">
              <w:rPr>
                <w:sz w:val="20"/>
                <w:lang w:val="pt-BR"/>
              </w:rPr>
              <w:t>01</w:t>
            </w:r>
            <w:r w:rsidR="00D136BB">
              <w:rPr>
                <w:sz w:val="20"/>
                <w:lang w:val="pt-BR"/>
              </w:rPr>
              <w:t xml:space="preserve"> </w:t>
            </w:r>
            <w:r w:rsidRPr="006C45C9">
              <w:rPr>
                <w:sz w:val="20"/>
                <w:lang w:val="pt-BR"/>
              </w:rPr>
              <w:t>Irradiador</w:t>
            </w:r>
            <w:r w:rsidR="00D136BB">
              <w:rPr>
                <w:sz w:val="20"/>
                <w:lang w:val="pt-BR"/>
              </w:rPr>
              <w:t xml:space="preserve"> </w:t>
            </w:r>
            <w:r w:rsidRPr="006C45C9">
              <w:rPr>
                <w:sz w:val="20"/>
                <w:lang w:val="pt-BR"/>
              </w:rPr>
              <w:t>Multiproósito</w:t>
            </w:r>
            <w:r w:rsidR="00D136BB">
              <w:rPr>
                <w:sz w:val="20"/>
                <w:lang w:val="pt-BR"/>
              </w:rPr>
              <w:t xml:space="preserve"> </w:t>
            </w:r>
            <w:r w:rsidRPr="006C45C9">
              <w:rPr>
                <w:sz w:val="20"/>
                <w:lang w:val="pt-BR"/>
              </w:rPr>
              <w:t>de</w:t>
            </w:r>
            <w:r w:rsidR="00D136BB">
              <w:rPr>
                <w:sz w:val="20"/>
                <w:lang w:val="pt-BR"/>
              </w:rPr>
              <w:t xml:space="preserve"> </w:t>
            </w:r>
            <w:r w:rsidRPr="006C45C9">
              <w:rPr>
                <w:sz w:val="20"/>
                <w:lang w:val="pt-BR"/>
              </w:rPr>
              <w:t>Co-60</w:t>
            </w:r>
            <w:r w:rsidR="00D136BB">
              <w:rPr>
                <w:sz w:val="20"/>
                <w:lang w:val="pt-BR"/>
              </w:rPr>
              <w:t xml:space="preserve"> </w:t>
            </w:r>
            <w:r w:rsidRPr="006C45C9">
              <w:rPr>
                <w:sz w:val="20"/>
                <w:lang w:val="pt-BR"/>
              </w:rPr>
              <w:t>IPEN.</w:t>
            </w:r>
            <w:r w:rsidR="00D136BB">
              <w:rPr>
                <w:sz w:val="20"/>
                <w:lang w:val="pt-BR"/>
              </w:rPr>
              <w:t xml:space="preserve"> </w:t>
            </w:r>
            <w:r w:rsidRPr="003618E2">
              <w:rPr>
                <w:sz w:val="20"/>
                <w:lang w:val="es-MX"/>
              </w:rPr>
              <w:t>Actividade</w:t>
            </w:r>
            <w:r w:rsidR="00D136BB">
              <w:rPr>
                <w:sz w:val="20"/>
                <w:lang w:val="es-MX"/>
              </w:rPr>
              <w:t xml:space="preserve"> </w:t>
            </w:r>
            <w:r w:rsidRPr="003618E2">
              <w:rPr>
                <w:sz w:val="20"/>
                <w:lang w:val="es-MX"/>
              </w:rPr>
              <w:t>Actual</w:t>
            </w:r>
            <w:r w:rsidR="00D136BB">
              <w:rPr>
                <w:sz w:val="20"/>
                <w:lang w:val="es-MX"/>
              </w:rPr>
              <w:t xml:space="preserve"> </w:t>
            </w:r>
            <w:r w:rsidRPr="003618E2">
              <w:rPr>
                <w:sz w:val="20"/>
                <w:lang w:val="es-MX"/>
              </w:rPr>
              <w:t>400</w:t>
            </w:r>
            <w:r w:rsidR="00D136BB">
              <w:rPr>
                <w:sz w:val="20"/>
                <w:lang w:val="es-MX"/>
              </w:rPr>
              <w:t xml:space="preserve"> </w:t>
            </w:r>
            <w:r w:rsidRPr="003618E2">
              <w:rPr>
                <w:sz w:val="20"/>
                <w:lang w:val="es-MX"/>
              </w:rPr>
              <w:t>kCi</w:t>
            </w:r>
          </w:p>
        </w:tc>
        <w:tc>
          <w:tcPr>
            <w:tcW w:w="1418" w:type="dxa"/>
            <w:tcBorders>
              <w:top w:val="single" w:sz="4" w:space="0" w:color="auto"/>
              <w:left w:val="nil"/>
              <w:bottom w:val="single" w:sz="4" w:space="0" w:color="auto"/>
              <w:right w:val="single" w:sz="4" w:space="0" w:color="auto"/>
            </w:tcBorders>
            <w:vAlign w:val="center"/>
          </w:tcPr>
          <w:p w14:paraId="40A42D4F" w14:textId="7348D5F0"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desarrollo</w:t>
            </w:r>
          </w:p>
        </w:tc>
        <w:tc>
          <w:tcPr>
            <w:tcW w:w="1561" w:type="dxa"/>
            <w:tcBorders>
              <w:top w:val="single" w:sz="4" w:space="0" w:color="auto"/>
              <w:left w:val="nil"/>
              <w:bottom w:val="single" w:sz="4" w:space="0" w:color="auto"/>
              <w:right w:val="single" w:sz="4" w:space="0" w:color="auto"/>
            </w:tcBorders>
            <w:vAlign w:val="center"/>
          </w:tcPr>
          <w:p w14:paraId="756B1500" w14:textId="22FD07A2" w:rsidR="006D362C" w:rsidRPr="003618E2" w:rsidRDefault="006D362C" w:rsidP="00D136BB">
            <w:pPr>
              <w:pStyle w:val="BodyText"/>
              <w:rPr>
                <w:sz w:val="20"/>
                <w:lang w:val="es-MX"/>
              </w:rPr>
            </w:pPr>
            <w:r w:rsidRPr="003618E2">
              <w:rPr>
                <w:sz w:val="20"/>
                <w:lang w:val="es-MX"/>
              </w:rPr>
              <w:t>Radiocrómico,</w:t>
            </w:r>
            <w:r w:rsidR="00D136BB">
              <w:rPr>
                <w:sz w:val="20"/>
                <w:lang w:val="es-MX"/>
              </w:rPr>
              <w:t xml:space="preserve">  </w:t>
            </w:r>
            <w:r w:rsidRPr="003618E2">
              <w:rPr>
                <w:sz w:val="20"/>
                <w:lang w:val="es-MX"/>
              </w:rPr>
              <w:t>PMMA</w:t>
            </w:r>
          </w:p>
          <w:p w14:paraId="28119105" w14:textId="77777777" w:rsidR="006D362C" w:rsidRPr="003618E2" w:rsidRDefault="006D362C" w:rsidP="00D136BB">
            <w:pPr>
              <w:pStyle w:val="BodyText"/>
              <w:rPr>
                <w:sz w:val="20"/>
                <w:lang w:val="es-MX"/>
              </w:rPr>
            </w:pPr>
            <w:r w:rsidRPr="003618E2">
              <w:rPr>
                <w:sz w:val="20"/>
                <w:lang w:val="es-MX"/>
              </w:rPr>
              <w:t>Alanina</w:t>
            </w:r>
          </w:p>
        </w:tc>
        <w:tc>
          <w:tcPr>
            <w:tcW w:w="1137" w:type="dxa"/>
            <w:tcBorders>
              <w:top w:val="single" w:sz="4" w:space="0" w:color="auto"/>
              <w:left w:val="nil"/>
              <w:bottom w:val="single" w:sz="4" w:space="0" w:color="auto"/>
              <w:right w:val="single" w:sz="4" w:space="0" w:color="auto"/>
            </w:tcBorders>
            <w:vAlign w:val="center"/>
          </w:tcPr>
          <w:p w14:paraId="44F53592" w14:textId="7670C28D" w:rsidR="006D362C" w:rsidRPr="003618E2" w:rsidRDefault="006D362C" w:rsidP="00D136BB">
            <w:pPr>
              <w:pStyle w:val="BodyText"/>
              <w:rPr>
                <w:sz w:val="20"/>
                <w:lang w:val="es-MX"/>
              </w:rPr>
            </w:pPr>
            <w:r w:rsidRPr="003618E2">
              <w:rPr>
                <w:sz w:val="20"/>
                <w:lang w:val="es-MX"/>
              </w:rPr>
              <w:t>Fricke,</w:t>
            </w:r>
            <w:r w:rsidR="00D136BB">
              <w:rPr>
                <w:sz w:val="20"/>
                <w:lang w:val="es-MX"/>
              </w:rPr>
              <w:t xml:space="preserve"> </w:t>
            </w:r>
            <w:r w:rsidRPr="003618E2">
              <w:rPr>
                <w:sz w:val="20"/>
                <w:lang w:val="es-MX"/>
              </w:rPr>
              <w:t>Alanina</w:t>
            </w:r>
          </w:p>
        </w:tc>
        <w:tc>
          <w:tcPr>
            <w:tcW w:w="1134" w:type="dxa"/>
            <w:tcBorders>
              <w:top w:val="single" w:sz="4" w:space="0" w:color="auto"/>
              <w:left w:val="nil"/>
              <w:bottom w:val="single" w:sz="4" w:space="0" w:color="auto"/>
              <w:right w:val="single" w:sz="4" w:space="0" w:color="auto"/>
            </w:tcBorders>
            <w:vAlign w:val="center"/>
          </w:tcPr>
          <w:p w14:paraId="0E150A31" w14:textId="77777777" w:rsidR="006D362C" w:rsidRPr="003618E2" w:rsidRDefault="006D362C" w:rsidP="00D136BB">
            <w:pPr>
              <w:pStyle w:val="BodyText"/>
              <w:rPr>
                <w:sz w:val="20"/>
                <w:lang w:val="es-MX"/>
              </w:rPr>
            </w:pPr>
            <w:r w:rsidRPr="003618E2">
              <w:rPr>
                <w:sz w:val="20"/>
                <w:lang w:val="es-MX"/>
              </w:rPr>
              <w:t>Si</w:t>
            </w:r>
          </w:p>
        </w:tc>
        <w:tc>
          <w:tcPr>
            <w:tcW w:w="1134" w:type="dxa"/>
            <w:tcBorders>
              <w:top w:val="single" w:sz="4" w:space="0" w:color="auto"/>
              <w:left w:val="nil"/>
              <w:bottom w:val="single" w:sz="4" w:space="0" w:color="auto"/>
              <w:right w:val="double" w:sz="4" w:space="0" w:color="auto"/>
            </w:tcBorders>
            <w:vAlign w:val="center"/>
          </w:tcPr>
          <w:p w14:paraId="5834BFB5" w14:textId="77777777" w:rsidR="006D362C" w:rsidRPr="003618E2" w:rsidRDefault="006D362C" w:rsidP="00D136BB">
            <w:pPr>
              <w:pStyle w:val="BodyText"/>
              <w:rPr>
                <w:sz w:val="20"/>
                <w:lang w:val="es-MX"/>
              </w:rPr>
            </w:pPr>
            <w:r w:rsidRPr="003618E2">
              <w:rPr>
                <w:sz w:val="20"/>
                <w:lang w:val="es-MX"/>
              </w:rPr>
              <w:t>No</w:t>
            </w:r>
          </w:p>
        </w:tc>
      </w:tr>
      <w:tr w:rsidR="006D362C" w:rsidRPr="003618E2" w14:paraId="30C3CDC0" w14:textId="77777777" w:rsidTr="00D136BB">
        <w:trPr>
          <w:trHeight w:val="765"/>
          <w:jc w:val="center"/>
        </w:trPr>
        <w:tc>
          <w:tcPr>
            <w:tcW w:w="1272" w:type="dxa"/>
            <w:vMerge/>
            <w:tcBorders>
              <w:left w:val="double" w:sz="4" w:space="0" w:color="auto"/>
              <w:right w:val="single" w:sz="4" w:space="0" w:color="auto"/>
            </w:tcBorders>
            <w:shd w:val="clear" w:color="auto" w:fill="FF81AB"/>
            <w:vAlign w:val="center"/>
            <w:hideMark/>
          </w:tcPr>
          <w:p w14:paraId="1DC0C5BA"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76E27F2" w14:textId="71F9414D" w:rsidR="006D362C" w:rsidRPr="003618E2" w:rsidRDefault="006D362C" w:rsidP="00D136BB">
            <w:pPr>
              <w:pStyle w:val="BodyText"/>
              <w:rPr>
                <w:sz w:val="20"/>
                <w:lang w:val="es-MX"/>
              </w:rPr>
            </w:pPr>
            <w:r w:rsidRPr="003618E2">
              <w:rPr>
                <w:sz w:val="20"/>
                <w:lang w:val="es-MX"/>
              </w:rPr>
              <w:t>2</w:t>
            </w:r>
            <w:r w:rsidR="00D136BB">
              <w:rPr>
                <w:sz w:val="20"/>
                <w:lang w:val="es-MX"/>
              </w:rPr>
              <w:t xml:space="preserve"> </w:t>
            </w:r>
            <w:r w:rsidRPr="003618E2">
              <w:rPr>
                <w:sz w:val="20"/>
                <w:lang w:val="es-MX"/>
              </w:rPr>
              <w:t>Aceleradores</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electrones,</w:t>
            </w:r>
            <w:r w:rsidR="00D136BB">
              <w:rPr>
                <w:sz w:val="20"/>
                <w:lang w:val="es-MX"/>
              </w:rPr>
              <w:t xml:space="preserve"> </w:t>
            </w:r>
            <w:r w:rsidRPr="003618E2">
              <w:rPr>
                <w:sz w:val="20"/>
                <w:lang w:val="es-MX"/>
              </w:rPr>
              <w:t>IPEN</w:t>
            </w:r>
            <w:r w:rsidR="00D136BB">
              <w:rPr>
                <w:sz w:val="20"/>
                <w:lang w:val="es-MX"/>
              </w:rPr>
              <w:t xml:space="preserve"> </w:t>
            </w:r>
            <w:r w:rsidRPr="003618E2">
              <w:rPr>
                <w:sz w:val="20"/>
                <w:lang w:val="es-MX"/>
              </w:rPr>
              <w:t>(1.5</w:t>
            </w:r>
            <w:r w:rsidR="00D136BB">
              <w:rPr>
                <w:sz w:val="20"/>
                <w:lang w:val="es-MX"/>
              </w:rPr>
              <w:t xml:space="preserve"> </w:t>
            </w:r>
            <w:r w:rsidRPr="003618E2">
              <w:rPr>
                <w:sz w:val="20"/>
                <w:lang w:val="es-MX"/>
              </w:rPr>
              <w:t>MeV</w:t>
            </w:r>
            <w:r w:rsidR="00D136BB">
              <w:rPr>
                <w:sz w:val="20"/>
                <w:lang w:val="es-MX"/>
              </w:rPr>
              <w:t xml:space="preserve"> </w:t>
            </w:r>
            <w:r w:rsidRPr="003618E2">
              <w:rPr>
                <w:sz w:val="20"/>
                <w:lang w:val="es-MX"/>
              </w:rPr>
              <w:t>–</w:t>
            </w:r>
            <w:r w:rsidR="00D136BB">
              <w:rPr>
                <w:sz w:val="20"/>
                <w:lang w:val="es-MX"/>
              </w:rPr>
              <w:t xml:space="preserve"> </w:t>
            </w:r>
            <w:r w:rsidRPr="003618E2">
              <w:rPr>
                <w:sz w:val="20"/>
                <w:lang w:val="es-MX"/>
              </w:rPr>
              <w:t>37,5</w:t>
            </w:r>
            <w:r w:rsidR="00D136BB">
              <w:rPr>
                <w:sz w:val="20"/>
                <w:lang w:val="es-MX"/>
              </w:rPr>
              <w:t xml:space="preserve"> </w:t>
            </w:r>
            <w:r w:rsidRPr="003618E2">
              <w:rPr>
                <w:sz w:val="20"/>
                <w:lang w:val="es-MX"/>
              </w:rPr>
              <w:t>mA</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70mA)</w:t>
            </w:r>
          </w:p>
        </w:tc>
        <w:tc>
          <w:tcPr>
            <w:tcW w:w="1418" w:type="dxa"/>
            <w:tcBorders>
              <w:top w:val="single" w:sz="4" w:space="0" w:color="auto"/>
              <w:left w:val="nil"/>
              <w:bottom w:val="single" w:sz="4" w:space="0" w:color="auto"/>
              <w:right w:val="single" w:sz="4" w:space="0" w:color="auto"/>
            </w:tcBorders>
            <w:vAlign w:val="center"/>
            <w:hideMark/>
          </w:tcPr>
          <w:p w14:paraId="27FF2B4F" w14:textId="3787760A"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desarrollo</w:t>
            </w:r>
          </w:p>
        </w:tc>
        <w:tc>
          <w:tcPr>
            <w:tcW w:w="1561" w:type="dxa"/>
            <w:tcBorders>
              <w:top w:val="single" w:sz="4" w:space="0" w:color="auto"/>
              <w:left w:val="nil"/>
              <w:bottom w:val="single" w:sz="4" w:space="0" w:color="auto"/>
              <w:right w:val="single" w:sz="4" w:space="0" w:color="auto"/>
            </w:tcBorders>
            <w:vAlign w:val="center"/>
            <w:hideMark/>
          </w:tcPr>
          <w:p w14:paraId="032D389D" w14:textId="37412BDE" w:rsidR="006D362C" w:rsidRPr="003618E2" w:rsidRDefault="006D362C" w:rsidP="00D136BB">
            <w:pPr>
              <w:pStyle w:val="BodyText"/>
              <w:rPr>
                <w:sz w:val="20"/>
                <w:lang w:val="es-MX"/>
              </w:rPr>
            </w:pPr>
            <w:r w:rsidRPr="003618E2">
              <w:rPr>
                <w:sz w:val="20"/>
                <w:lang w:val="es-MX"/>
              </w:rPr>
              <w:t>CTA,</w:t>
            </w:r>
            <w:r w:rsidR="00D136BB">
              <w:rPr>
                <w:sz w:val="20"/>
                <w:lang w:val="es-MX"/>
              </w:rPr>
              <w:t xml:space="preserve"> </w:t>
            </w:r>
            <w:r w:rsidRPr="003618E2">
              <w:rPr>
                <w:sz w:val="20"/>
                <w:lang w:val="es-MX"/>
              </w:rPr>
              <w:t>Radiocrómico</w:t>
            </w:r>
          </w:p>
        </w:tc>
        <w:tc>
          <w:tcPr>
            <w:tcW w:w="1137" w:type="dxa"/>
            <w:tcBorders>
              <w:top w:val="single" w:sz="4" w:space="0" w:color="auto"/>
              <w:left w:val="nil"/>
              <w:bottom w:val="single" w:sz="4" w:space="0" w:color="auto"/>
              <w:right w:val="single" w:sz="4" w:space="0" w:color="auto"/>
            </w:tcBorders>
            <w:vAlign w:val="center"/>
            <w:hideMark/>
          </w:tcPr>
          <w:p w14:paraId="78E19A60" w14:textId="77777777" w:rsidR="006D362C" w:rsidRPr="003618E2" w:rsidRDefault="006D362C" w:rsidP="00D136BB">
            <w:pPr>
              <w:pStyle w:val="BodyText"/>
              <w:rPr>
                <w:sz w:val="20"/>
                <w:lang w:val="es-MX"/>
              </w:rPr>
            </w:pPr>
            <w:r w:rsidRPr="003618E2">
              <w:rPr>
                <w:sz w:val="20"/>
                <w:lang w:val="es-MX"/>
              </w:rPr>
              <w:t>Alanina</w:t>
            </w:r>
          </w:p>
        </w:tc>
        <w:tc>
          <w:tcPr>
            <w:tcW w:w="1134" w:type="dxa"/>
            <w:tcBorders>
              <w:top w:val="single" w:sz="4" w:space="0" w:color="auto"/>
              <w:left w:val="nil"/>
              <w:bottom w:val="single" w:sz="4" w:space="0" w:color="auto"/>
              <w:right w:val="single" w:sz="4" w:space="0" w:color="auto"/>
            </w:tcBorders>
            <w:vAlign w:val="center"/>
            <w:hideMark/>
          </w:tcPr>
          <w:p w14:paraId="01EC4FB0" w14:textId="77777777" w:rsidR="006D362C" w:rsidRPr="003618E2" w:rsidRDefault="006D362C" w:rsidP="00D136BB">
            <w:pPr>
              <w:pStyle w:val="BodyText"/>
              <w:rPr>
                <w:sz w:val="20"/>
                <w:lang w:val="es-MX"/>
              </w:rPr>
            </w:pPr>
            <w:r w:rsidRPr="003618E2">
              <w:rPr>
                <w:sz w:val="20"/>
                <w:lang w:val="es-MX"/>
              </w:rPr>
              <w:t>Si</w:t>
            </w:r>
          </w:p>
        </w:tc>
        <w:tc>
          <w:tcPr>
            <w:tcW w:w="1134" w:type="dxa"/>
            <w:tcBorders>
              <w:top w:val="single" w:sz="4" w:space="0" w:color="auto"/>
              <w:left w:val="nil"/>
              <w:bottom w:val="single" w:sz="4" w:space="0" w:color="auto"/>
              <w:right w:val="double" w:sz="4" w:space="0" w:color="auto"/>
            </w:tcBorders>
            <w:vAlign w:val="center"/>
            <w:hideMark/>
          </w:tcPr>
          <w:p w14:paraId="61B9D240" w14:textId="77777777" w:rsidR="006D362C" w:rsidRPr="003618E2" w:rsidRDefault="006D362C" w:rsidP="00D136BB">
            <w:pPr>
              <w:pStyle w:val="BodyText"/>
              <w:rPr>
                <w:sz w:val="20"/>
                <w:lang w:val="es-MX"/>
              </w:rPr>
            </w:pPr>
            <w:r w:rsidRPr="003618E2">
              <w:rPr>
                <w:sz w:val="20"/>
                <w:lang w:val="es-MX"/>
              </w:rPr>
              <w:t>No</w:t>
            </w:r>
          </w:p>
        </w:tc>
      </w:tr>
      <w:tr w:rsidR="006D362C" w:rsidRPr="003618E2" w14:paraId="4DD5A496" w14:textId="77777777" w:rsidTr="00D136BB">
        <w:trPr>
          <w:trHeight w:val="765"/>
          <w:jc w:val="center"/>
        </w:trPr>
        <w:tc>
          <w:tcPr>
            <w:tcW w:w="1272" w:type="dxa"/>
            <w:vMerge/>
            <w:tcBorders>
              <w:left w:val="double" w:sz="4" w:space="0" w:color="auto"/>
              <w:right w:val="single" w:sz="4" w:space="0" w:color="auto"/>
            </w:tcBorders>
            <w:shd w:val="clear" w:color="auto" w:fill="FF81AB"/>
            <w:vAlign w:val="center"/>
          </w:tcPr>
          <w:p w14:paraId="62B909D4"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6FBAE400" w14:textId="2B1E3682" w:rsidR="006D362C" w:rsidRPr="003618E2" w:rsidRDefault="006D362C" w:rsidP="00D136BB">
            <w:pPr>
              <w:pStyle w:val="BodyText"/>
              <w:rPr>
                <w:sz w:val="20"/>
                <w:lang w:val="es-MX"/>
              </w:rPr>
            </w:pPr>
            <w:r w:rsidRPr="003618E2">
              <w:rPr>
                <w:sz w:val="20"/>
                <w:lang w:val="es-MX"/>
              </w:rPr>
              <w:t>02</w:t>
            </w:r>
            <w:r w:rsidR="00D136BB">
              <w:rPr>
                <w:sz w:val="20"/>
                <w:lang w:val="es-MX"/>
              </w:rPr>
              <w:t xml:space="preserve"> </w:t>
            </w:r>
            <w:r w:rsidRPr="003618E2">
              <w:rPr>
                <w:sz w:val="20"/>
                <w:lang w:val="es-MX"/>
              </w:rPr>
              <w:t>Gamma</w:t>
            </w:r>
            <w:r w:rsidR="00D136BB">
              <w:rPr>
                <w:sz w:val="20"/>
                <w:lang w:val="es-MX"/>
              </w:rPr>
              <w:t xml:space="preserve"> </w:t>
            </w:r>
            <w:r w:rsidRPr="003618E2">
              <w:rPr>
                <w:sz w:val="20"/>
                <w:lang w:val="es-MX"/>
              </w:rPr>
              <w:t>cell</w:t>
            </w:r>
            <w:r w:rsidR="00D136BB">
              <w:rPr>
                <w:sz w:val="20"/>
                <w:lang w:val="es-MX"/>
              </w:rPr>
              <w:t xml:space="preserve"> </w:t>
            </w:r>
            <w:r w:rsidRPr="003618E2">
              <w:rPr>
                <w:sz w:val="20"/>
                <w:lang w:val="es-MX"/>
              </w:rPr>
              <w:t>actividade:</w:t>
            </w:r>
          </w:p>
          <w:p w14:paraId="6FC9D9F8" w14:textId="6AF2E463" w:rsidR="006D362C" w:rsidRPr="003618E2" w:rsidRDefault="006D362C" w:rsidP="00D136BB">
            <w:pPr>
              <w:pStyle w:val="BodyText"/>
              <w:rPr>
                <w:sz w:val="20"/>
                <w:lang w:val="es-MX"/>
              </w:rPr>
            </w:pPr>
            <w:r w:rsidRPr="003618E2">
              <w:rPr>
                <w:sz w:val="20"/>
                <w:lang w:val="es-MX"/>
              </w:rPr>
              <w:t>&lt;</w:t>
            </w:r>
            <w:r w:rsidR="00D136BB">
              <w:rPr>
                <w:sz w:val="20"/>
                <w:lang w:val="es-MX"/>
              </w:rPr>
              <w:t xml:space="preserve"> </w:t>
            </w:r>
            <w:r w:rsidRPr="003618E2">
              <w:rPr>
                <w:sz w:val="20"/>
                <w:lang w:val="es-MX"/>
              </w:rPr>
              <w:t>10</w:t>
            </w:r>
            <w:r w:rsidR="00D136BB">
              <w:rPr>
                <w:sz w:val="20"/>
                <w:lang w:val="es-MX"/>
              </w:rPr>
              <w:t xml:space="preserve"> </w:t>
            </w:r>
            <w:r w:rsidRPr="003618E2">
              <w:rPr>
                <w:sz w:val="20"/>
                <w:lang w:val="es-MX"/>
              </w:rPr>
              <w:t>kCi,</w:t>
            </w:r>
            <w:r w:rsidR="00D136BB">
              <w:rPr>
                <w:sz w:val="20"/>
                <w:lang w:val="es-MX"/>
              </w:rPr>
              <w:t xml:space="preserve"> </w:t>
            </w:r>
            <w:r w:rsidRPr="003618E2">
              <w:rPr>
                <w:sz w:val="20"/>
                <w:lang w:val="es-MX"/>
              </w:rPr>
              <w:t>IPEN</w:t>
            </w:r>
          </w:p>
        </w:tc>
        <w:tc>
          <w:tcPr>
            <w:tcW w:w="1418" w:type="dxa"/>
            <w:tcBorders>
              <w:top w:val="single" w:sz="4" w:space="0" w:color="auto"/>
              <w:left w:val="nil"/>
              <w:bottom w:val="single" w:sz="4" w:space="0" w:color="auto"/>
              <w:right w:val="single" w:sz="4" w:space="0" w:color="auto"/>
            </w:tcBorders>
            <w:vAlign w:val="center"/>
          </w:tcPr>
          <w:p w14:paraId="2DBBF69B" w14:textId="5CFE9C04"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desarrollo</w:t>
            </w:r>
          </w:p>
        </w:tc>
        <w:tc>
          <w:tcPr>
            <w:tcW w:w="1561" w:type="dxa"/>
            <w:tcBorders>
              <w:top w:val="single" w:sz="4" w:space="0" w:color="auto"/>
              <w:left w:val="nil"/>
              <w:bottom w:val="single" w:sz="4" w:space="0" w:color="auto"/>
              <w:right w:val="single" w:sz="4" w:space="0" w:color="auto"/>
            </w:tcBorders>
            <w:vAlign w:val="center"/>
          </w:tcPr>
          <w:p w14:paraId="1EF0675C" w14:textId="77777777" w:rsidR="006D362C" w:rsidRPr="003618E2" w:rsidRDefault="006D362C" w:rsidP="00D136BB">
            <w:pPr>
              <w:pStyle w:val="BodyText"/>
              <w:rPr>
                <w:sz w:val="20"/>
                <w:lang w:val="es-MX"/>
              </w:rPr>
            </w:pPr>
            <w:r w:rsidRPr="003618E2">
              <w:rPr>
                <w:sz w:val="20"/>
                <w:lang w:val="es-MX"/>
              </w:rPr>
              <w:t>Perxpex</w:t>
            </w:r>
          </w:p>
        </w:tc>
        <w:tc>
          <w:tcPr>
            <w:tcW w:w="1137" w:type="dxa"/>
            <w:tcBorders>
              <w:top w:val="single" w:sz="4" w:space="0" w:color="auto"/>
              <w:left w:val="nil"/>
              <w:bottom w:val="single" w:sz="4" w:space="0" w:color="auto"/>
              <w:right w:val="single" w:sz="4" w:space="0" w:color="auto"/>
            </w:tcBorders>
            <w:vAlign w:val="center"/>
          </w:tcPr>
          <w:p w14:paraId="07BA001A" w14:textId="77777777" w:rsidR="006D362C" w:rsidRPr="003618E2" w:rsidRDefault="006D362C" w:rsidP="00D136BB">
            <w:pPr>
              <w:pStyle w:val="BodyText"/>
              <w:rPr>
                <w:sz w:val="20"/>
                <w:lang w:val="es-MX"/>
              </w:rPr>
            </w:pPr>
            <w:r w:rsidRPr="003618E2">
              <w:rPr>
                <w:sz w:val="20"/>
                <w:lang w:val="es-MX"/>
              </w:rPr>
              <w:t>Alanina</w:t>
            </w:r>
          </w:p>
        </w:tc>
        <w:tc>
          <w:tcPr>
            <w:tcW w:w="1134" w:type="dxa"/>
            <w:tcBorders>
              <w:top w:val="single" w:sz="4" w:space="0" w:color="auto"/>
              <w:left w:val="nil"/>
              <w:bottom w:val="single" w:sz="4" w:space="0" w:color="auto"/>
              <w:right w:val="single" w:sz="4" w:space="0" w:color="auto"/>
            </w:tcBorders>
            <w:vAlign w:val="center"/>
          </w:tcPr>
          <w:p w14:paraId="05A2AA75" w14:textId="77777777" w:rsidR="006D362C" w:rsidRPr="003618E2" w:rsidRDefault="006D362C" w:rsidP="00D136BB">
            <w:pPr>
              <w:pStyle w:val="BodyText"/>
              <w:rPr>
                <w:sz w:val="20"/>
                <w:lang w:val="es-MX"/>
              </w:rPr>
            </w:pPr>
            <w:r w:rsidRPr="003618E2">
              <w:rPr>
                <w:sz w:val="20"/>
                <w:lang w:val="es-MX"/>
              </w:rPr>
              <w:t>Si</w:t>
            </w:r>
          </w:p>
        </w:tc>
        <w:tc>
          <w:tcPr>
            <w:tcW w:w="1134" w:type="dxa"/>
            <w:tcBorders>
              <w:top w:val="single" w:sz="4" w:space="0" w:color="auto"/>
              <w:left w:val="nil"/>
              <w:bottom w:val="single" w:sz="4" w:space="0" w:color="auto"/>
              <w:right w:val="double" w:sz="4" w:space="0" w:color="auto"/>
            </w:tcBorders>
            <w:vAlign w:val="center"/>
          </w:tcPr>
          <w:p w14:paraId="4C720925" w14:textId="77777777" w:rsidR="006D362C" w:rsidRPr="003618E2" w:rsidRDefault="006D362C" w:rsidP="00D136BB">
            <w:pPr>
              <w:pStyle w:val="BodyText"/>
              <w:rPr>
                <w:sz w:val="20"/>
                <w:lang w:val="es-MX"/>
              </w:rPr>
            </w:pPr>
            <w:r w:rsidRPr="003618E2">
              <w:rPr>
                <w:sz w:val="20"/>
                <w:lang w:val="es-MX"/>
              </w:rPr>
              <w:t>No</w:t>
            </w:r>
          </w:p>
        </w:tc>
      </w:tr>
      <w:tr w:rsidR="006D362C" w:rsidRPr="003618E2" w14:paraId="588B6312" w14:textId="77777777" w:rsidTr="00D136BB">
        <w:trPr>
          <w:trHeight w:val="765"/>
          <w:jc w:val="center"/>
        </w:trPr>
        <w:tc>
          <w:tcPr>
            <w:tcW w:w="1272" w:type="dxa"/>
            <w:vMerge/>
            <w:tcBorders>
              <w:left w:val="double" w:sz="4" w:space="0" w:color="auto"/>
              <w:bottom w:val="double" w:sz="4" w:space="0" w:color="auto"/>
              <w:right w:val="single" w:sz="4" w:space="0" w:color="auto"/>
            </w:tcBorders>
            <w:shd w:val="clear" w:color="auto" w:fill="FF81AB"/>
            <w:vAlign w:val="center"/>
          </w:tcPr>
          <w:p w14:paraId="1817E7A9"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double" w:sz="4" w:space="0" w:color="auto"/>
              <w:right w:val="single" w:sz="4" w:space="0" w:color="auto"/>
            </w:tcBorders>
            <w:vAlign w:val="center"/>
          </w:tcPr>
          <w:p w14:paraId="681EF7B6" w14:textId="5C8188C7" w:rsidR="006D362C" w:rsidRPr="003618E2" w:rsidRDefault="006D362C" w:rsidP="00D136BB">
            <w:pPr>
              <w:pStyle w:val="BodyText"/>
              <w:rPr>
                <w:sz w:val="20"/>
                <w:lang w:val="es-MX"/>
              </w:rPr>
            </w:pPr>
            <w:r w:rsidRPr="003618E2">
              <w:rPr>
                <w:sz w:val="20"/>
                <w:lang w:val="es-MX"/>
              </w:rPr>
              <w:t>01</w:t>
            </w:r>
            <w:r w:rsidR="00D136BB">
              <w:rPr>
                <w:sz w:val="20"/>
                <w:lang w:val="es-MX"/>
              </w:rPr>
              <w:t xml:space="preserve"> </w:t>
            </w:r>
            <w:r w:rsidRPr="003618E2">
              <w:rPr>
                <w:sz w:val="20"/>
                <w:lang w:val="es-MX"/>
              </w:rPr>
              <w:t>Acelerador</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electrones</w:t>
            </w:r>
            <w:r w:rsidR="00D136BB">
              <w:rPr>
                <w:sz w:val="20"/>
                <w:lang w:val="es-MX"/>
              </w:rPr>
              <w:t xml:space="preserve"> </w:t>
            </w:r>
            <w:r w:rsidRPr="003618E2">
              <w:rPr>
                <w:sz w:val="20"/>
                <w:lang w:val="es-MX"/>
              </w:rPr>
              <w:t>móbil,</w:t>
            </w:r>
            <w:r w:rsidR="00D136BB">
              <w:rPr>
                <w:sz w:val="20"/>
                <w:lang w:val="es-MX"/>
              </w:rPr>
              <w:t xml:space="preserve"> </w:t>
            </w:r>
            <w:r w:rsidRPr="003618E2">
              <w:rPr>
                <w:sz w:val="20"/>
                <w:lang w:val="es-MX"/>
              </w:rPr>
              <w:t>IPEN</w:t>
            </w:r>
            <w:r w:rsidR="00D136BB">
              <w:rPr>
                <w:sz w:val="20"/>
                <w:lang w:val="es-MX"/>
              </w:rPr>
              <w:t xml:space="preserve"> </w:t>
            </w:r>
            <w:r w:rsidRPr="003618E2">
              <w:rPr>
                <w:sz w:val="20"/>
                <w:lang w:val="es-MX"/>
              </w:rPr>
              <w:t>(0.7</w:t>
            </w:r>
            <w:r w:rsidR="00D136BB">
              <w:rPr>
                <w:sz w:val="20"/>
                <w:lang w:val="es-MX"/>
              </w:rPr>
              <w:t xml:space="preserve"> </w:t>
            </w:r>
            <w:r w:rsidRPr="003618E2">
              <w:rPr>
                <w:sz w:val="20"/>
                <w:lang w:val="es-MX"/>
              </w:rPr>
              <w:t>MeV</w:t>
            </w:r>
            <w:r w:rsidR="00D136BB">
              <w:rPr>
                <w:sz w:val="20"/>
                <w:lang w:val="es-MX"/>
              </w:rPr>
              <w:t xml:space="preserve"> </w:t>
            </w:r>
            <w:r w:rsidRPr="003618E2">
              <w:rPr>
                <w:sz w:val="20"/>
                <w:lang w:val="es-MX"/>
              </w:rPr>
              <w:t>–</w:t>
            </w:r>
            <w:r w:rsidR="00D136BB">
              <w:rPr>
                <w:sz w:val="20"/>
                <w:lang w:val="es-MX"/>
              </w:rPr>
              <w:t xml:space="preserve"> </w:t>
            </w:r>
            <w:r w:rsidRPr="003618E2">
              <w:rPr>
                <w:sz w:val="20"/>
                <w:lang w:val="es-MX"/>
              </w:rPr>
              <w:t>20</w:t>
            </w:r>
            <w:r w:rsidR="00D136BB">
              <w:rPr>
                <w:sz w:val="20"/>
                <w:lang w:val="es-MX"/>
              </w:rPr>
              <w:t xml:space="preserve"> </w:t>
            </w:r>
            <w:r w:rsidRPr="003618E2">
              <w:rPr>
                <w:sz w:val="20"/>
                <w:lang w:val="es-MX"/>
              </w:rPr>
              <w:t>kW)</w:t>
            </w:r>
          </w:p>
        </w:tc>
        <w:tc>
          <w:tcPr>
            <w:tcW w:w="1418" w:type="dxa"/>
            <w:tcBorders>
              <w:top w:val="single" w:sz="4" w:space="0" w:color="auto"/>
              <w:left w:val="nil"/>
              <w:bottom w:val="double" w:sz="4" w:space="0" w:color="auto"/>
              <w:right w:val="single" w:sz="4" w:space="0" w:color="auto"/>
            </w:tcBorders>
            <w:vAlign w:val="center"/>
          </w:tcPr>
          <w:p w14:paraId="0711FF9A" w14:textId="35F76B53"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desarrollo</w:t>
            </w:r>
          </w:p>
        </w:tc>
        <w:tc>
          <w:tcPr>
            <w:tcW w:w="1561" w:type="dxa"/>
            <w:tcBorders>
              <w:top w:val="single" w:sz="4" w:space="0" w:color="auto"/>
              <w:left w:val="nil"/>
              <w:bottom w:val="double" w:sz="4" w:space="0" w:color="auto"/>
              <w:right w:val="single" w:sz="4" w:space="0" w:color="auto"/>
            </w:tcBorders>
            <w:vAlign w:val="center"/>
          </w:tcPr>
          <w:p w14:paraId="58875B6F" w14:textId="11AE5321" w:rsidR="006D362C" w:rsidRPr="003618E2" w:rsidRDefault="006D362C" w:rsidP="00D136BB">
            <w:pPr>
              <w:pStyle w:val="BodyText"/>
              <w:rPr>
                <w:sz w:val="20"/>
                <w:lang w:val="es-MX"/>
              </w:rPr>
            </w:pPr>
            <w:r w:rsidRPr="003618E2">
              <w:rPr>
                <w:sz w:val="20"/>
                <w:lang w:val="es-MX"/>
              </w:rPr>
              <w:t>CTA,</w:t>
            </w:r>
            <w:r w:rsidR="00D136BB">
              <w:rPr>
                <w:sz w:val="20"/>
                <w:lang w:val="es-MX"/>
              </w:rPr>
              <w:t xml:space="preserve"> </w:t>
            </w:r>
            <w:r w:rsidRPr="003618E2">
              <w:rPr>
                <w:sz w:val="20"/>
                <w:lang w:val="es-MX"/>
              </w:rPr>
              <w:t>Radiocrómico</w:t>
            </w:r>
          </w:p>
        </w:tc>
        <w:tc>
          <w:tcPr>
            <w:tcW w:w="1137" w:type="dxa"/>
            <w:tcBorders>
              <w:top w:val="single" w:sz="4" w:space="0" w:color="auto"/>
              <w:left w:val="nil"/>
              <w:bottom w:val="double" w:sz="4" w:space="0" w:color="auto"/>
              <w:right w:val="single" w:sz="4" w:space="0" w:color="auto"/>
            </w:tcBorders>
            <w:vAlign w:val="center"/>
          </w:tcPr>
          <w:p w14:paraId="5BCB9CC5" w14:textId="77777777" w:rsidR="006D362C" w:rsidRPr="003618E2" w:rsidRDefault="006D362C" w:rsidP="00D136BB">
            <w:pPr>
              <w:pStyle w:val="BodyText"/>
              <w:rPr>
                <w:sz w:val="20"/>
                <w:lang w:val="es-MX"/>
              </w:rPr>
            </w:pPr>
            <w:r w:rsidRPr="003618E2">
              <w:rPr>
                <w:sz w:val="20"/>
                <w:lang w:val="es-MX"/>
              </w:rPr>
              <w:t>Alanina</w:t>
            </w:r>
          </w:p>
        </w:tc>
        <w:tc>
          <w:tcPr>
            <w:tcW w:w="1134" w:type="dxa"/>
            <w:tcBorders>
              <w:top w:val="single" w:sz="4" w:space="0" w:color="auto"/>
              <w:left w:val="nil"/>
              <w:bottom w:val="double" w:sz="4" w:space="0" w:color="auto"/>
              <w:right w:val="single" w:sz="4" w:space="0" w:color="auto"/>
            </w:tcBorders>
            <w:vAlign w:val="center"/>
          </w:tcPr>
          <w:p w14:paraId="2D4A1D8A" w14:textId="77777777" w:rsidR="006D362C" w:rsidRPr="003618E2" w:rsidRDefault="006D362C" w:rsidP="00D136BB">
            <w:pPr>
              <w:pStyle w:val="BodyText"/>
              <w:rPr>
                <w:sz w:val="20"/>
                <w:lang w:val="es-MX"/>
              </w:rPr>
            </w:pPr>
            <w:r w:rsidRPr="003618E2">
              <w:rPr>
                <w:sz w:val="20"/>
                <w:lang w:val="es-MX"/>
              </w:rPr>
              <w:t>Si</w:t>
            </w:r>
          </w:p>
        </w:tc>
        <w:tc>
          <w:tcPr>
            <w:tcW w:w="1134" w:type="dxa"/>
            <w:tcBorders>
              <w:top w:val="single" w:sz="4" w:space="0" w:color="auto"/>
              <w:left w:val="nil"/>
              <w:bottom w:val="double" w:sz="4" w:space="0" w:color="auto"/>
              <w:right w:val="double" w:sz="4" w:space="0" w:color="auto"/>
            </w:tcBorders>
            <w:vAlign w:val="center"/>
          </w:tcPr>
          <w:p w14:paraId="0F5C0729" w14:textId="77777777" w:rsidR="006D362C" w:rsidRPr="003618E2" w:rsidRDefault="006D362C" w:rsidP="00D136BB">
            <w:pPr>
              <w:pStyle w:val="BodyText"/>
              <w:rPr>
                <w:sz w:val="20"/>
                <w:lang w:val="es-MX"/>
              </w:rPr>
            </w:pPr>
            <w:r w:rsidRPr="003618E2">
              <w:rPr>
                <w:sz w:val="20"/>
                <w:lang w:val="es-MX"/>
              </w:rPr>
              <w:t>No</w:t>
            </w:r>
          </w:p>
        </w:tc>
      </w:tr>
      <w:tr w:rsidR="006D362C" w:rsidRPr="003618E2" w14:paraId="2D8616F6" w14:textId="77777777" w:rsidTr="00D136BB">
        <w:trPr>
          <w:trHeight w:val="765"/>
          <w:jc w:val="center"/>
        </w:trPr>
        <w:tc>
          <w:tcPr>
            <w:tcW w:w="1272" w:type="dxa"/>
            <w:tcBorders>
              <w:top w:val="double" w:sz="4" w:space="0" w:color="auto"/>
              <w:left w:val="double" w:sz="4" w:space="0" w:color="auto"/>
              <w:bottom w:val="double" w:sz="4" w:space="0" w:color="auto"/>
              <w:right w:val="single" w:sz="4" w:space="0" w:color="auto"/>
            </w:tcBorders>
            <w:shd w:val="clear" w:color="auto" w:fill="FF81AB"/>
            <w:vAlign w:val="center"/>
            <w:hideMark/>
          </w:tcPr>
          <w:p w14:paraId="766485B3" w14:textId="77777777" w:rsidR="006D362C" w:rsidRPr="003618E2" w:rsidRDefault="006D362C" w:rsidP="00D136BB">
            <w:pPr>
              <w:pStyle w:val="BodyText"/>
              <w:rPr>
                <w:b/>
                <w:sz w:val="20"/>
                <w:lang w:val="es-ES"/>
              </w:rPr>
            </w:pPr>
            <w:r w:rsidRPr="003618E2">
              <w:rPr>
                <w:b/>
                <w:sz w:val="20"/>
                <w:lang w:val="es-ES"/>
              </w:rPr>
              <w:lastRenderedPageBreak/>
              <w:t>Chile</w:t>
            </w:r>
          </w:p>
        </w:tc>
        <w:tc>
          <w:tcPr>
            <w:tcW w:w="1701" w:type="dxa"/>
            <w:tcBorders>
              <w:top w:val="double" w:sz="4" w:space="0" w:color="auto"/>
              <w:left w:val="nil"/>
              <w:bottom w:val="double" w:sz="4" w:space="0" w:color="auto"/>
              <w:right w:val="single" w:sz="4" w:space="0" w:color="auto"/>
            </w:tcBorders>
            <w:vAlign w:val="center"/>
            <w:hideMark/>
          </w:tcPr>
          <w:p w14:paraId="096A0DE8" w14:textId="05F61FF2" w:rsidR="006D362C" w:rsidRPr="003618E2" w:rsidRDefault="006D362C" w:rsidP="00D136BB">
            <w:pPr>
              <w:pStyle w:val="BodyText"/>
              <w:rPr>
                <w:sz w:val="20"/>
                <w:lang w:val="es-MX"/>
              </w:rPr>
            </w:pPr>
            <w:r w:rsidRPr="003618E2">
              <w:rPr>
                <w:sz w:val="20"/>
                <w:lang w:val="es-MX"/>
              </w:rPr>
              <w:t>Planta</w:t>
            </w:r>
            <w:r w:rsidR="00D136BB">
              <w:rPr>
                <w:sz w:val="20"/>
                <w:lang w:val="es-MX"/>
              </w:rPr>
              <w:t xml:space="preserve"> </w:t>
            </w:r>
            <w:r w:rsidRPr="003618E2">
              <w:rPr>
                <w:sz w:val="20"/>
                <w:lang w:val="es-MX"/>
              </w:rPr>
              <w:t>Co-</w:t>
            </w:r>
            <w:r w:rsidR="00D136BB">
              <w:rPr>
                <w:sz w:val="20"/>
                <w:lang w:val="es-MX"/>
              </w:rPr>
              <w:t xml:space="preserve"> </w:t>
            </w:r>
            <w:r w:rsidRPr="003618E2">
              <w:rPr>
                <w:sz w:val="20"/>
                <w:lang w:val="es-MX"/>
              </w:rPr>
              <w:t>60,</w:t>
            </w:r>
            <w:r w:rsidR="00D136BB">
              <w:rPr>
                <w:sz w:val="20"/>
                <w:lang w:val="es-MX"/>
              </w:rPr>
              <w:t xml:space="preserve"> </w:t>
            </w:r>
            <w:r w:rsidRPr="003618E2">
              <w:rPr>
                <w:sz w:val="20"/>
                <w:lang w:val="es-MX"/>
              </w:rPr>
              <w:t>360</w:t>
            </w:r>
            <w:r w:rsidR="00D136BB">
              <w:rPr>
                <w:sz w:val="20"/>
                <w:lang w:val="es-MX"/>
              </w:rPr>
              <w:t xml:space="preserve"> </w:t>
            </w:r>
            <w:r w:rsidRPr="003618E2">
              <w:rPr>
                <w:sz w:val="20"/>
                <w:lang w:val="es-MX"/>
              </w:rPr>
              <w:t>kCi</w:t>
            </w:r>
          </w:p>
        </w:tc>
        <w:tc>
          <w:tcPr>
            <w:tcW w:w="1418" w:type="dxa"/>
            <w:tcBorders>
              <w:top w:val="double" w:sz="4" w:space="0" w:color="auto"/>
              <w:left w:val="nil"/>
              <w:bottom w:val="double" w:sz="4" w:space="0" w:color="auto"/>
              <w:right w:val="single" w:sz="4" w:space="0" w:color="auto"/>
            </w:tcBorders>
            <w:vAlign w:val="center"/>
            <w:hideMark/>
          </w:tcPr>
          <w:p w14:paraId="44A423B8" w14:textId="614EFD2D"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desarrollo</w:t>
            </w:r>
          </w:p>
        </w:tc>
        <w:tc>
          <w:tcPr>
            <w:tcW w:w="1561" w:type="dxa"/>
            <w:tcBorders>
              <w:top w:val="double" w:sz="4" w:space="0" w:color="auto"/>
              <w:left w:val="nil"/>
              <w:bottom w:val="double" w:sz="4" w:space="0" w:color="auto"/>
              <w:right w:val="single" w:sz="4" w:space="0" w:color="auto"/>
            </w:tcBorders>
            <w:vAlign w:val="center"/>
            <w:hideMark/>
          </w:tcPr>
          <w:p w14:paraId="67FB2AA6" w14:textId="7D478401" w:rsidR="006D362C" w:rsidRPr="003618E2" w:rsidRDefault="006D362C" w:rsidP="00D136BB">
            <w:pPr>
              <w:pStyle w:val="BodyText"/>
              <w:rPr>
                <w:sz w:val="20"/>
                <w:lang w:val="es-MX"/>
              </w:rPr>
            </w:pPr>
            <w:r w:rsidRPr="003618E2">
              <w:rPr>
                <w:sz w:val="20"/>
                <w:lang w:val="es-MX"/>
              </w:rPr>
              <w:t>Red</w:t>
            </w:r>
            <w:r w:rsidR="00D136BB">
              <w:rPr>
                <w:sz w:val="20"/>
                <w:lang w:val="es-MX"/>
              </w:rPr>
              <w:t xml:space="preserve"> </w:t>
            </w:r>
            <w:r w:rsidRPr="003618E2">
              <w:rPr>
                <w:sz w:val="20"/>
                <w:lang w:val="es-MX"/>
              </w:rPr>
              <w:t>Perspex,</w:t>
            </w:r>
            <w:r w:rsidR="00D136BB">
              <w:rPr>
                <w:sz w:val="20"/>
                <w:lang w:val="es-MX"/>
              </w:rPr>
              <w:t xml:space="preserve"> </w:t>
            </w:r>
            <w:r w:rsidRPr="003618E2">
              <w:rPr>
                <w:sz w:val="20"/>
                <w:lang w:val="es-MX"/>
              </w:rPr>
              <w:t>Ambar</w:t>
            </w:r>
            <w:r w:rsidR="00D136BB">
              <w:rPr>
                <w:sz w:val="20"/>
                <w:lang w:val="es-MX"/>
              </w:rPr>
              <w:t xml:space="preserve"> </w:t>
            </w:r>
            <w:r w:rsidRPr="003618E2">
              <w:rPr>
                <w:sz w:val="20"/>
                <w:lang w:val="es-MX"/>
              </w:rPr>
              <w:t>Perspex,</w:t>
            </w:r>
            <w:r w:rsidR="00D136BB">
              <w:rPr>
                <w:sz w:val="20"/>
                <w:lang w:val="es-MX"/>
              </w:rPr>
              <w:t xml:space="preserve"> </w:t>
            </w:r>
            <w:r w:rsidRPr="003618E2">
              <w:rPr>
                <w:sz w:val="20"/>
                <w:lang w:val="es-MX"/>
              </w:rPr>
              <w:t>Gammachromme</w:t>
            </w:r>
          </w:p>
        </w:tc>
        <w:tc>
          <w:tcPr>
            <w:tcW w:w="1137" w:type="dxa"/>
            <w:tcBorders>
              <w:top w:val="double" w:sz="4" w:space="0" w:color="auto"/>
              <w:left w:val="nil"/>
              <w:bottom w:val="double" w:sz="4" w:space="0" w:color="auto"/>
              <w:right w:val="single" w:sz="4" w:space="0" w:color="auto"/>
            </w:tcBorders>
            <w:vAlign w:val="center"/>
            <w:hideMark/>
          </w:tcPr>
          <w:p w14:paraId="29A01638" w14:textId="77777777" w:rsidR="006D362C" w:rsidRPr="003618E2" w:rsidRDefault="006D362C" w:rsidP="00D136BB">
            <w:pPr>
              <w:pStyle w:val="BodyText"/>
              <w:rPr>
                <w:sz w:val="20"/>
                <w:lang w:val="es-MX"/>
              </w:rPr>
            </w:pPr>
            <w:r w:rsidRPr="003618E2">
              <w:rPr>
                <w:sz w:val="20"/>
                <w:lang w:val="es-MX"/>
              </w:rPr>
              <w:t>Fricke</w:t>
            </w:r>
          </w:p>
        </w:tc>
        <w:tc>
          <w:tcPr>
            <w:tcW w:w="1134" w:type="dxa"/>
            <w:tcBorders>
              <w:top w:val="double" w:sz="4" w:space="0" w:color="auto"/>
              <w:left w:val="nil"/>
              <w:bottom w:val="double" w:sz="4" w:space="0" w:color="auto"/>
              <w:right w:val="single" w:sz="4" w:space="0" w:color="auto"/>
            </w:tcBorders>
            <w:vAlign w:val="center"/>
            <w:hideMark/>
          </w:tcPr>
          <w:p w14:paraId="7D813C1B"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double" w:sz="4" w:space="0" w:color="auto"/>
              <w:right w:val="double" w:sz="4" w:space="0" w:color="auto"/>
            </w:tcBorders>
            <w:vAlign w:val="center"/>
            <w:hideMark/>
          </w:tcPr>
          <w:p w14:paraId="61EBC8E0" w14:textId="77777777" w:rsidR="006D362C" w:rsidRPr="003618E2" w:rsidRDefault="006D362C" w:rsidP="00D136BB">
            <w:pPr>
              <w:pStyle w:val="BodyText"/>
              <w:rPr>
                <w:sz w:val="20"/>
                <w:lang w:val="es-MX"/>
              </w:rPr>
            </w:pPr>
            <w:r w:rsidRPr="003618E2">
              <w:rPr>
                <w:sz w:val="20"/>
                <w:lang w:val="es-MX"/>
              </w:rPr>
              <w:t>Si</w:t>
            </w:r>
          </w:p>
        </w:tc>
      </w:tr>
      <w:tr w:rsidR="006D362C" w:rsidRPr="003618E2" w14:paraId="7ABA9553" w14:textId="77777777" w:rsidTr="00D136BB">
        <w:trPr>
          <w:trHeight w:val="815"/>
          <w:jc w:val="center"/>
        </w:trPr>
        <w:tc>
          <w:tcPr>
            <w:tcW w:w="1272" w:type="dxa"/>
            <w:vMerge w:val="restart"/>
            <w:tcBorders>
              <w:top w:val="double" w:sz="4" w:space="0" w:color="auto"/>
              <w:left w:val="double" w:sz="4" w:space="0" w:color="auto"/>
              <w:right w:val="single" w:sz="4" w:space="0" w:color="auto"/>
            </w:tcBorders>
            <w:shd w:val="clear" w:color="auto" w:fill="FF81AB"/>
            <w:vAlign w:val="center"/>
            <w:hideMark/>
          </w:tcPr>
          <w:p w14:paraId="0C2BB031" w14:textId="053F7FD9" w:rsidR="006D362C" w:rsidRPr="003618E2" w:rsidRDefault="006D362C" w:rsidP="00D136BB">
            <w:pPr>
              <w:pStyle w:val="BodyText"/>
              <w:rPr>
                <w:b/>
                <w:sz w:val="20"/>
                <w:lang w:val="es-ES"/>
              </w:rPr>
            </w:pPr>
            <w:r w:rsidRPr="003618E2">
              <w:rPr>
                <w:b/>
                <w:sz w:val="20"/>
                <w:lang w:val="es-ES"/>
              </w:rPr>
              <w:t>Costa</w:t>
            </w:r>
            <w:r w:rsidR="00D136BB">
              <w:rPr>
                <w:b/>
                <w:sz w:val="20"/>
                <w:lang w:val="es-ES"/>
              </w:rPr>
              <w:t xml:space="preserve"> </w:t>
            </w:r>
            <w:r w:rsidRPr="003618E2">
              <w:rPr>
                <w:b/>
                <w:sz w:val="20"/>
                <w:lang w:val="es-ES"/>
              </w:rPr>
              <w:t>Rica</w:t>
            </w:r>
          </w:p>
        </w:tc>
        <w:tc>
          <w:tcPr>
            <w:tcW w:w="1701" w:type="dxa"/>
            <w:tcBorders>
              <w:top w:val="double" w:sz="4" w:space="0" w:color="auto"/>
              <w:left w:val="single" w:sz="4" w:space="0" w:color="auto"/>
              <w:bottom w:val="single" w:sz="4" w:space="0" w:color="auto"/>
              <w:right w:val="single" w:sz="4" w:space="0" w:color="auto"/>
            </w:tcBorders>
            <w:vAlign w:val="center"/>
            <w:hideMark/>
          </w:tcPr>
          <w:p w14:paraId="0312EC98" w14:textId="3CB3A09F" w:rsidR="006D362C" w:rsidRPr="003618E2" w:rsidRDefault="006D362C" w:rsidP="00D136BB">
            <w:pPr>
              <w:pStyle w:val="BodyText"/>
              <w:rPr>
                <w:sz w:val="20"/>
                <w:lang w:val="es-MX"/>
              </w:rPr>
            </w:pPr>
            <w:r w:rsidRPr="003618E2">
              <w:rPr>
                <w:sz w:val="20"/>
                <w:lang w:val="es-MX"/>
              </w:rPr>
              <w:t>Electrón</w:t>
            </w:r>
            <w:r w:rsidR="00D136BB">
              <w:rPr>
                <w:sz w:val="20"/>
                <w:lang w:val="es-MX"/>
              </w:rPr>
              <w:t xml:space="preserve"> </w:t>
            </w:r>
            <w:r w:rsidRPr="003618E2">
              <w:rPr>
                <w:sz w:val="20"/>
                <w:lang w:val="es-MX"/>
              </w:rPr>
              <w:t>Beam</w:t>
            </w:r>
            <w:r w:rsidR="00D136BB">
              <w:rPr>
                <w:sz w:val="20"/>
                <w:lang w:val="es-MX"/>
              </w:rPr>
              <w:t xml:space="preserve"> </w:t>
            </w:r>
            <w:r w:rsidRPr="003618E2">
              <w:rPr>
                <w:sz w:val="20"/>
                <w:lang w:val="es-MX"/>
              </w:rPr>
              <w:t>7,5</w:t>
            </w:r>
            <w:r w:rsidR="00D136BB">
              <w:rPr>
                <w:sz w:val="20"/>
                <w:lang w:val="es-MX"/>
              </w:rPr>
              <w:t xml:space="preserve"> </w:t>
            </w:r>
            <w:r w:rsidRPr="003618E2">
              <w:rPr>
                <w:sz w:val="20"/>
                <w:lang w:val="es-MX"/>
              </w:rPr>
              <w:t>MeV</w:t>
            </w:r>
            <w:r w:rsidR="00D136BB">
              <w:rPr>
                <w:sz w:val="20"/>
                <w:lang w:val="es-MX"/>
              </w:rPr>
              <w:t xml:space="preserve"> </w:t>
            </w:r>
            <w:r w:rsidRPr="003618E2">
              <w:rPr>
                <w:sz w:val="20"/>
                <w:lang w:val="es-MX"/>
              </w:rPr>
              <w:t>(Baxter)</w:t>
            </w:r>
          </w:p>
        </w:tc>
        <w:tc>
          <w:tcPr>
            <w:tcW w:w="1418" w:type="dxa"/>
            <w:tcBorders>
              <w:top w:val="double" w:sz="4" w:space="0" w:color="auto"/>
              <w:left w:val="nil"/>
              <w:bottom w:val="single" w:sz="4" w:space="0" w:color="auto"/>
              <w:right w:val="single" w:sz="4" w:space="0" w:color="auto"/>
            </w:tcBorders>
            <w:vAlign w:val="center"/>
            <w:hideMark/>
          </w:tcPr>
          <w:p w14:paraId="080B3DD1"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double" w:sz="4" w:space="0" w:color="auto"/>
              <w:left w:val="nil"/>
              <w:bottom w:val="single" w:sz="4" w:space="0" w:color="auto"/>
              <w:right w:val="single" w:sz="4" w:space="0" w:color="auto"/>
            </w:tcBorders>
            <w:vAlign w:val="center"/>
            <w:hideMark/>
          </w:tcPr>
          <w:p w14:paraId="324F300E" w14:textId="77777777" w:rsidR="006D362C" w:rsidRPr="003618E2" w:rsidRDefault="006D362C" w:rsidP="00D136BB">
            <w:pPr>
              <w:pStyle w:val="BodyText"/>
              <w:rPr>
                <w:sz w:val="20"/>
                <w:lang w:val="es-MX"/>
              </w:rPr>
            </w:pPr>
          </w:p>
        </w:tc>
        <w:tc>
          <w:tcPr>
            <w:tcW w:w="1137" w:type="dxa"/>
            <w:tcBorders>
              <w:top w:val="double" w:sz="4" w:space="0" w:color="auto"/>
              <w:left w:val="nil"/>
              <w:bottom w:val="single" w:sz="4" w:space="0" w:color="auto"/>
              <w:right w:val="single" w:sz="4" w:space="0" w:color="auto"/>
            </w:tcBorders>
            <w:vAlign w:val="center"/>
            <w:hideMark/>
          </w:tcPr>
          <w:p w14:paraId="22F34B3E" w14:textId="77777777" w:rsidR="006D362C" w:rsidRPr="003618E2" w:rsidRDefault="006D362C" w:rsidP="00D136BB">
            <w:pPr>
              <w:pStyle w:val="BodyText"/>
              <w:rPr>
                <w:sz w:val="20"/>
                <w:lang w:val="es-MX"/>
              </w:rPr>
            </w:pPr>
          </w:p>
        </w:tc>
        <w:tc>
          <w:tcPr>
            <w:tcW w:w="1134" w:type="dxa"/>
            <w:tcBorders>
              <w:top w:val="double" w:sz="4" w:space="0" w:color="auto"/>
              <w:left w:val="nil"/>
              <w:bottom w:val="single" w:sz="4" w:space="0" w:color="auto"/>
              <w:right w:val="single" w:sz="4" w:space="0" w:color="auto"/>
            </w:tcBorders>
            <w:vAlign w:val="center"/>
            <w:hideMark/>
          </w:tcPr>
          <w:p w14:paraId="6A9A3CA9" w14:textId="77777777" w:rsidR="006D362C" w:rsidRPr="003618E2" w:rsidRDefault="006D362C" w:rsidP="00D136BB">
            <w:pPr>
              <w:pStyle w:val="BodyText"/>
              <w:rPr>
                <w:sz w:val="20"/>
                <w:lang w:val="es-MX"/>
              </w:rPr>
            </w:pPr>
          </w:p>
        </w:tc>
        <w:tc>
          <w:tcPr>
            <w:tcW w:w="1134" w:type="dxa"/>
            <w:tcBorders>
              <w:top w:val="double" w:sz="4" w:space="0" w:color="auto"/>
              <w:left w:val="nil"/>
              <w:bottom w:val="single" w:sz="4" w:space="0" w:color="auto"/>
              <w:right w:val="double" w:sz="4" w:space="0" w:color="auto"/>
            </w:tcBorders>
            <w:vAlign w:val="center"/>
            <w:hideMark/>
          </w:tcPr>
          <w:p w14:paraId="3A160B41" w14:textId="77777777" w:rsidR="006D362C" w:rsidRPr="003618E2" w:rsidRDefault="006D362C" w:rsidP="00D136BB">
            <w:pPr>
              <w:pStyle w:val="BodyText"/>
              <w:rPr>
                <w:sz w:val="20"/>
                <w:lang w:val="es-MX"/>
              </w:rPr>
            </w:pPr>
          </w:p>
        </w:tc>
      </w:tr>
      <w:tr w:rsidR="006D362C" w:rsidRPr="003618E2" w14:paraId="68D67A8E" w14:textId="77777777" w:rsidTr="00D136BB">
        <w:trPr>
          <w:trHeight w:val="847"/>
          <w:jc w:val="center"/>
        </w:trPr>
        <w:tc>
          <w:tcPr>
            <w:tcW w:w="1272" w:type="dxa"/>
            <w:vMerge/>
            <w:tcBorders>
              <w:left w:val="double" w:sz="4" w:space="0" w:color="auto"/>
              <w:right w:val="single" w:sz="4" w:space="0" w:color="auto"/>
            </w:tcBorders>
            <w:shd w:val="clear" w:color="auto" w:fill="FF81AB"/>
            <w:vAlign w:val="center"/>
            <w:hideMark/>
          </w:tcPr>
          <w:p w14:paraId="62FF93C0"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1D41DAC" w14:textId="6AFE4C7E" w:rsidR="006D362C" w:rsidRPr="003618E2" w:rsidRDefault="006D362C" w:rsidP="00D136BB">
            <w:pPr>
              <w:pStyle w:val="BodyText"/>
              <w:rPr>
                <w:sz w:val="20"/>
              </w:rPr>
            </w:pPr>
            <w:r w:rsidRPr="003618E2">
              <w:rPr>
                <w:sz w:val="20"/>
              </w:rPr>
              <w:t>Electrón</w:t>
            </w:r>
            <w:r w:rsidR="00D136BB">
              <w:rPr>
                <w:sz w:val="20"/>
              </w:rPr>
              <w:t xml:space="preserve"> </w:t>
            </w:r>
            <w:r w:rsidRPr="003618E2">
              <w:rPr>
                <w:sz w:val="20"/>
              </w:rPr>
              <w:t>Beam</w:t>
            </w:r>
            <w:r w:rsidR="00D136BB">
              <w:rPr>
                <w:sz w:val="20"/>
              </w:rPr>
              <w:t xml:space="preserve"> </w:t>
            </w:r>
            <w:r w:rsidRPr="003618E2">
              <w:rPr>
                <w:sz w:val="20"/>
              </w:rPr>
              <w:t>10</w:t>
            </w:r>
            <w:r w:rsidR="00D136BB">
              <w:rPr>
                <w:sz w:val="20"/>
              </w:rPr>
              <w:t xml:space="preserve"> </w:t>
            </w:r>
            <w:r w:rsidRPr="003618E2">
              <w:rPr>
                <w:sz w:val="20"/>
              </w:rPr>
              <w:t>MeV</w:t>
            </w:r>
            <w:r w:rsidR="00D136BB">
              <w:rPr>
                <w:sz w:val="20"/>
              </w:rPr>
              <w:t xml:space="preserve"> </w:t>
            </w:r>
            <w:r w:rsidRPr="003618E2">
              <w:rPr>
                <w:sz w:val="20"/>
              </w:rPr>
              <w:t>(Bean</w:t>
            </w:r>
            <w:r w:rsidR="00D136BB">
              <w:rPr>
                <w:sz w:val="20"/>
              </w:rPr>
              <w:t xml:space="preserve"> </w:t>
            </w:r>
            <w:r w:rsidRPr="003618E2">
              <w:rPr>
                <w:sz w:val="20"/>
              </w:rPr>
              <w:t>One)</w:t>
            </w:r>
          </w:p>
        </w:tc>
        <w:tc>
          <w:tcPr>
            <w:tcW w:w="1418" w:type="dxa"/>
            <w:tcBorders>
              <w:top w:val="single" w:sz="4" w:space="0" w:color="auto"/>
              <w:left w:val="nil"/>
              <w:bottom w:val="single" w:sz="4" w:space="0" w:color="auto"/>
              <w:right w:val="single" w:sz="4" w:space="0" w:color="auto"/>
            </w:tcBorders>
            <w:vAlign w:val="center"/>
            <w:hideMark/>
          </w:tcPr>
          <w:p w14:paraId="4182F8B2"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nil"/>
              <w:bottom w:val="single" w:sz="4" w:space="0" w:color="auto"/>
              <w:right w:val="single" w:sz="4" w:space="0" w:color="auto"/>
            </w:tcBorders>
            <w:vAlign w:val="center"/>
            <w:hideMark/>
          </w:tcPr>
          <w:p w14:paraId="588B9AC2" w14:textId="77777777" w:rsidR="006D362C" w:rsidRPr="003618E2" w:rsidRDefault="006D362C" w:rsidP="00D136BB">
            <w:pPr>
              <w:pStyle w:val="BodyText"/>
              <w:rPr>
                <w:sz w:val="20"/>
                <w:lang w:val="es-MX"/>
              </w:rPr>
            </w:pPr>
          </w:p>
        </w:tc>
        <w:tc>
          <w:tcPr>
            <w:tcW w:w="1137" w:type="dxa"/>
            <w:tcBorders>
              <w:top w:val="single" w:sz="4" w:space="0" w:color="auto"/>
              <w:left w:val="nil"/>
              <w:bottom w:val="single" w:sz="4" w:space="0" w:color="auto"/>
              <w:right w:val="single" w:sz="4" w:space="0" w:color="auto"/>
            </w:tcBorders>
            <w:vAlign w:val="center"/>
            <w:hideMark/>
          </w:tcPr>
          <w:p w14:paraId="7EBCEA00" w14:textId="77777777" w:rsidR="006D362C" w:rsidRPr="003618E2" w:rsidRDefault="006D362C" w:rsidP="00D136BB">
            <w:pPr>
              <w:pStyle w:val="BodyText"/>
              <w:rPr>
                <w:sz w:val="20"/>
                <w:lang w:val="es-MX"/>
              </w:rPr>
            </w:pPr>
          </w:p>
        </w:tc>
        <w:tc>
          <w:tcPr>
            <w:tcW w:w="1134" w:type="dxa"/>
            <w:tcBorders>
              <w:top w:val="single" w:sz="4" w:space="0" w:color="auto"/>
              <w:left w:val="nil"/>
              <w:bottom w:val="single" w:sz="4" w:space="0" w:color="auto"/>
              <w:right w:val="single" w:sz="4" w:space="0" w:color="auto"/>
            </w:tcBorders>
            <w:vAlign w:val="center"/>
            <w:hideMark/>
          </w:tcPr>
          <w:p w14:paraId="306A06ED" w14:textId="77777777" w:rsidR="006D362C" w:rsidRPr="003618E2" w:rsidRDefault="006D362C" w:rsidP="00D136BB">
            <w:pPr>
              <w:pStyle w:val="BodyText"/>
              <w:rPr>
                <w:sz w:val="20"/>
                <w:lang w:val="es-MX"/>
              </w:rPr>
            </w:pPr>
          </w:p>
        </w:tc>
        <w:tc>
          <w:tcPr>
            <w:tcW w:w="1134" w:type="dxa"/>
            <w:tcBorders>
              <w:top w:val="single" w:sz="4" w:space="0" w:color="auto"/>
              <w:left w:val="nil"/>
              <w:bottom w:val="single" w:sz="4" w:space="0" w:color="auto"/>
              <w:right w:val="double" w:sz="4" w:space="0" w:color="auto"/>
            </w:tcBorders>
            <w:vAlign w:val="center"/>
            <w:hideMark/>
          </w:tcPr>
          <w:p w14:paraId="6E986E90" w14:textId="77777777" w:rsidR="006D362C" w:rsidRPr="003618E2" w:rsidRDefault="006D362C" w:rsidP="00D136BB">
            <w:pPr>
              <w:pStyle w:val="BodyText"/>
              <w:rPr>
                <w:sz w:val="20"/>
                <w:lang w:val="es-MX"/>
              </w:rPr>
            </w:pPr>
          </w:p>
        </w:tc>
      </w:tr>
      <w:tr w:rsidR="006D362C" w:rsidRPr="003618E2" w14:paraId="44D8B21C" w14:textId="77777777" w:rsidTr="00D136BB">
        <w:trPr>
          <w:trHeight w:val="560"/>
          <w:jc w:val="center"/>
        </w:trPr>
        <w:tc>
          <w:tcPr>
            <w:tcW w:w="1272" w:type="dxa"/>
            <w:vMerge/>
            <w:tcBorders>
              <w:left w:val="double" w:sz="4" w:space="0" w:color="auto"/>
              <w:right w:val="single" w:sz="4" w:space="0" w:color="auto"/>
            </w:tcBorders>
            <w:shd w:val="clear" w:color="auto" w:fill="FF81AB"/>
            <w:vAlign w:val="center"/>
            <w:hideMark/>
          </w:tcPr>
          <w:p w14:paraId="07287753"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676678C" w14:textId="6E5264E2" w:rsidR="006D362C" w:rsidRPr="003618E2" w:rsidRDefault="006D362C" w:rsidP="00D136BB">
            <w:pPr>
              <w:pStyle w:val="BodyText"/>
              <w:rPr>
                <w:sz w:val="20"/>
                <w:lang w:val="es-MX"/>
              </w:rPr>
            </w:pPr>
            <w:r w:rsidRPr="003618E2">
              <w:rPr>
                <w:sz w:val="20"/>
                <w:lang w:val="es-MX"/>
              </w:rPr>
              <w:t>Gammacell</w:t>
            </w:r>
            <w:r w:rsidR="00D136BB">
              <w:rPr>
                <w:sz w:val="20"/>
                <w:lang w:val="es-MX"/>
              </w:rPr>
              <w:t xml:space="preserve"> </w:t>
            </w:r>
            <w:r w:rsidRPr="003618E2">
              <w:rPr>
                <w:sz w:val="20"/>
                <w:lang w:val="es-MX"/>
              </w:rPr>
              <w:t>220</w:t>
            </w:r>
            <w:r w:rsidR="00D136BB">
              <w:rPr>
                <w:sz w:val="20"/>
                <w:lang w:val="es-MX"/>
              </w:rPr>
              <w:t xml:space="preserve"> </w:t>
            </w:r>
            <w:r w:rsidRPr="003618E2">
              <w:rPr>
                <w:sz w:val="20"/>
                <w:lang w:val="es-MX"/>
              </w:rPr>
              <w:t>OIRSA</w:t>
            </w:r>
          </w:p>
        </w:tc>
        <w:tc>
          <w:tcPr>
            <w:tcW w:w="1418" w:type="dxa"/>
            <w:tcBorders>
              <w:top w:val="single" w:sz="4" w:space="0" w:color="auto"/>
              <w:left w:val="nil"/>
              <w:bottom w:val="single" w:sz="4" w:space="0" w:color="auto"/>
              <w:right w:val="single" w:sz="4" w:space="0" w:color="auto"/>
            </w:tcBorders>
            <w:vAlign w:val="center"/>
            <w:hideMark/>
          </w:tcPr>
          <w:p w14:paraId="776F28C4" w14:textId="7C2DA7CF" w:rsidR="006D362C" w:rsidRPr="003618E2" w:rsidRDefault="006D362C" w:rsidP="00D136BB">
            <w:pPr>
              <w:pStyle w:val="BodyText"/>
              <w:rPr>
                <w:sz w:val="20"/>
                <w:lang w:val="es-MX"/>
              </w:rPr>
            </w:pPr>
            <w:r w:rsidRPr="003618E2">
              <w:rPr>
                <w:sz w:val="20"/>
                <w:lang w:val="es-MX"/>
              </w:rPr>
              <w:t>Ensayos</w:t>
            </w:r>
            <w:r w:rsidR="00D136BB">
              <w:rPr>
                <w:sz w:val="20"/>
                <w:lang w:val="es-MX"/>
              </w:rPr>
              <w:t xml:space="preserve"> </w:t>
            </w:r>
            <w:r w:rsidRPr="003618E2">
              <w:rPr>
                <w:sz w:val="20"/>
                <w:lang w:val="es-MX"/>
              </w:rPr>
              <w:t>fitosanitarios</w:t>
            </w:r>
          </w:p>
        </w:tc>
        <w:tc>
          <w:tcPr>
            <w:tcW w:w="1561" w:type="dxa"/>
            <w:tcBorders>
              <w:top w:val="single" w:sz="4" w:space="0" w:color="auto"/>
              <w:left w:val="nil"/>
              <w:bottom w:val="single" w:sz="4" w:space="0" w:color="auto"/>
              <w:right w:val="single" w:sz="4" w:space="0" w:color="auto"/>
            </w:tcBorders>
            <w:vAlign w:val="center"/>
            <w:hideMark/>
          </w:tcPr>
          <w:p w14:paraId="7E7BEF45" w14:textId="77777777" w:rsidR="006D362C" w:rsidRPr="003618E2" w:rsidRDefault="006D362C" w:rsidP="00D136BB">
            <w:pPr>
              <w:pStyle w:val="BodyText"/>
              <w:rPr>
                <w:sz w:val="20"/>
                <w:lang w:val="es-MX"/>
              </w:rPr>
            </w:pPr>
            <w:r w:rsidRPr="003618E2">
              <w:rPr>
                <w:sz w:val="20"/>
                <w:lang w:val="es-MX"/>
              </w:rPr>
              <w:t>No</w:t>
            </w:r>
          </w:p>
        </w:tc>
        <w:tc>
          <w:tcPr>
            <w:tcW w:w="1137" w:type="dxa"/>
            <w:tcBorders>
              <w:top w:val="single" w:sz="4" w:space="0" w:color="auto"/>
              <w:left w:val="nil"/>
              <w:bottom w:val="single" w:sz="4" w:space="0" w:color="auto"/>
              <w:right w:val="single" w:sz="4" w:space="0" w:color="auto"/>
            </w:tcBorders>
            <w:vAlign w:val="center"/>
            <w:hideMark/>
          </w:tcPr>
          <w:p w14:paraId="739724DF"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single" w:sz="4" w:space="0" w:color="auto"/>
            </w:tcBorders>
            <w:vAlign w:val="center"/>
            <w:hideMark/>
          </w:tcPr>
          <w:p w14:paraId="086E7421"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vAlign w:val="center"/>
            <w:hideMark/>
          </w:tcPr>
          <w:p w14:paraId="1069C5DF" w14:textId="77777777" w:rsidR="006D362C" w:rsidRPr="003618E2" w:rsidRDefault="006D362C" w:rsidP="00D136BB">
            <w:pPr>
              <w:pStyle w:val="BodyText"/>
              <w:rPr>
                <w:sz w:val="20"/>
                <w:lang w:val="es-MX"/>
              </w:rPr>
            </w:pPr>
            <w:r w:rsidRPr="003618E2">
              <w:rPr>
                <w:sz w:val="20"/>
                <w:lang w:val="es-MX"/>
              </w:rPr>
              <w:t>No</w:t>
            </w:r>
          </w:p>
        </w:tc>
      </w:tr>
      <w:tr w:rsidR="006D362C" w:rsidRPr="003618E2" w14:paraId="0F23A55F" w14:textId="77777777" w:rsidTr="00D136BB">
        <w:trPr>
          <w:trHeight w:val="765"/>
          <w:jc w:val="center"/>
        </w:trPr>
        <w:tc>
          <w:tcPr>
            <w:tcW w:w="1272" w:type="dxa"/>
            <w:vMerge/>
            <w:tcBorders>
              <w:left w:val="double" w:sz="4" w:space="0" w:color="auto"/>
              <w:bottom w:val="double" w:sz="4" w:space="0" w:color="auto"/>
              <w:right w:val="single" w:sz="4" w:space="0" w:color="auto"/>
            </w:tcBorders>
            <w:shd w:val="clear" w:color="auto" w:fill="FF81AB"/>
            <w:vAlign w:val="center"/>
            <w:hideMark/>
          </w:tcPr>
          <w:p w14:paraId="4835BB8E" w14:textId="77777777" w:rsidR="006D362C" w:rsidRPr="003618E2" w:rsidRDefault="006D362C" w:rsidP="00D136BB">
            <w:pPr>
              <w:pStyle w:val="BodyText"/>
              <w:rPr>
                <w:sz w:val="20"/>
                <w:lang w:val="es-ES"/>
              </w:rPr>
            </w:pPr>
          </w:p>
        </w:tc>
        <w:tc>
          <w:tcPr>
            <w:tcW w:w="1701" w:type="dxa"/>
            <w:tcBorders>
              <w:top w:val="single" w:sz="4" w:space="0" w:color="auto"/>
              <w:left w:val="single" w:sz="4" w:space="0" w:color="auto"/>
              <w:bottom w:val="double" w:sz="4" w:space="0" w:color="auto"/>
              <w:right w:val="single" w:sz="4" w:space="0" w:color="auto"/>
            </w:tcBorders>
            <w:vAlign w:val="center"/>
            <w:hideMark/>
          </w:tcPr>
          <w:p w14:paraId="50691931" w14:textId="4C3EF5BE" w:rsidR="006D362C" w:rsidRPr="003618E2" w:rsidRDefault="006D362C" w:rsidP="00D136BB">
            <w:pPr>
              <w:pStyle w:val="BodyText"/>
              <w:rPr>
                <w:sz w:val="20"/>
                <w:lang w:val="es-MX"/>
              </w:rPr>
            </w:pPr>
            <w:r w:rsidRPr="003618E2">
              <w:rPr>
                <w:sz w:val="20"/>
                <w:lang w:val="es-MX"/>
              </w:rPr>
              <w:t>Gammacell</w:t>
            </w:r>
            <w:r w:rsidR="00D136BB">
              <w:rPr>
                <w:sz w:val="20"/>
                <w:lang w:val="es-MX"/>
              </w:rPr>
              <w:t xml:space="preserve"> </w:t>
            </w:r>
            <w:r w:rsidRPr="003618E2">
              <w:rPr>
                <w:sz w:val="20"/>
                <w:lang w:val="es-MX"/>
              </w:rPr>
              <w:t>220</w:t>
            </w:r>
            <w:r w:rsidR="00D136BB">
              <w:rPr>
                <w:sz w:val="20"/>
                <w:lang w:val="es-MX"/>
              </w:rPr>
              <w:t xml:space="preserve"> </w:t>
            </w:r>
            <w:r w:rsidRPr="003618E2">
              <w:rPr>
                <w:sz w:val="20"/>
                <w:lang w:val="es-MX"/>
              </w:rPr>
              <w:t>Universidad</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Costa</w:t>
            </w:r>
            <w:r w:rsidR="00D136BB">
              <w:rPr>
                <w:sz w:val="20"/>
                <w:lang w:val="es-MX"/>
              </w:rPr>
              <w:t xml:space="preserve"> </w:t>
            </w:r>
            <w:r w:rsidRPr="003618E2">
              <w:rPr>
                <w:sz w:val="20"/>
                <w:lang w:val="es-MX"/>
              </w:rPr>
              <w:t>Rica</w:t>
            </w:r>
          </w:p>
        </w:tc>
        <w:tc>
          <w:tcPr>
            <w:tcW w:w="1418" w:type="dxa"/>
            <w:tcBorders>
              <w:top w:val="single" w:sz="4" w:space="0" w:color="auto"/>
              <w:left w:val="nil"/>
              <w:bottom w:val="double" w:sz="4" w:space="0" w:color="auto"/>
              <w:right w:val="single" w:sz="4" w:space="0" w:color="auto"/>
            </w:tcBorders>
            <w:vAlign w:val="center"/>
            <w:hideMark/>
          </w:tcPr>
          <w:p w14:paraId="6AF84823" w14:textId="72A9FF9D" w:rsidR="006D362C" w:rsidRPr="003618E2" w:rsidRDefault="006D362C" w:rsidP="00D136BB">
            <w:pPr>
              <w:pStyle w:val="BodyText"/>
              <w:rPr>
                <w:sz w:val="20"/>
                <w:lang w:val="es-MX"/>
              </w:rPr>
            </w:pPr>
            <w:r w:rsidRPr="003618E2">
              <w:rPr>
                <w:sz w:val="20"/>
                <w:lang w:val="es-MX"/>
              </w:rPr>
              <w:t>Fuera</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uso</w:t>
            </w:r>
            <w:r w:rsidR="00D136BB">
              <w:rPr>
                <w:sz w:val="20"/>
                <w:lang w:val="es-MX"/>
              </w:rPr>
              <w:t xml:space="preserve"> </w:t>
            </w:r>
            <w:r w:rsidRPr="003618E2">
              <w:rPr>
                <w:sz w:val="20"/>
                <w:lang w:val="es-MX"/>
              </w:rPr>
              <w:t>por</w:t>
            </w:r>
            <w:r w:rsidR="00D136BB">
              <w:rPr>
                <w:sz w:val="20"/>
                <w:lang w:val="es-MX"/>
              </w:rPr>
              <w:t xml:space="preserve"> </w:t>
            </w:r>
            <w:r w:rsidRPr="003618E2">
              <w:rPr>
                <w:sz w:val="20"/>
                <w:lang w:val="es-MX"/>
              </w:rPr>
              <w:t>trabamiento</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celda</w:t>
            </w:r>
          </w:p>
        </w:tc>
        <w:tc>
          <w:tcPr>
            <w:tcW w:w="1561" w:type="dxa"/>
            <w:tcBorders>
              <w:top w:val="single" w:sz="4" w:space="0" w:color="auto"/>
              <w:left w:val="nil"/>
              <w:bottom w:val="double" w:sz="4" w:space="0" w:color="auto"/>
              <w:right w:val="single" w:sz="4" w:space="0" w:color="auto"/>
            </w:tcBorders>
            <w:vAlign w:val="center"/>
            <w:hideMark/>
          </w:tcPr>
          <w:p w14:paraId="51F450AA" w14:textId="77777777" w:rsidR="006D362C" w:rsidRPr="003618E2" w:rsidRDefault="006D362C" w:rsidP="00D136BB">
            <w:pPr>
              <w:pStyle w:val="BodyText"/>
              <w:rPr>
                <w:sz w:val="20"/>
                <w:lang w:val="es-MX"/>
              </w:rPr>
            </w:pPr>
          </w:p>
        </w:tc>
        <w:tc>
          <w:tcPr>
            <w:tcW w:w="1137" w:type="dxa"/>
            <w:tcBorders>
              <w:top w:val="single" w:sz="4" w:space="0" w:color="auto"/>
              <w:left w:val="nil"/>
              <w:bottom w:val="double" w:sz="4" w:space="0" w:color="auto"/>
              <w:right w:val="single" w:sz="4" w:space="0" w:color="auto"/>
            </w:tcBorders>
            <w:vAlign w:val="center"/>
            <w:hideMark/>
          </w:tcPr>
          <w:p w14:paraId="24C75D9B" w14:textId="77777777" w:rsidR="006D362C" w:rsidRPr="003618E2" w:rsidRDefault="006D362C" w:rsidP="00D136BB">
            <w:pPr>
              <w:pStyle w:val="BodyText"/>
              <w:rPr>
                <w:sz w:val="20"/>
                <w:lang w:val="es-MX"/>
              </w:rPr>
            </w:pPr>
          </w:p>
        </w:tc>
        <w:tc>
          <w:tcPr>
            <w:tcW w:w="1134" w:type="dxa"/>
            <w:tcBorders>
              <w:top w:val="single" w:sz="4" w:space="0" w:color="auto"/>
              <w:left w:val="nil"/>
              <w:bottom w:val="double" w:sz="4" w:space="0" w:color="auto"/>
              <w:right w:val="single" w:sz="4" w:space="0" w:color="auto"/>
            </w:tcBorders>
            <w:vAlign w:val="center"/>
            <w:hideMark/>
          </w:tcPr>
          <w:p w14:paraId="0F5EC09A" w14:textId="77777777" w:rsidR="006D362C" w:rsidRPr="003618E2" w:rsidRDefault="006D362C" w:rsidP="00D136BB">
            <w:pPr>
              <w:pStyle w:val="BodyText"/>
              <w:rPr>
                <w:sz w:val="20"/>
                <w:lang w:val="es-MX"/>
              </w:rPr>
            </w:pPr>
          </w:p>
        </w:tc>
        <w:tc>
          <w:tcPr>
            <w:tcW w:w="1134" w:type="dxa"/>
            <w:tcBorders>
              <w:top w:val="single" w:sz="4" w:space="0" w:color="auto"/>
              <w:left w:val="nil"/>
              <w:bottom w:val="double" w:sz="4" w:space="0" w:color="auto"/>
              <w:right w:val="double" w:sz="4" w:space="0" w:color="auto"/>
            </w:tcBorders>
            <w:vAlign w:val="center"/>
            <w:hideMark/>
          </w:tcPr>
          <w:p w14:paraId="410F9DC0" w14:textId="77777777" w:rsidR="006D362C" w:rsidRPr="003618E2" w:rsidRDefault="006D362C" w:rsidP="00D136BB">
            <w:pPr>
              <w:pStyle w:val="BodyText"/>
              <w:rPr>
                <w:sz w:val="20"/>
                <w:lang w:val="es-MX"/>
              </w:rPr>
            </w:pPr>
          </w:p>
        </w:tc>
      </w:tr>
      <w:tr w:rsidR="006D362C" w:rsidRPr="003618E2" w14:paraId="0772F5F8" w14:textId="77777777" w:rsidTr="00D136BB">
        <w:trPr>
          <w:trHeight w:val="1020"/>
          <w:jc w:val="center"/>
        </w:trPr>
        <w:tc>
          <w:tcPr>
            <w:tcW w:w="1272" w:type="dxa"/>
            <w:tcBorders>
              <w:top w:val="double" w:sz="4" w:space="0" w:color="auto"/>
              <w:left w:val="double" w:sz="4" w:space="0" w:color="auto"/>
              <w:bottom w:val="double" w:sz="4" w:space="0" w:color="auto"/>
              <w:right w:val="single" w:sz="4" w:space="0" w:color="auto"/>
            </w:tcBorders>
            <w:shd w:val="clear" w:color="auto" w:fill="FF81AB"/>
            <w:vAlign w:val="center"/>
            <w:hideMark/>
          </w:tcPr>
          <w:p w14:paraId="658BE016" w14:textId="77777777" w:rsidR="006D362C" w:rsidRPr="003618E2" w:rsidRDefault="006D362C" w:rsidP="00D136BB">
            <w:pPr>
              <w:pStyle w:val="BodyText"/>
              <w:rPr>
                <w:b/>
                <w:sz w:val="20"/>
                <w:lang w:val="es-ES"/>
              </w:rPr>
            </w:pPr>
            <w:r w:rsidRPr="003618E2">
              <w:rPr>
                <w:b/>
                <w:sz w:val="20"/>
                <w:lang w:val="es-ES"/>
              </w:rPr>
              <w:t>Cuba</w:t>
            </w:r>
          </w:p>
        </w:tc>
        <w:tc>
          <w:tcPr>
            <w:tcW w:w="1701" w:type="dxa"/>
            <w:tcBorders>
              <w:top w:val="double" w:sz="4" w:space="0" w:color="auto"/>
              <w:left w:val="nil"/>
              <w:bottom w:val="double" w:sz="4" w:space="0" w:color="auto"/>
              <w:right w:val="single" w:sz="4" w:space="0" w:color="auto"/>
            </w:tcBorders>
            <w:vAlign w:val="center"/>
            <w:hideMark/>
          </w:tcPr>
          <w:p w14:paraId="42209D22" w14:textId="029423E7" w:rsidR="006D362C" w:rsidRPr="006C45C9" w:rsidRDefault="006D362C" w:rsidP="00D136BB">
            <w:pPr>
              <w:pStyle w:val="BodyText"/>
              <w:rPr>
                <w:sz w:val="20"/>
                <w:lang w:val="pt-BR"/>
              </w:rPr>
            </w:pPr>
            <w:r w:rsidRPr="006C45C9">
              <w:rPr>
                <w:sz w:val="20"/>
                <w:lang w:val="pt-BR"/>
              </w:rPr>
              <w:t>Irradiador</w:t>
            </w:r>
            <w:r w:rsidR="00D136BB">
              <w:rPr>
                <w:sz w:val="20"/>
                <w:lang w:val="pt-BR"/>
              </w:rPr>
              <w:t xml:space="preserve"> </w:t>
            </w:r>
            <w:r w:rsidRPr="006C45C9">
              <w:rPr>
                <w:sz w:val="20"/>
                <w:lang w:val="pt-BR"/>
              </w:rPr>
              <w:t>MP-</w:t>
            </w:r>
            <w:r w:rsidRPr="003618E2">
              <w:rPr>
                <w:sz w:val="20"/>
                <w:lang w:val="es-MX"/>
              </w:rPr>
              <w:t>γ</w:t>
            </w:r>
            <w:r w:rsidRPr="006C45C9">
              <w:rPr>
                <w:sz w:val="20"/>
                <w:lang w:val="pt-BR"/>
              </w:rPr>
              <w:t>-</w:t>
            </w:r>
            <w:r w:rsidR="00D136BB">
              <w:rPr>
                <w:sz w:val="20"/>
                <w:lang w:val="pt-BR"/>
              </w:rPr>
              <w:t xml:space="preserve"> </w:t>
            </w:r>
            <w:r w:rsidRPr="006C45C9">
              <w:rPr>
                <w:sz w:val="20"/>
                <w:lang w:val="pt-BR"/>
              </w:rPr>
              <w:t>30.</w:t>
            </w:r>
          </w:p>
          <w:p w14:paraId="783905D4" w14:textId="52C5A29F" w:rsidR="006D362C" w:rsidRPr="006C45C9" w:rsidRDefault="006D362C" w:rsidP="00D136BB">
            <w:pPr>
              <w:pStyle w:val="BodyText"/>
              <w:rPr>
                <w:sz w:val="20"/>
                <w:lang w:val="pt-BR"/>
              </w:rPr>
            </w:pPr>
            <w:r w:rsidRPr="006C45C9">
              <w:rPr>
                <w:sz w:val="20"/>
                <w:lang w:val="pt-BR"/>
              </w:rPr>
              <w:t>Actual</w:t>
            </w:r>
            <w:r w:rsidR="00D136BB">
              <w:rPr>
                <w:sz w:val="20"/>
                <w:lang w:val="pt-BR"/>
              </w:rPr>
              <w:t xml:space="preserve"> </w:t>
            </w:r>
            <w:r w:rsidRPr="006C45C9">
              <w:rPr>
                <w:sz w:val="20"/>
                <w:lang w:val="pt-BR"/>
              </w:rPr>
              <w:t>1.7</w:t>
            </w:r>
            <w:r w:rsidR="00D136BB">
              <w:rPr>
                <w:sz w:val="20"/>
                <w:lang w:val="pt-BR"/>
              </w:rPr>
              <w:t xml:space="preserve"> </w:t>
            </w:r>
            <w:r w:rsidRPr="006C45C9">
              <w:rPr>
                <w:sz w:val="20"/>
                <w:lang w:val="pt-BR"/>
              </w:rPr>
              <w:t>kCi</w:t>
            </w:r>
          </w:p>
        </w:tc>
        <w:tc>
          <w:tcPr>
            <w:tcW w:w="1418" w:type="dxa"/>
            <w:tcBorders>
              <w:top w:val="double" w:sz="4" w:space="0" w:color="auto"/>
              <w:left w:val="nil"/>
              <w:bottom w:val="double" w:sz="4" w:space="0" w:color="auto"/>
              <w:right w:val="single" w:sz="4" w:space="0" w:color="auto"/>
            </w:tcBorders>
            <w:vAlign w:val="center"/>
            <w:hideMark/>
          </w:tcPr>
          <w:p w14:paraId="3EA1861C" w14:textId="11470692"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desarrollo</w:t>
            </w:r>
          </w:p>
        </w:tc>
        <w:tc>
          <w:tcPr>
            <w:tcW w:w="1561" w:type="dxa"/>
            <w:tcBorders>
              <w:top w:val="double" w:sz="4" w:space="0" w:color="auto"/>
              <w:left w:val="nil"/>
              <w:bottom w:val="double" w:sz="4" w:space="0" w:color="auto"/>
              <w:right w:val="single" w:sz="4" w:space="0" w:color="auto"/>
            </w:tcBorders>
            <w:vAlign w:val="center"/>
            <w:hideMark/>
          </w:tcPr>
          <w:p w14:paraId="55A2AFD2" w14:textId="0A7B6EF0" w:rsidR="006D362C" w:rsidRPr="003618E2" w:rsidRDefault="006D362C" w:rsidP="00D136BB">
            <w:pPr>
              <w:pStyle w:val="BodyText"/>
              <w:rPr>
                <w:sz w:val="20"/>
                <w:lang w:val="es-MX"/>
              </w:rPr>
            </w:pPr>
            <w:r w:rsidRPr="003618E2">
              <w:rPr>
                <w:sz w:val="20"/>
                <w:lang w:val="es-MX"/>
              </w:rPr>
              <w:t>Red</w:t>
            </w:r>
            <w:r w:rsidR="00D136BB">
              <w:rPr>
                <w:sz w:val="20"/>
                <w:lang w:val="es-MX"/>
              </w:rPr>
              <w:t xml:space="preserve"> </w:t>
            </w:r>
            <w:r w:rsidRPr="003618E2">
              <w:rPr>
                <w:sz w:val="20"/>
                <w:lang w:val="es-MX"/>
              </w:rPr>
              <w:t>Perspex,</w:t>
            </w:r>
            <w:r w:rsidR="00D136BB">
              <w:rPr>
                <w:sz w:val="20"/>
                <w:lang w:val="es-MX"/>
              </w:rPr>
              <w:t xml:space="preserve"> </w:t>
            </w:r>
            <w:r w:rsidRPr="003618E2">
              <w:rPr>
                <w:sz w:val="20"/>
                <w:lang w:val="es-MX"/>
              </w:rPr>
              <w:t>Ambar</w:t>
            </w:r>
            <w:r w:rsidR="00D136BB">
              <w:rPr>
                <w:sz w:val="20"/>
                <w:lang w:val="es-MX"/>
              </w:rPr>
              <w:t xml:space="preserve"> </w:t>
            </w:r>
            <w:r w:rsidRPr="003618E2">
              <w:rPr>
                <w:sz w:val="20"/>
                <w:lang w:val="es-MX"/>
              </w:rPr>
              <w:t>Perspex</w:t>
            </w:r>
          </w:p>
        </w:tc>
        <w:tc>
          <w:tcPr>
            <w:tcW w:w="1137" w:type="dxa"/>
            <w:tcBorders>
              <w:top w:val="double" w:sz="4" w:space="0" w:color="auto"/>
              <w:left w:val="nil"/>
              <w:bottom w:val="double" w:sz="4" w:space="0" w:color="auto"/>
              <w:right w:val="single" w:sz="4" w:space="0" w:color="auto"/>
            </w:tcBorders>
            <w:vAlign w:val="center"/>
            <w:hideMark/>
          </w:tcPr>
          <w:p w14:paraId="5D3FE859" w14:textId="2520898C" w:rsidR="006D362C" w:rsidRPr="003618E2" w:rsidRDefault="006D362C" w:rsidP="00D136BB">
            <w:pPr>
              <w:pStyle w:val="BodyText"/>
              <w:rPr>
                <w:sz w:val="20"/>
                <w:lang w:val="es-MX"/>
              </w:rPr>
            </w:pPr>
            <w:r w:rsidRPr="003618E2">
              <w:rPr>
                <w:sz w:val="20"/>
                <w:lang w:val="es-MX"/>
              </w:rPr>
              <w:t>Fricke,</w:t>
            </w:r>
            <w:r w:rsidR="00D136BB">
              <w:rPr>
                <w:sz w:val="20"/>
                <w:lang w:val="es-MX"/>
              </w:rPr>
              <w:t xml:space="preserve"> </w:t>
            </w:r>
            <w:r w:rsidRPr="003618E2">
              <w:rPr>
                <w:sz w:val="20"/>
                <w:lang w:val="es-MX"/>
              </w:rPr>
              <w:t>Cérico/Ceroso</w:t>
            </w:r>
          </w:p>
        </w:tc>
        <w:tc>
          <w:tcPr>
            <w:tcW w:w="1134" w:type="dxa"/>
            <w:tcBorders>
              <w:top w:val="double" w:sz="4" w:space="0" w:color="auto"/>
              <w:left w:val="nil"/>
              <w:bottom w:val="double" w:sz="4" w:space="0" w:color="auto"/>
              <w:right w:val="single" w:sz="4" w:space="0" w:color="auto"/>
            </w:tcBorders>
            <w:vAlign w:val="center"/>
            <w:hideMark/>
          </w:tcPr>
          <w:p w14:paraId="77C18F19" w14:textId="77777777" w:rsidR="006D362C" w:rsidRPr="003618E2" w:rsidRDefault="006D362C" w:rsidP="00D136BB">
            <w:pPr>
              <w:pStyle w:val="BodyText"/>
              <w:rPr>
                <w:sz w:val="20"/>
                <w:lang w:val="es-MX"/>
              </w:rPr>
            </w:pPr>
            <w:r w:rsidRPr="003618E2">
              <w:rPr>
                <w:sz w:val="20"/>
                <w:lang w:val="es-MX"/>
              </w:rPr>
              <w:t>Si</w:t>
            </w:r>
          </w:p>
        </w:tc>
        <w:tc>
          <w:tcPr>
            <w:tcW w:w="1134" w:type="dxa"/>
            <w:tcBorders>
              <w:top w:val="double" w:sz="4" w:space="0" w:color="auto"/>
              <w:left w:val="nil"/>
              <w:bottom w:val="double" w:sz="4" w:space="0" w:color="auto"/>
              <w:right w:val="double" w:sz="4" w:space="0" w:color="auto"/>
            </w:tcBorders>
            <w:vAlign w:val="center"/>
            <w:hideMark/>
          </w:tcPr>
          <w:p w14:paraId="579B9A15" w14:textId="0114EBF3" w:rsidR="006D362C" w:rsidRPr="003618E2" w:rsidRDefault="006D362C" w:rsidP="00D136BB">
            <w:pPr>
              <w:pStyle w:val="BodyText"/>
              <w:rPr>
                <w:sz w:val="20"/>
                <w:lang w:val="es-MX"/>
              </w:rPr>
            </w:pPr>
            <w:r w:rsidRPr="003618E2">
              <w:rPr>
                <w:sz w:val="20"/>
                <w:lang w:val="es-MX"/>
              </w:rPr>
              <w:t>Sistema</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calidad,</w:t>
            </w:r>
            <w:r w:rsidR="00D136BB">
              <w:rPr>
                <w:sz w:val="20"/>
                <w:lang w:val="es-MX"/>
              </w:rPr>
              <w:t xml:space="preserve"> </w:t>
            </w:r>
            <w:r w:rsidRPr="003618E2">
              <w:rPr>
                <w:sz w:val="20"/>
                <w:lang w:val="es-MX"/>
              </w:rPr>
              <w:t>no</w:t>
            </w:r>
            <w:r w:rsidR="00D136BB">
              <w:rPr>
                <w:sz w:val="20"/>
                <w:lang w:val="es-MX"/>
              </w:rPr>
              <w:t xml:space="preserve"> </w:t>
            </w:r>
            <w:r w:rsidRPr="003618E2">
              <w:rPr>
                <w:sz w:val="20"/>
                <w:lang w:val="es-MX"/>
              </w:rPr>
              <w:t>certificado</w:t>
            </w:r>
          </w:p>
        </w:tc>
      </w:tr>
      <w:tr w:rsidR="006D362C" w:rsidRPr="003618E2" w14:paraId="498FBCC3" w14:textId="77777777" w:rsidTr="00D136BB">
        <w:trPr>
          <w:trHeight w:val="830"/>
          <w:jc w:val="center"/>
        </w:trPr>
        <w:tc>
          <w:tcPr>
            <w:tcW w:w="1272" w:type="dxa"/>
            <w:vMerge w:val="restart"/>
            <w:tcBorders>
              <w:top w:val="double" w:sz="4" w:space="0" w:color="auto"/>
              <w:left w:val="double" w:sz="4" w:space="0" w:color="auto"/>
              <w:right w:val="single" w:sz="4" w:space="0" w:color="auto"/>
            </w:tcBorders>
            <w:shd w:val="clear" w:color="auto" w:fill="FF81AB"/>
            <w:vAlign w:val="center"/>
            <w:hideMark/>
          </w:tcPr>
          <w:p w14:paraId="6052D281" w14:textId="6551F442" w:rsidR="006D362C" w:rsidRPr="003618E2" w:rsidRDefault="006D362C" w:rsidP="00D136BB">
            <w:pPr>
              <w:pStyle w:val="BodyText"/>
              <w:rPr>
                <w:b/>
                <w:sz w:val="20"/>
                <w:lang w:val="es-ES"/>
              </w:rPr>
            </w:pPr>
            <w:r w:rsidRPr="003618E2">
              <w:rPr>
                <w:b/>
                <w:sz w:val="20"/>
                <w:lang w:val="es-ES"/>
              </w:rPr>
              <w:t>República</w:t>
            </w:r>
            <w:r w:rsidR="00D136BB">
              <w:rPr>
                <w:b/>
                <w:sz w:val="20"/>
                <w:lang w:val="es-ES"/>
              </w:rPr>
              <w:t xml:space="preserve"> </w:t>
            </w:r>
            <w:r w:rsidRPr="003618E2">
              <w:rPr>
                <w:b/>
                <w:sz w:val="20"/>
                <w:lang w:val="es-ES"/>
              </w:rPr>
              <w:t>Dominicana</w:t>
            </w:r>
          </w:p>
        </w:tc>
        <w:tc>
          <w:tcPr>
            <w:tcW w:w="1701" w:type="dxa"/>
            <w:tcBorders>
              <w:top w:val="double" w:sz="4" w:space="0" w:color="auto"/>
              <w:left w:val="single" w:sz="4" w:space="0" w:color="auto"/>
              <w:bottom w:val="single" w:sz="4" w:space="0" w:color="auto"/>
              <w:right w:val="single" w:sz="4" w:space="0" w:color="auto"/>
            </w:tcBorders>
            <w:vAlign w:val="center"/>
            <w:hideMark/>
          </w:tcPr>
          <w:p w14:paraId="64628D88" w14:textId="512A6BA6" w:rsidR="006D362C" w:rsidRPr="003618E2" w:rsidRDefault="006D362C" w:rsidP="00D136BB">
            <w:pPr>
              <w:pStyle w:val="BodyText"/>
              <w:rPr>
                <w:sz w:val="20"/>
              </w:rPr>
            </w:pPr>
            <w:r w:rsidRPr="003618E2">
              <w:rPr>
                <w:sz w:val="20"/>
              </w:rPr>
              <w:t>Electrón</w:t>
            </w:r>
            <w:r w:rsidR="00D136BB">
              <w:rPr>
                <w:sz w:val="20"/>
              </w:rPr>
              <w:t xml:space="preserve"> </w:t>
            </w:r>
            <w:r w:rsidRPr="003618E2">
              <w:rPr>
                <w:sz w:val="20"/>
              </w:rPr>
              <w:t>Beam</w:t>
            </w:r>
            <w:r w:rsidR="00D136BB">
              <w:rPr>
                <w:sz w:val="20"/>
              </w:rPr>
              <w:t xml:space="preserve"> </w:t>
            </w:r>
            <w:r w:rsidRPr="003618E2">
              <w:rPr>
                <w:sz w:val="20"/>
              </w:rPr>
              <w:t>Sure</w:t>
            </w:r>
            <w:r w:rsidR="00D136BB">
              <w:rPr>
                <w:sz w:val="20"/>
              </w:rPr>
              <w:t xml:space="preserve"> </w:t>
            </w:r>
            <w:r w:rsidRPr="003618E2">
              <w:rPr>
                <w:sz w:val="20"/>
              </w:rPr>
              <w:t>Bean</w:t>
            </w:r>
            <w:r w:rsidR="00D136BB">
              <w:rPr>
                <w:sz w:val="20"/>
              </w:rPr>
              <w:t xml:space="preserve"> </w:t>
            </w:r>
            <w:r w:rsidRPr="003618E2">
              <w:rPr>
                <w:sz w:val="20"/>
              </w:rPr>
              <w:t>10/15</w:t>
            </w:r>
            <w:r w:rsidR="00D136BB">
              <w:rPr>
                <w:sz w:val="20"/>
              </w:rPr>
              <w:t xml:space="preserve"> </w:t>
            </w:r>
            <w:r w:rsidRPr="003618E2">
              <w:rPr>
                <w:sz w:val="20"/>
              </w:rPr>
              <w:t>(Fenwall)</w:t>
            </w:r>
          </w:p>
        </w:tc>
        <w:tc>
          <w:tcPr>
            <w:tcW w:w="1418" w:type="dxa"/>
            <w:tcBorders>
              <w:top w:val="double" w:sz="4" w:space="0" w:color="auto"/>
              <w:left w:val="nil"/>
              <w:bottom w:val="single" w:sz="4" w:space="0" w:color="auto"/>
              <w:right w:val="single" w:sz="4" w:space="0" w:color="auto"/>
            </w:tcBorders>
            <w:vAlign w:val="center"/>
            <w:hideMark/>
          </w:tcPr>
          <w:p w14:paraId="33DC7F1C"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double" w:sz="4" w:space="0" w:color="auto"/>
              <w:left w:val="nil"/>
              <w:bottom w:val="single" w:sz="4" w:space="0" w:color="auto"/>
              <w:right w:val="single" w:sz="4" w:space="0" w:color="auto"/>
            </w:tcBorders>
            <w:vAlign w:val="center"/>
            <w:hideMark/>
          </w:tcPr>
          <w:p w14:paraId="2D0533CF" w14:textId="4AFA1AE9" w:rsidR="006D362C" w:rsidRPr="003618E2" w:rsidRDefault="006D362C" w:rsidP="00D136BB">
            <w:pPr>
              <w:pStyle w:val="BodyText"/>
              <w:rPr>
                <w:sz w:val="20"/>
                <w:lang w:val="es-MX"/>
              </w:rPr>
            </w:pPr>
            <w:r w:rsidRPr="003618E2">
              <w:rPr>
                <w:sz w:val="20"/>
                <w:lang w:val="es-MX"/>
              </w:rPr>
              <w:t>GEX</w:t>
            </w:r>
            <w:r w:rsidR="00D136BB">
              <w:rPr>
                <w:sz w:val="20"/>
                <w:lang w:val="es-MX"/>
              </w:rPr>
              <w:t xml:space="preserve">  </w:t>
            </w:r>
            <w:r w:rsidRPr="003618E2">
              <w:rPr>
                <w:sz w:val="20"/>
                <w:lang w:val="es-MX"/>
              </w:rPr>
              <w:t>B3</w:t>
            </w:r>
          </w:p>
        </w:tc>
        <w:tc>
          <w:tcPr>
            <w:tcW w:w="1137" w:type="dxa"/>
            <w:tcBorders>
              <w:top w:val="double" w:sz="4" w:space="0" w:color="auto"/>
              <w:left w:val="nil"/>
              <w:bottom w:val="single" w:sz="4" w:space="0" w:color="auto"/>
              <w:right w:val="single" w:sz="4" w:space="0" w:color="auto"/>
            </w:tcBorders>
            <w:vAlign w:val="center"/>
            <w:hideMark/>
          </w:tcPr>
          <w:p w14:paraId="3BA14F7C" w14:textId="77777777" w:rsidR="006D362C" w:rsidRPr="003618E2" w:rsidRDefault="006D362C" w:rsidP="00D136BB">
            <w:pPr>
              <w:pStyle w:val="BodyText"/>
              <w:rPr>
                <w:sz w:val="20"/>
                <w:lang w:val="es-MX"/>
              </w:rPr>
            </w:pPr>
            <w:r w:rsidRPr="003618E2">
              <w:rPr>
                <w:sz w:val="20"/>
                <w:lang w:val="es-MX"/>
              </w:rPr>
              <w:t>NPL</w:t>
            </w:r>
          </w:p>
        </w:tc>
        <w:tc>
          <w:tcPr>
            <w:tcW w:w="1134" w:type="dxa"/>
            <w:tcBorders>
              <w:top w:val="double" w:sz="4" w:space="0" w:color="auto"/>
              <w:left w:val="nil"/>
              <w:bottom w:val="single" w:sz="4" w:space="0" w:color="auto"/>
              <w:right w:val="single" w:sz="4" w:space="0" w:color="auto"/>
            </w:tcBorders>
            <w:vAlign w:val="center"/>
            <w:hideMark/>
          </w:tcPr>
          <w:p w14:paraId="3673263C" w14:textId="77777777" w:rsidR="006D362C" w:rsidRPr="003618E2" w:rsidRDefault="006D362C" w:rsidP="00D136BB">
            <w:pPr>
              <w:pStyle w:val="BodyText"/>
              <w:rPr>
                <w:sz w:val="20"/>
                <w:lang w:val="es-MX"/>
              </w:rPr>
            </w:pPr>
            <w:r w:rsidRPr="003618E2">
              <w:rPr>
                <w:sz w:val="20"/>
                <w:lang w:val="es-MX"/>
              </w:rPr>
              <w:t>Si</w:t>
            </w:r>
          </w:p>
        </w:tc>
        <w:tc>
          <w:tcPr>
            <w:tcW w:w="1134" w:type="dxa"/>
            <w:tcBorders>
              <w:top w:val="double" w:sz="4" w:space="0" w:color="auto"/>
              <w:left w:val="nil"/>
              <w:bottom w:val="single" w:sz="4" w:space="0" w:color="auto"/>
              <w:right w:val="double" w:sz="4" w:space="0" w:color="auto"/>
            </w:tcBorders>
            <w:vAlign w:val="center"/>
            <w:hideMark/>
          </w:tcPr>
          <w:p w14:paraId="7A8E8BA2" w14:textId="358BFEC7" w:rsidR="006D362C" w:rsidRPr="003618E2" w:rsidRDefault="006D362C" w:rsidP="00D136BB">
            <w:pPr>
              <w:pStyle w:val="BodyText"/>
              <w:rPr>
                <w:sz w:val="20"/>
                <w:lang w:val="es-MX"/>
              </w:rPr>
            </w:pPr>
            <w:r w:rsidRPr="003618E2">
              <w:rPr>
                <w:sz w:val="20"/>
                <w:lang w:val="es-MX"/>
              </w:rPr>
              <w:t>ISO</w:t>
            </w:r>
            <w:r w:rsidR="00D136BB">
              <w:rPr>
                <w:sz w:val="20"/>
                <w:lang w:val="es-MX"/>
              </w:rPr>
              <w:t xml:space="preserve"> </w:t>
            </w:r>
            <w:r w:rsidRPr="003618E2">
              <w:rPr>
                <w:sz w:val="20"/>
                <w:lang w:val="es-MX"/>
              </w:rPr>
              <w:t>13485</w:t>
            </w:r>
            <w:r w:rsidR="00D136BB">
              <w:rPr>
                <w:sz w:val="20"/>
                <w:lang w:val="es-MX"/>
              </w:rPr>
              <w:t xml:space="preserve"> </w:t>
            </w:r>
            <w:r w:rsidRPr="003618E2">
              <w:rPr>
                <w:sz w:val="20"/>
                <w:lang w:val="es-MX"/>
              </w:rPr>
              <w:t>e</w:t>
            </w:r>
            <w:r w:rsidR="00D136BB">
              <w:rPr>
                <w:sz w:val="20"/>
                <w:lang w:val="es-MX"/>
              </w:rPr>
              <w:t xml:space="preserve"> </w:t>
            </w:r>
            <w:r w:rsidRPr="003618E2">
              <w:rPr>
                <w:sz w:val="20"/>
                <w:lang w:val="es-MX"/>
              </w:rPr>
              <w:t>ISO11137</w:t>
            </w:r>
          </w:p>
        </w:tc>
      </w:tr>
      <w:tr w:rsidR="006D362C" w:rsidRPr="003618E2" w14:paraId="79C6EB1C" w14:textId="77777777" w:rsidTr="00D136BB">
        <w:trPr>
          <w:trHeight w:val="1132"/>
          <w:jc w:val="center"/>
        </w:trPr>
        <w:tc>
          <w:tcPr>
            <w:tcW w:w="1272" w:type="dxa"/>
            <w:vMerge/>
            <w:tcBorders>
              <w:left w:val="double" w:sz="4" w:space="0" w:color="auto"/>
              <w:bottom w:val="double" w:sz="4" w:space="0" w:color="auto"/>
              <w:right w:val="single" w:sz="4" w:space="0" w:color="auto"/>
            </w:tcBorders>
            <w:shd w:val="clear" w:color="auto" w:fill="FF81AB"/>
            <w:vAlign w:val="center"/>
            <w:hideMark/>
          </w:tcPr>
          <w:p w14:paraId="2A4968DF"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double" w:sz="4" w:space="0" w:color="auto"/>
              <w:right w:val="single" w:sz="4" w:space="0" w:color="auto"/>
            </w:tcBorders>
            <w:vAlign w:val="center"/>
            <w:hideMark/>
          </w:tcPr>
          <w:p w14:paraId="5D48F94B" w14:textId="67CCF50F" w:rsidR="006D362C" w:rsidRPr="003618E2" w:rsidRDefault="006D362C" w:rsidP="00D136BB">
            <w:pPr>
              <w:pStyle w:val="BodyText"/>
              <w:rPr>
                <w:sz w:val="20"/>
                <w:lang w:val="es-MX"/>
              </w:rPr>
            </w:pPr>
            <w:r w:rsidRPr="003618E2">
              <w:rPr>
                <w:sz w:val="20"/>
                <w:lang w:val="es-MX"/>
              </w:rPr>
              <w:t>Electrón</w:t>
            </w:r>
            <w:r w:rsidR="00D136BB">
              <w:rPr>
                <w:sz w:val="20"/>
                <w:lang w:val="es-MX"/>
              </w:rPr>
              <w:t xml:space="preserve"> </w:t>
            </w:r>
            <w:r w:rsidRPr="003618E2">
              <w:rPr>
                <w:sz w:val="20"/>
                <w:lang w:val="es-MX"/>
              </w:rPr>
              <w:t>Beam</w:t>
            </w:r>
            <w:r w:rsidR="00D136BB">
              <w:rPr>
                <w:sz w:val="20"/>
                <w:lang w:val="es-MX"/>
              </w:rPr>
              <w:t xml:space="preserve"> </w:t>
            </w:r>
            <w:r w:rsidRPr="003618E2">
              <w:rPr>
                <w:sz w:val="20"/>
                <w:lang w:val="es-MX"/>
              </w:rPr>
              <w:t>Modelo</w:t>
            </w:r>
            <w:r w:rsidR="00D136BB">
              <w:rPr>
                <w:sz w:val="20"/>
                <w:lang w:val="es-MX"/>
              </w:rPr>
              <w:t xml:space="preserve"> </w:t>
            </w:r>
            <w:r w:rsidRPr="003618E2">
              <w:rPr>
                <w:sz w:val="20"/>
                <w:lang w:val="es-MX"/>
              </w:rPr>
              <w:t>integrado</w:t>
            </w:r>
            <w:r w:rsidR="00D136BB">
              <w:rPr>
                <w:sz w:val="20"/>
                <w:lang w:val="es-MX"/>
              </w:rPr>
              <w:t xml:space="preserve"> </w:t>
            </w:r>
            <w:r w:rsidRPr="003618E2">
              <w:rPr>
                <w:sz w:val="20"/>
                <w:lang w:val="es-MX"/>
              </w:rPr>
              <w:t>(Fenwall)</w:t>
            </w:r>
          </w:p>
        </w:tc>
        <w:tc>
          <w:tcPr>
            <w:tcW w:w="1418" w:type="dxa"/>
            <w:tcBorders>
              <w:top w:val="single" w:sz="4" w:space="0" w:color="auto"/>
              <w:left w:val="nil"/>
              <w:bottom w:val="double" w:sz="4" w:space="0" w:color="auto"/>
              <w:right w:val="single" w:sz="4" w:space="0" w:color="auto"/>
            </w:tcBorders>
            <w:vAlign w:val="center"/>
            <w:hideMark/>
          </w:tcPr>
          <w:p w14:paraId="53909A9F"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nil"/>
              <w:bottom w:val="double" w:sz="4" w:space="0" w:color="auto"/>
              <w:right w:val="single" w:sz="4" w:space="0" w:color="auto"/>
            </w:tcBorders>
            <w:vAlign w:val="center"/>
            <w:hideMark/>
          </w:tcPr>
          <w:p w14:paraId="6D88A093" w14:textId="6CB85F5B" w:rsidR="006D362C" w:rsidRPr="003618E2" w:rsidRDefault="006D362C" w:rsidP="00D136BB">
            <w:pPr>
              <w:pStyle w:val="BodyText"/>
              <w:rPr>
                <w:sz w:val="20"/>
                <w:lang w:val="es-MX"/>
              </w:rPr>
            </w:pPr>
            <w:r w:rsidRPr="003618E2">
              <w:rPr>
                <w:sz w:val="20"/>
                <w:lang w:val="es-MX"/>
              </w:rPr>
              <w:t>GEX</w:t>
            </w:r>
            <w:r w:rsidR="00D136BB">
              <w:rPr>
                <w:sz w:val="20"/>
                <w:lang w:val="es-MX"/>
              </w:rPr>
              <w:t xml:space="preserve">  </w:t>
            </w:r>
            <w:r w:rsidRPr="003618E2">
              <w:rPr>
                <w:sz w:val="20"/>
                <w:lang w:val="es-MX"/>
              </w:rPr>
              <w:t>B3</w:t>
            </w:r>
          </w:p>
        </w:tc>
        <w:tc>
          <w:tcPr>
            <w:tcW w:w="1137" w:type="dxa"/>
            <w:tcBorders>
              <w:top w:val="single" w:sz="4" w:space="0" w:color="auto"/>
              <w:left w:val="nil"/>
              <w:bottom w:val="double" w:sz="4" w:space="0" w:color="auto"/>
              <w:right w:val="single" w:sz="4" w:space="0" w:color="auto"/>
            </w:tcBorders>
            <w:vAlign w:val="center"/>
            <w:hideMark/>
          </w:tcPr>
          <w:p w14:paraId="2D8506F0" w14:textId="77777777" w:rsidR="006D362C" w:rsidRPr="003618E2" w:rsidRDefault="006D362C" w:rsidP="00D136BB">
            <w:pPr>
              <w:pStyle w:val="BodyText"/>
              <w:rPr>
                <w:sz w:val="20"/>
                <w:lang w:val="es-MX"/>
              </w:rPr>
            </w:pPr>
            <w:r w:rsidRPr="003618E2">
              <w:rPr>
                <w:sz w:val="20"/>
                <w:lang w:val="es-MX"/>
              </w:rPr>
              <w:t>NPL</w:t>
            </w:r>
          </w:p>
        </w:tc>
        <w:tc>
          <w:tcPr>
            <w:tcW w:w="1134" w:type="dxa"/>
            <w:tcBorders>
              <w:top w:val="single" w:sz="4" w:space="0" w:color="auto"/>
              <w:left w:val="nil"/>
              <w:bottom w:val="double" w:sz="4" w:space="0" w:color="auto"/>
              <w:right w:val="single" w:sz="4" w:space="0" w:color="auto"/>
            </w:tcBorders>
            <w:vAlign w:val="center"/>
            <w:hideMark/>
          </w:tcPr>
          <w:p w14:paraId="6367EF71" w14:textId="77777777" w:rsidR="006D362C" w:rsidRPr="003618E2" w:rsidRDefault="006D362C" w:rsidP="00D136BB">
            <w:pPr>
              <w:pStyle w:val="BodyText"/>
              <w:rPr>
                <w:sz w:val="20"/>
                <w:lang w:val="es-MX"/>
              </w:rPr>
            </w:pPr>
            <w:r w:rsidRPr="003618E2">
              <w:rPr>
                <w:sz w:val="20"/>
                <w:lang w:val="es-MX"/>
              </w:rPr>
              <w:t>Si</w:t>
            </w:r>
          </w:p>
        </w:tc>
        <w:tc>
          <w:tcPr>
            <w:tcW w:w="1134" w:type="dxa"/>
            <w:tcBorders>
              <w:top w:val="single" w:sz="4" w:space="0" w:color="auto"/>
              <w:left w:val="nil"/>
              <w:bottom w:val="double" w:sz="4" w:space="0" w:color="auto"/>
              <w:right w:val="double" w:sz="4" w:space="0" w:color="auto"/>
            </w:tcBorders>
            <w:vAlign w:val="center"/>
            <w:hideMark/>
          </w:tcPr>
          <w:p w14:paraId="25599C1E" w14:textId="14317F93" w:rsidR="006D362C" w:rsidRPr="003618E2" w:rsidRDefault="006D362C" w:rsidP="00D136BB">
            <w:pPr>
              <w:pStyle w:val="BodyText"/>
              <w:rPr>
                <w:sz w:val="20"/>
                <w:lang w:val="es-MX"/>
              </w:rPr>
            </w:pPr>
            <w:r w:rsidRPr="003618E2">
              <w:rPr>
                <w:sz w:val="20"/>
                <w:lang w:val="es-MX"/>
              </w:rPr>
              <w:t>ISO</w:t>
            </w:r>
            <w:r w:rsidR="00D136BB">
              <w:rPr>
                <w:sz w:val="20"/>
                <w:lang w:val="es-MX"/>
              </w:rPr>
              <w:t xml:space="preserve"> </w:t>
            </w:r>
            <w:r w:rsidRPr="003618E2">
              <w:rPr>
                <w:sz w:val="20"/>
                <w:lang w:val="es-MX"/>
              </w:rPr>
              <w:t>13485</w:t>
            </w:r>
            <w:r w:rsidR="00D136BB">
              <w:rPr>
                <w:sz w:val="20"/>
                <w:lang w:val="es-MX"/>
              </w:rPr>
              <w:t xml:space="preserve"> </w:t>
            </w:r>
            <w:r w:rsidRPr="003618E2">
              <w:rPr>
                <w:sz w:val="20"/>
                <w:lang w:val="es-MX"/>
              </w:rPr>
              <w:t>e</w:t>
            </w:r>
            <w:r w:rsidR="00D136BB">
              <w:rPr>
                <w:sz w:val="20"/>
                <w:lang w:val="es-MX"/>
              </w:rPr>
              <w:t xml:space="preserve"> </w:t>
            </w:r>
            <w:r w:rsidRPr="003618E2">
              <w:rPr>
                <w:sz w:val="20"/>
                <w:lang w:val="es-MX"/>
              </w:rPr>
              <w:t>ISO11137</w:t>
            </w:r>
          </w:p>
        </w:tc>
      </w:tr>
      <w:tr w:rsidR="006D362C" w:rsidRPr="003618E2" w14:paraId="6CCE386E" w14:textId="77777777" w:rsidTr="00D136BB">
        <w:trPr>
          <w:trHeight w:val="1241"/>
          <w:jc w:val="center"/>
        </w:trPr>
        <w:tc>
          <w:tcPr>
            <w:tcW w:w="1272" w:type="dxa"/>
            <w:vMerge w:val="restart"/>
            <w:tcBorders>
              <w:top w:val="double" w:sz="4" w:space="0" w:color="auto"/>
              <w:left w:val="double" w:sz="4" w:space="0" w:color="auto"/>
              <w:right w:val="single" w:sz="4" w:space="0" w:color="auto"/>
            </w:tcBorders>
            <w:shd w:val="clear" w:color="auto" w:fill="FF81AB"/>
            <w:vAlign w:val="center"/>
            <w:hideMark/>
          </w:tcPr>
          <w:p w14:paraId="5F36848F" w14:textId="77777777" w:rsidR="006D362C" w:rsidRPr="003618E2" w:rsidRDefault="006D362C" w:rsidP="00D136BB">
            <w:pPr>
              <w:pStyle w:val="BodyText"/>
              <w:rPr>
                <w:b/>
                <w:sz w:val="20"/>
                <w:lang w:val="es-ES"/>
              </w:rPr>
            </w:pPr>
            <w:r w:rsidRPr="003618E2">
              <w:rPr>
                <w:b/>
                <w:sz w:val="20"/>
                <w:lang w:val="es-ES"/>
              </w:rPr>
              <w:t>Ecuador</w:t>
            </w:r>
          </w:p>
        </w:tc>
        <w:tc>
          <w:tcPr>
            <w:tcW w:w="1701" w:type="dxa"/>
            <w:tcBorders>
              <w:top w:val="double" w:sz="4" w:space="0" w:color="auto"/>
              <w:left w:val="single" w:sz="4" w:space="0" w:color="auto"/>
              <w:bottom w:val="single" w:sz="4" w:space="0" w:color="auto"/>
              <w:right w:val="single" w:sz="4" w:space="0" w:color="auto"/>
            </w:tcBorders>
            <w:vAlign w:val="center"/>
            <w:hideMark/>
          </w:tcPr>
          <w:p w14:paraId="498857A9" w14:textId="36DF5D91" w:rsidR="006D362C" w:rsidRPr="003618E2" w:rsidRDefault="006D362C" w:rsidP="00D136BB">
            <w:pPr>
              <w:pStyle w:val="BodyText"/>
              <w:rPr>
                <w:sz w:val="20"/>
                <w:lang w:val="es-MX"/>
              </w:rPr>
            </w:pPr>
            <w:r w:rsidRPr="003618E2">
              <w:rPr>
                <w:sz w:val="20"/>
                <w:lang w:val="es-MX"/>
              </w:rPr>
              <w:t>Planta</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Co-60</w:t>
            </w:r>
            <w:r w:rsidR="00D136BB">
              <w:rPr>
                <w:sz w:val="20"/>
                <w:lang w:val="es-MX"/>
              </w:rPr>
              <w:t xml:space="preserve"> </w:t>
            </w:r>
            <w:r w:rsidRPr="003618E2">
              <w:rPr>
                <w:sz w:val="20"/>
                <w:lang w:val="es-MX"/>
              </w:rPr>
              <w:t>capacidad</w:t>
            </w:r>
            <w:r w:rsidR="00D136BB">
              <w:rPr>
                <w:sz w:val="20"/>
                <w:lang w:val="es-MX"/>
              </w:rPr>
              <w:t xml:space="preserve"> </w:t>
            </w:r>
            <w:r w:rsidRPr="003618E2">
              <w:rPr>
                <w:sz w:val="20"/>
                <w:lang w:val="es-MX"/>
              </w:rPr>
              <w:t>150kCi.</w:t>
            </w:r>
            <w:r w:rsidR="00D136BB">
              <w:rPr>
                <w:sz w:val="20"/>
                <w:lang w:val="es-MX"/>
              </w:rPr>
              <w:t xml:space="preserve"> </w:t>
            </w:r>
            <w:r w:rsidRPr="003618E2">
              <w:rPr>
                <w:sz w:val="20"/>
                <w:lang w:val="es-MX"/>
              </w:rPr>
              <w:t>Actividad</w:t>
            </w:r>
            <w:r w:rsidR="00D136BB">
              <w:rPr>
                <w:sz w:val="20"/>
                <w:lang w:val="es-MX"/>
              </w:rPr>
              <w:t xml:space="preserve"> </w:t>
            </w:r>
            <w:r w:rsidRPr="003618E2">
              <w:rPr>
                <w:sz w:val="20"/>
                <w:lang w:val="es-MX"/>
              </w:rPr>
              <w:t>actual</w:t>
            </w:r>
            <w:r w:rsidR="00D136BB">
              <w:rPr>
                <w:sz w:val="20"/>
                <w:lang w:val="es-MX"/>
              </w:rPr>
              <w:t xml:space="preserve"> </w:t>
            </w:r>
            <w:r w:rsidRPr="003618E2">
              <w:rPr>
                <w:sz w:val="20"/>
                <w:lang w:val="es-MX"/>
              </w:rPr>
              <w:t>&lt;</w:t>
            </w:r>
            <w:r w:rsidR="00D136BB">
              <w:rPr>
                <w:sz w:val="20"/>
                <w:lang w:val="es-MX"/>
              </w:rPr>
              <w:t xml:space="preserve"> </w:t>
            </w:r>
            <w:r w:rsidRPr="003618E2">
              <w:rPr>
                <w:sz w:val="20"/>
                <w:lang w:val="es-MX"/>
              </w:rPr>
              <w:t>4</w:t>
            </w:r>
            <w:r w:rsidR="00D136BB">
              <w:rPr>
                <w:sz w:val="20"/>
                <w:lang w:val="es-MX"/>
              </w:rPr>
              <w:t xml:space="preserve"> </w:t>
            </w:r>
            <w:r w:rsidRPr="003618E2">
              <w:rPr>
                <w:sz w:val="20"/>
                <w:lang w:val="es-MX"/>
              </w:rPr>
              <w:t>kCi</w:t>
            </w:r>
          </w:p>
        </w:tc>
        <w:tc>
          <w:tcPr>
            <w:tcW w:w="1418" w:type="dxa"/>
            <w:tcBorders>
              <w:top w:val="double" w:sz="4" w:space="0" w:color="auto"/>
              <w:left w:val="nil"/>
              <w:bottom w:val="single" w:sz="4" w:space="0" w:color="auto"/>
              <w:right w:val="single" w:sz="4" w:space="0" w:color="auto"/>
            </w:tcBorders>
            <w:vAlign w:val="center"/>
            <w:hideMark/>
          </w:tcPr>
          <w:p w14:paraId="0E97D5F3" w14:textId="6BC681DE" w:rsidR="006D362C" w:rsidRPr="003618E2" w:rsidRDefault="006D362C" w:rsidP="00D136BB">
            <w:pPr>
              <w:pStyle w:val="BodyText"/>
              <w:rPr>
                <w:sz w:val="20"/>
                <w:lang w:val="es-MX"/>
              </w:rPr>
            </w:pP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servicio</w:t>
            </w:r>
          </w:p>
        </w:tc>
        <w:tc>
          <w:tcPr>
            <w:tcW w:w="1561" w:type="dxa"/>
            <w:tcBorders>
              <w:top w:val="double" w:sz="4" w:space="0" w:color="auto"/>
              <w:left w:val="nil"/>
              <w:bottom w:val="single" w:sz="4" w:space="0" w:color="auto"/>
              <w:right w:val="single" w:sz="4" w:space="0" w:color="auto"/>
            </w:tcBorders>
            <w:vAlign w:val="center"/>
            <w:hideMark/>
          </w:tcPr>
          <w:p w14:paraId="71F77FCD" w14:textId="77777777" w:rsidR="006D362C" w:rsidRPr="003618E2" w:rsidRDefault="006D362C" w:rsidP="00D136BB">
            <w:pPr>
              <w:pStyle w:val="BodyText"/>
              <w:rPr>
                <w:sz w:val="20"/>
                <w:lang w:val="es-MX"/>
              </w:rPr>
            </w:pPr>
            <w:r w:rsidRPr="003618E2">
              <w:rPr>
                <w:sz w:val="20"/>
                <w:lang w:val="es-MX"/>
              </w:rPr>
              <w:t>No</w:t>
            </w:r>
          </w:p>
        </w:tc>
        <w:tc>
          <w:tcPr>
            <w:tcW w:w="1137" w:type="dxa"/>
            <w:tcBorders>
              <w:top w:val="double" w:sz="4" w:space="0" w:color="auto"/>
              <w:left w:val="nil"/>
              <w:bottom w:val="single" w:sz="4" w:space="0" w:color="auto"/>
              <w:right w:val="single" w:sz="4" w:space="0" w:color="auto"/>
            </w:tcBorders>
            <w:vAlign w:val="center"/>
            <w:hideMark/>
          </w:tcPr>
          <w:p w14:paraId="3EEEC1FA"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single" w:sz="4" w:space="0" w:color="auto"/>
              <w:right w:val="single" w:sz="4" w:space="0" w:color="auto"/>
            </w:tcBorders>
            <w:vAlign w:val="center"/>
            <w:hideMark/>
          </w:tcPr>
          <w:p w14:paraId="689459E0"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single" w:sz="4" w:space="0" w:color="auto"/>
              <w:right w:val="double" w:sz="4" w:space="0" w:color="auto"/>
            </w:tcBorders>
            <w:vAlign w:val="center"/>
            <w:hideMark/>
          </w:tcPr>
          <w:p w14:paraId="1E48E036" w14:textId="77777777" w:rsidR="006D362C" w:rsidRPr="003618E2" w:rsidRDefault="006D362C" w:rsidP="00D136BB">
            <w:pPr>
              <w:pStyle w:val="BodyText"/>
              <w:rPr>
                <w:sz w:val="20"/>
                <w:lang w:val="es-MX"/>
              </w:rPr>
            </w:pPr>
            <w:r w:rsidRPr="003618E2">
              <w:rPr>
                <w:sz w:val="20"/>
                <w:lang w:val="es-MX"/>
              </w:rPr>
              <w:t>No</w:t>
            </w:r>
          </w:p>
        </w:tc>
      </w:tr>
      <w:tr w:rsidR="006D362C" w:rsidRPr="003618E2" w14:paraId="274C36BC" w14:textId="77777777" w:rsidTr="00D136BB">
        <w:trPr>
          <w:trHeight w:val="698"/>
          <w:jc w:val="center"/>
        </w:trPr>
        <w:tc>
          <w:tcPr>
            <w:tcW w:w="1272" w:type="dxa"/>
            <w:vMerge/>
            <w:tcBorders>
              <w:left w:val="double" w:sz="4" w:space="0" w:color="auto"/>
              <w:right w:val="single" w:sz="4" w:space="0" w:color="auto"/>
            </w:tcBorders>
            <w:shd w:val="clear" w:color="auto" w:fill="FF81AB"/>
            <w:vAlign w:val="center"/>
            <w:hideMark/>
          </w:tcPr>
          <w:p w14:paraId="3E57B25F"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62BB41" w14:textId="296E6C90" w:rsidR="006D362C" w:rsidRPr="003618E2" w:rsidRDefault="006D362C" w:rsidP="00D136BB">
            <w:pPr>
              <w:pStyle w:val="BodyText"/>
              <w:rPr>
                <w:sz w:val="20"/>
                <w:lang w:val="es-MX"/>
              </w:rPr>
            </w:pPr>
            <w:r w:rsidRPr="003618E2">
              <w:rPr>
                <w:sz w:val="20"/>
                <w:lang w:val="es-MX"/>
              </w:rPr>
              <w:t>Acelerador</w:t>
            </w:r>
            <w:r w:rsidR="00D136BB">
              <w:rPr>
                <w:sz w:val="20"/>
                <w:lang w:val="es-MX"/>
              </w:rPr>
              <w:t xml:space="preserve"> </w:t>
            </w:r>
            <w:r w:rsidRPr="003618E2">
              <w:rPr>
                <w:sz w:val="20"/>
                <w:lang w:val="es-MX"/>
              </w:rPr>
              <w:t>5</w:t>
            </w:r>
            <w:r w:rsidR="00D136BB">
              <w:rPr>
                <w:sz w:val="20"/>
                <w:lang w:val="es-MX"/>
              </w:rPr>
              <w:t xml:space="preserve"> </w:t>
            </w:r>
            <w:r w:rsidRPr="003618E2">
              <w:rPr>
                <w:sz w:val="20"/>
                <w:lang w:val="es-MX"/>
              </w:rPr>
              <w:t>-</w:t>
            </w:r>
            <w:r w:rsidR="00D136BB">
              <w:rPr>
                <w:sz w:val="20"/>
                <w:lang w:val="es-MX"/>
              </w:rPr>
              <w:t xml:space="preserve"> </w:t>
            </w:r>
            <w:r w:rsidRPr="003618E2">
              <w:rPr>
                <w:sz w:val="20"/>
                <w:lang w:val="es-MX"/>
              </w:rPr>
              <w:t>10</w:t>
            </w:r>
            <w:r w:rsidR="00D136BB">
              <w:rPr>
                <w:sz w:val="20"/>
                <w:lang w:val="es-MX"/>
              </w:rPr>
              <w:t xml:space="preserve"> </w:t>
            </w:r>
            <w:r w:rsidRPr="003618E2">
              <w:rPr>
                <w:sz w:val="20"/>
                <w:lang w:val="es-MX"/>
              </w:rPr>
              <w:t>MeV</w:t>
            </w:r>
          </w:p>
        </w:tc>
        <w:tc>
          <w:tcPr>
            <w:tcW w:w="1418" w:type="dxa"/>
            <w:tcBorders>
              <w:top w:val="single" w:sz="4" w:space="0" w:color="auto"/>
              <w:left w:val="nil"/>
              <w:bottom w:val="single" w:sz="4" w:space="0" w:color="auto"/>
              <w:right w:val="single" w:sz="4" w:space="0" w:color="auto"/>
            </w:tcBorders>
            <w:vAlign w:val="center"/>
            <w:hideMark/>
          </w:tcPr>
          <w:p w14:paraId="77B69729" w14:textId="4E7DC23B" w:rsidR="006D362C" w:rsidRPr="003618E2" w:rsidRDefault="006D362C" w:rsidP="00D136BB">
            <w:pPr>
              <w:pStyle w:val="BodyText"/>
              <w:rPr>
                <w:sz w:val="20"/>
                <w:lang w:val="es-MX"/>
              </w:rPr>
            </w:pP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servicio</w:t>
            </w:r>
          </w:p>
        </w:tc>
        <w:tc>
          <w:tcPr>
            <w:tcW w:w="1561" w:type="dxa"/>
            <w:tcBorders>
              <w:top w:val="single" w:sz="4" w:space="0" w:color="auto"/>
              <w:left w:val="nil"/>
              <w:bottom w:val="single" w:sz="4" w:space="0" w:color="auto"/>
              <w:right w:val="single" w:sz="4" w:space="0" w:color="auto"/>
            </w:tcBorders>
            <w:vAlign w:val="center"/>
            <w:hideMark/>
          </w:tcPr>
          <w:p w14:paraId="32D1E4F9" w14:textId="77777777" w:rsidR="006D362C" w:rsidRPr="003618E2" w:rsidRDefault="006D362C" w:rsidP="00D136BB">
            <w:pPr>
              <w:pStyle w:val="BodyText"/>
              <w:rPr>
                <w:sz w:val="20"/>
                <w:lang w:val="es-MX"/>
              </w:rPr>
            </w:pPr>
            <w:r w:rsidRPr="003618E2">
              <w:rPr>
                <w:sz w:val="20"/>
                <w:lang w:val="es-MX"/>
              </w:rPr>
              <w:t>PVC</w:t>
            </w:r>
          </w:p>
        </w:tc>
        <w:tc>
          <w:tcPr>
            <w:tcW w:w="1137" w:type="dxa"/>
            <w:tcBorders>
              <w:top w:val="single" w:sz="4" w:space="0" w:color="auto"/>
              <w:left w:val="nil"/>
              <w:bottom w:val="single" w:sz="4" w:space="0" w:color="auto"/>
              <w:right w:val="single" w:sz="4" w:space="0" w:color="auto"/>
            </w:tcBorders>
            <w:vAlign w:val="center"/>
            <w:hideMark/>
          </w:tcPr>
          <w:p w14:paraId="3949FFA5" w14:textId="47403571" w:rsidR="006D362C" w:rsidRPr="003618E2" w:rsidRDefault="006D362C" w:rsidP="00D136BB">
            <w:pPr>
              <w:pStyle w:val="BodyText"/>
              <w:rPr>
                <w:sz w:val="20"/>
                <w:lang w:val="es-MX"/>
              </w:rPr>
            </w:pPr>
            <w:r w:rsidRPr="003618E2">
              <w:rPr>
                <w:sz w:val="20"/>
                <w:lang w:val="es-MX"/>
              </w:rPr>
              <w:t>Radiocró-mico;</w:t>
            </w:r>
            <w:r w:rsidR="00D136BB">
              <w:rPr>
                <w:sz w:val="20"/>
                <w:lang w:val="es-MX"/>
              </w:rPr>
              <w:t xml:space="preserve"> </w:t>
            </w:r>
            <w:r w:rsidRPr="003618E2">
              <w:rPr>
                <w:sz w:val="20"/>
                <w:lang w:val="es-MX"/>
              </w:rPr>
              <w:t>caloríme-</w:t>
            </w:r>
            <w:r w:rsidR="00D136BB">
              <w:rPr>
                <w:sz w:val="20"/>
                <w:lang w:val="es-MX"/>
              </w:rPr>
              <w:t xml:space="preserve"> </w:t>
            </w:r>
            <w:r w:rsidRPr="003618E2">
              <w:rPr>
                <w:sz w:val="20"/>
                <w:lang w:val="es-MX"/>
              </w:rPr>
              <w:t>tro</w:t>
            </w:r>
          </w:p>
        </w:tc>
        <w:tc>
          <w:tcPr>
            <w:tcW w:w="1134" w:type="dxa"/>
            <w:tcBorders>
              <w:top w:val="single" w:sz="4" w:space="0" w:color="auto"/>
              <w:left w:val="nil"/>
              <w:bottom w:val="single" w:sz="4" w:space="0" w:color="auto"/>
              <w:right w:val="single" w:sz="4" w:space="0" w:color="auto"/>
            </w:tcBorders>
            <w:vAlign w:val="center"/>
            <w:hideMark/>
          </w:tcPr>
          <w:p w14:paraId="66E138F4"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vAlign w:val="center"/>
            <w:hideMark/>
          </w:tcPr>
          <w:p w14:paraId="6952C493" w14:textId="77777777" w:rsidR="006D362C" w:rsidRPr="003618E2" w:rsidRDefault="006D362C" w:rsidP="00D136BB">
            <w:pPr>
              <w:pStyle w:val="BodyText"/>
              <w:rPr>
                <w:sz w:val="20"/>
                <w:lang w:val="es-MX"/>
              </w:rPr>
            </w:pPr>
            <w:r w:rsidRPr="003618E2">
              <w:rPr>
                <w:sz w:val="20"/>
                <w:lang w:val="es-MX"/>
              </w:rPr>
              <w:t>No</w:t>
            </w:r>
          </w:p>
        </w:tc>
      </w:tr>
      <w:tr w:rsidR="006D362C" w:rsidRPr="003618E2" w14:paraId="28C15B33" w14:textId="77777777" w:rsidTr="00D136BB">
        <w:trPr>
          <w:trHeight w:val="1700"/>
          <w:jc w:val="center"/>
        </w:trPr>
        <w:tc>
          <w:tcPr>
            <w:tcW w:w="1272" w:type="dxa"/>
            <w:vMerge/>
            <w:tcBorders>
              <w:left w:val="double" w:sz="4" w:space="0" w:color="auto"/>
              <w:bottom w:val="double" w:sz="4" w:space="0" w:color="auto"/>
              <w:right w:val="single" w:sz="4" w:space="0" w:color="auto"/>
            </w:tcBorders>
            <w:shd w:val="clear" w:color="auto" w:fill="FF81AB"/>
            <w:vAlign w:val="center"/>
            <w:hideMark/>
          </w:tcPr>
          <w:p w14:paraId="31DCA363"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double" w:sz="4" w:space="0" w:color="auto"/>
              <w:right w:val="single" w:sz="4" w:space="0" w:color="auto"/>
            </w:tcBorders>
            <w:vAlign w:val="center"/>
            <w:hideMark/>
          </w:tcPr>
          <w:p w14:paraId="7874E5AD" w14:textId="64A3B86E" w:rsidR="006D362C" w:rsidRPr="003618E2" w:rsidRDefault="006D362C" w:rsidP="00D136BB">
            <w:pPr>
              <w:pStyle w:val="BodyText"/>
              <w:rPr>
                <w:sz w:val="20"/>
                <w:lang w:val="es-MX"/>
              </w:rPr>
            </w:pPr>
            <w:r w:rsidRPr="003618E2">
              <w:rPr>
                <w:sz w:val="20"/>
                <w:lang w:val="es-MX"/>
              </w:rPr>
              <w:t>Gammacell</w:t>
            </w:r>
            <w:r w:rsidR="00D136BB">
              <w:rPr>
                <w:sz w:val="20"/>
                <w:lang w:val="es-MX"/>
              </w:rPr>
              <w:t xml:space="preserve"> </w:t>
            </w:r>
            <w:r w:rsidRPr="003618E2">
              <w:rPr>
                <w:sz w:val="20"/>
                <w:lang w:val="es-MX"/>
              </w:rPr>
              <w:t>JL</w:t>
            </w:r>
            <w:r w:rsidR="00D136BB">
              <w:rPr>
                <w:sz w:val="20"/>
                <w:lang w:val="es-MX"/>
              </w:rPr>
              <w:t xml:space="preserve"> </w:t>
            </w:r>
            <w:r w:rsidRPr="003618E2">
              <w:rPr>
                <w:sz w:val="20"/>
                <w:lang w:val="es-MX"/>
              </w:rPr>
              <w:t>SHEPHERD</w:t>
            </w:r>
            <w:r w:rsidR="00D136BB">
              <w:rPr>
                <w:sz w:val="20"/>
                <w:lang w:val="es-MX"/>
              </w:rPr>
              <w:t xml:space="preserve"> </w:t>
            </w:r>
            <w:r w:rsidRPr="003618E2">
              <w:rPr>
                <w:sz w:val="20"/>
                <w:lang w:val="es-MX"/>
              </w:rPr>
              <w:t>109</w:t>
            </w:r>
            <w:r w:rsidR="00D136BB">
              <w:rPr>
                <w:sz w:val="20"/>
                <w:lang w:val="es-MX"/>
              </w:rPr>
              <w:t xml:space="preserve"> </w:t>
            </w:r>
            <w:r w:rsidRPr="003618E2">
              <w:rPr>
                <w:sz w:val="20"/>
                <w:lang w:val="es-MX"/>
              </w:rPr>
              <w:t>Actividad</w:t>
            </w:r>
            <w:r w:rsidR="00D136BB">
              <w:rPr>
                <w:sz w:val="20"/>
                <w:lang w:val="es-MX"/>
              </w:rPr>
              <w:t xml:space="preserve"> </w:t>
            </w:r>
            <w:r w:rsidRPr="003618E2">
              <w:rPr>
                <w:sz w:val="20"/>
                <w:lang w:val="es-MX"/>
              </w:rPr>
              <w:t>inicial</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11</w:t>
            </w:r>
            <w:r w:rsidR="00D136BB">
              <w:rPr>
                <w:sz w:val="20"/>
                <w:lang w:val="es-MX"/>
              </w:rPr>
              <w:t xml:space="preserve"> </w:t>
            </w:r>
            <w:r w:rsidRPr="003618E2">
              <w:rPr>
                <w:sz w:val="20"/>
                <w:lang w:val="es-MX"/>
              </w:rPr>
              <w:t>kCi.</w:t>
            </w:r>
            <w:r w:rsidR="00D136BB">
              <w:rPr>
                <w:sz w:val="20"/>
                <w:lang w:val="es-MX"/>
              </w:rPr>
              <w:t xml:space="preserve"> </w:t>
            </w:r>
            <w:r w:rsidRPr="003618E2">
              <w:rPr>
                <w:sz w:val="20"/>
                <w:lang w:val="es-MX"/>
              </w:rPr>
              <w:t>Actividad</w:t>
            </w:r>
            <w:r w:rsidR="00D136BB">
              <w:rPr>
                <w:sz w:val="20"/>
                <w:lang w:val="es-MX"/>
              </w:rPr>
              <w:t xml:space="preserve"> </w:t>
            </w:r>
            <w:r w:rsidRPr="003618E2">
              <w:rPr>
                <w:sz w:val="20"/>
                <w:lang w:val="es-MX"/>
              </w:rPr>
              <w:t>actual</w:t>
            </w:r>
            <w:r w:rsidR="00D136BB">
              <w:rPr>
                <w:sz w:val="20"/>
                <w:lang w:val="es-MX"/>
              </w:rPr>
              <w:t xml:space="preserve"> </w:t>
            </w:r>
            <w:r w:rsidRPr="003618E2">
              <w:rPr>
                <w:sz w:val="20"/>
                <w:lang w:val="es-MX"/>
              </w:rPr>
              <w:t>&lt;0.7</w:t>
            </w:r>
            <w:r w:rsidR="00D136BB">
              <w:rPr>
                <w:sz w:val="20"/>
                <w:lang w:val="es-MX"/>
              </w:rPr>
              <w:t xml:space="preserve"> </w:t>
            </w:r>
            <w:r w:rsidRPr="003618E2">
              <w:rPr>
                <w:sz w:val="20"/>
                <w:lang w:val="es-MX"/>
              </w:rPr>
              <w:t>kCi</w:t>
            </w:r>
          </w:p>
        </w:tc>
        <w:tc>
          <w:tcPr>
            <w:tcW w:w="1418" w:type="dxa"/>
            <w:tcBorders>
              <w:top w:val="single" w:sz="4" w:space="0" w:color="auto"/>
              <w:left w:val="nil"/>
              <w:bottom w:val="double" w:sz="4" w:space="0" w:color="auto"/>
              <w:right w:val="single" w:sz="4" w:space="0" w:color="auto"/>
            </w:tcBorders>
            <w:vAlign w:val="center"/>
            <w:hideMark/>
          </w:tcPr>
          <w:p w14:paraId="379C2073" w14:textId="77777777" w:rsidR="006D362C" w:rsidRPr="003618E2" w:rsidRDefault="006D362C" w:rsidP="00D136BB">
            <w:pPr>
              <w:pStyle w:val="BodyText"/>
              <w:rPr>
                <w:sz w:val="20"/>
                <w:lang w:val="es-MX"/>
              </w:rPr>
            </w:pPr>
            <w:r w:rsidRPr="003618E2">
              <w:rPr>
                <w:sz w:val="20"/>
                <w:lang w:val="es-MX"/>
              </w:rPr>
              <w:t>Investigación</w:t>
            </w:r>
          </w:p>
        </w:tc>
        <w:tc>
          <w:tcPr>
            <w:tcW w:w="1561" w:type="dxa"/>
            <w:tcBorders>
              <w:top w:val="single" w:sz="4" w:space="0" w:color="auto"/>
              <w:left w:val="nil"/>
              <w:bottom w:val="double" w:sz="4" w:space="0" w:color="auto"/>
              <w:right w:val="single" w:sz="4" w:space="0" w:color="auto"/>
            </w:tcBorders>
            <w:vAlign w:val="center"/>
            <w:hideMark/>
          </w:tcPr>
          <w:p w14:paraId="7B95A654" w14:textId="77777777" w:rsidR="006D362C" w:rsidRPr="003618E2" w:rsidRDefault="006D362C" w:rsidP="00D136BB">
            <w:pPr>
              <w:pStyle w:val="BodyText"/>
              <w:rPr>
                <w:sz w:val="20"/>
                <w:lang w:val="es-MX"/>
              </w:rPr>
            </w:pPr>
            <w:r w:rsidRPr="003618E2">
              <w:rPr>
                <w:sz w:val="20"/>
                <w:lang w:val="es-MX"/>
              </w:rPr>
              <w:t>Fricke</w:t>
            </w:r>
          </w:p>
        </w:tc>
        <w:tc>
          <w:tcPr>
            <w:tcW w:w="1137" w:type="dxa"/>
            <w:tcBorders>
              <w:top w:val="single" w:sz="4" w:space="0" w:color="auto"/>
              <w:left w:val="nil"/>
              <w:bottom w:val="double" w:sz="4" w:space="0" w:color="auto"/>
              <w:right w:val="single" w:sz="4" w:space="0" w:color="auto"/>
            </w:tcBorders>
            <w:vAlign w:val="center"/>
            <w:hideMark/>
          </w:tcPr>
          <w:p w14:paraId="371ADA74"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double" w:sz="4" w:space="0" w:color="auto"/>
              <w:right w:val="single" w:sz="4" w:space="0" w:color="auto"/>
            </w:tcBorders>
            <w:vAlign w:val="center"/>
            <w:hideMark/>
          </w:tcPr>
          <w:p w14:paraId="1C3B6A63"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double" w:sz="4" w:space="0" w:color="auto"/>
              <w:right w:val="double" w:sz="4" w:space="0" w:color="auto"/>
            </w:tcBorders>
            <w:vAlign w:val="center"/>
            <w:hideMark/>
          </w:tcPr>
          <w:p w14:paraId="2E6D0E11" w14:textId="77777777" w:rsidR="006D362C" w:rsidRPr="003618E2" w:rsidRDefault="006D362C" w:rsidP="00D136BB">
            <w:pPr>
              <w:pStyle w:val="BodyText"/>
              <w:rPr>
                <w:sz w:val="20"/>
                <w:lang w:val="es-MX"/>
              </w:rPr>
            </w:pPr>
            <w:r w:rsidRPr="003618E2">
              <w:rPr>
                <w:sz w:val="20"/>
                <w:lang w:val="es-MX"/>
              </w:rPr>
              <w:t>No</w:t>
            </w:r>
          </w:p>
        </w:tc>
      </w:tr>
      <w:tr w:rsidR="006D362C" w:rsidRPr="003618E2" w14:paraId="3ACFF77E" w14:textId="77777777" w:rsidTr="00D136BB">
        <w:trPr>
          <w:trHeight w:val="812"/>
          <w:jc w:val="center"/>
        </w:trPr>
        <w:tc>
          <w:tcPr>
            <w:tcW w:w="1272" w:type="dxa"/>
            <w:tcBorders>
              <w:top w:val="double" w:sz="4" w:space="0" w:color="auto"/>
              <w:left w:val="double" w:sz="4" w:space="0" w:color="auto"/>
              <w:bottom w:val="double" w:sz="4" w:space="0" w:color="auto"/>
              <w:right w:val="single" w:sz="4" w:space="0" w:color="auto"/>
            </w:tcBorders>
            <w:shd w:val="clear" w:color="auto" w:fill="FF81AB"/>
            <w:vAlign w:val="center"/>
            <w:hideMark/>
          </w:tcPr>
          <w:p w14:paraId="1CD46FC6" w14:textId="7C41F2B7" w:rsidR="006D362C" w:rsidRPr="003618E2" w:rsidRDefault="006D362C" w:rsidP="00D136BB">
            <w:pPr>
              <w:pStyle w:val="BodyText"/>
              <w:rPr>
                <w:b/>
                <w:sz w:val="20"/>
                <w:lang w:val="es-ES"/>
              </w:rPr>
            </w:pPr>
            <w:r w:rsidRPr="003618E2">
              <w:rPr>
                <w:b/>
                <w:sz w:val="20"/>
                <w:lang w:val="es-ES"/>
              </w:rPr>
              <w:t>El</w:t>
            </w:r>
            <w:r w:rsidR="00D136BB">
              <w:rPr>
                <w:b/>
                <w:sz w:val="20"/>
                <w:lang w:val="es-ES"/>
              </w:rPr>
              <w:t xml:space="preserve"> </w:t>
            </w:r>
            <w:r w:rsidRPr="003618E2">
              <w:rPr>
                <w:b/>
                <w:sz w:val="20"/>
                <w:lang w:val="es-ES"/>
              </w:rPr>
              <w:t>Salvador</w:t>
            </w:r>
          </w:p>
        </w:tc>
        <w:tc>
          <w:tcPr>
            <w:tcW w:w="1701" w:type="dxa"/>
            <w:tcBorders>
              <w:top w:val="double" w:sz="4" w:space="0" w:color="auto"/>
              <w:left w:val="nil"/>
              <w:bottom w:val="double" w:sz="4" w:space="0" w:color="auto"/>
              <w:right w:val="single" w:sz="4" w:space="0" w:color="auto"/>
            </w:tcBorders>
            <w:vAlign w:val="center"/>
            <w:hideMark/>
          </w:tcPr>
          <w:p w14:paraId="1CD0B3E8" w14:textId="611AC07D" w:rsidR="006D362C" w:rsidRPr="003618E2" w:rsidRDefault="006D362C" w:rsidP="00D136BB">
            <w:pPr>
              <w:pStyle w:val="BodyText"/>
              <w:rPr>
                <w:sz w:val="20"/>
                <w:lang w:val="es-MX"/>
              </w:rPr>
            </w:pPr>
            <w:r w:rsidRPr="003618E2">
              <w:rPr>
                <w:sz w:val="20"/>
                <w:lang w:val="es-MX"/>
              </w:rPr>
              <w:t>Planta</w:t>
            </w:r>
            <w:r w:rsidR="00D136BB">
              <w:rPr>
                <w:sz w:val="20"/>
                <w:lang w:val="es-MX"/>
              </w:rPr>
              <w:t xml:space="preserve"> </w:t>
            </w:r>
            <w:r w:rsidRPr="003618E2">
              <w:rPr>
                <w:sz w:val="20"/>
                <w:lang w:val="es-MX"/>
              </w:rPr>
              <w:t>JS</w:t>
            </w:r>
            <w:r w:rsidR="00D136BB">
              <w:rPr>
                <w:sz w:val="20"/>
                <w:lang w:val="es-MX"/>
              </w:rPr>
              <w:t xml:space="preserve"> </w:t>
            </w:r>
            <w:r w:rsidRPr="003618E2">
              <w:rPr>
                <w:sz w:val="20"/>
                <w:lang w:val="es-MX"/>
              </w:rPr>
              <w:t>7500</w:t>
            </w:r>
            <w:r w:rsidR="00D136BB">
              <w:rPr>
                <w:sz w:val="20"/>
                <w:lang w:val="es-MX"/>
              </w:rPr>
              <w:t xml:space="preserve"> </w:t>
            </w:r>
            <w:r w:rsidRPr="003618E2">
              <w:rPr>
                <w:sz w:val="20"/>
                <w:lang w:val="es-MX"/>
              </w:rPr>
              <w:t>1974</w:t>
            </w:r>
            <w:r w:rsidR="00D136BB">
              <w:rPr>
                <w:sz w:val="20"/>
                <w:lang w:val="es-MX"/>
              </w:rPr>
              <w:t xml:space="preserve"> </w:t>
            </w:r>
            <w:r w:rsidRPr="003618E2">
              <w:rPr>
                <w:sz w:val="20"/>
                <w:lang w:val="es-MX"/>
              </w:rPr>
              <w:t>accidente</w:t>
            </w:r>
            <w:r w:rsidR="00D136BB">
              <w:rPr>
                <w:sz w:val="20"/>
                <w:lang w:val="es-MX"/>
              </w:rPr>
              <w:t xml:space="preserve"> </w:t>
            </w:r>
            <w:r w:rsidRPr="003618E2">
              <w:rPr>
                <w:sz w:val="20"/>
                <w:lang w:val="es-MX"/>
              </w:rPr>
              <w:t>1991</w:t>
            </w:r>
            <w:r w:rsidR="00D136BB">
              <w:rPr>
                <w:sz w:val="20"/>
                <w:lang w:val="es-MX"/>
              </w:rPr>
              <w:t xml:space="preserve"> </w:t>
            </w:r>
            <w:r w:rsidRPr="003618E2">
              <w:rPr>
                <w:sz w:val="20"/>
                <w:lang w:val="es-MX"/>
              </w:rPr>
              <w:t>18</w:t>
            </w:r>
            <w:r w:rsidR="00D136BB">
              <w:rPr>
                <w:sz w:val="20"/>
                <w:lang w:val="es-MX"/>
              </w:rPr>
              <w:t xml:space="preserve"> </w:t>
            </w:r>
            <w:r w:rsidRPr="003618E2">
              <w:rPr>
                <w:sz w:val="20"/>
                <w:lang w:val="es-MX"/>
              </w:rPr>
              <w:t>kCi</w:t>
            </w:r>
          </w:p>
        </w:tc>
        <w:tc>
          <w:tcPr>
            <w:tcW w:w="1418" w:type="dxa"/>
            <w:tcBorders>
              <w:top w:val="double" w:sz="4" w:space="0" w:color="auto"/>
              <w:left w:val="nil"/>
              <w:bottom w:val="double" w:sz="4" w:space="0" w:color="auto"/>
              <w:right w:val="single" w:sz="4" w:space="0" w:color="auto"/>
            </w:tcBorders>
            <w:noWrap/>
            <w:vAlign w:val="center"/>
            <w:hideMark/>
          </w:tcPr>
          <w:p w14:paraId="0D928EDF" w14:textId="77777777" w:rsidR="006D362C" w:rsidRPr="003618E2" w:rsidRDefault="006D362C" w:rsidP="00D136BB">
            <w:pPr>
              <w:pStyle w:val="BodyText"/>
              <w:rPr>
                <w:sz w:val="20"/>
                <w:lang w:val="es-MX"/>
              </w:rPr>
            </w:pPr>
            <w:r w:rsidRPr="003618E2">
              <w:rPr>
                <w:sz w:val="20"/>
                <w:lang w:val="es-MX"/>
              </w:rPr>
              <w:t>Cerrada</w:t>
            </w:r>
          </w:p>
        </w:tc>
        <w:tc>
          <w:tcPr>
            <w:tcW w:w="1561" w:type="dxa"/>
            <w:tcBorders>
              <w:top w:val="double" w:sz="4" w:space="0" w:color="auto"/>
              <w:left w:val="nil"/>
              <w:bottom w:val="double" w:sz="4" w:space="0" w:color="auto"/>
              <w:right w:val="single" w:sz="4" w:space="0" w:color="auto"/>
            </w:tcBorders>
            <w:vAlign w:val="center"/>
            <w:hideMark/>
          </w:tcPr>
          <w:p w14:paraId="4A7FAE58" w14:textId="77777777" w:rsidR="006D362C" w:rsidRPr="003618E2" w:rsidRDefault="006D362C" w:rsidP="00D136BB">
            <w:pPr>
              <w:pStyle w:val="BodyText"/>
              <w:rPr>
                <w:sz w:val="20"/>
                <w:lang w:val="es-MX"/>
              </w:rPr>
            </w:pPr>
            <w:r w:rsidRPr="003618E2">
              <w:rPr>
                <w:sz w:val="20"/>
                <w:lang w:val="es-MX"/>
              </w:rPr>
              <w:t>No</w:t>
            </w:r>
          </w:p>
        </w:tc>
        <w:tc>
          <w:tcPr>
            <w:tcW w:w="1137" w:type="dxa"/>
            <w:tcBorders>
              <w:top w:val="double" w:sz="4" w:space="0" w:color="auto"/>
              <w:left w:val="nil"/>
              <w:bottom w:val="double" w:sz="4" w:space="0" w:color="auto"/>
              <w:right w:val="single" w:sz="4" w:space="0" w:color="auto"/>
            </w:tcBorders>
            <w:vAlign w:val="center"/>
            <w:hideMark/>
          </w:tcPr>
          <w:p w14:paraId="1F503BB0"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double" w:sz="4" w:space="0" w:color="auto"/>
              <w:right w:val="single" w:sz="4" w:space="0" w:color="auto"/>
            </w:tcBorders>
            <w:vAlign w:val="center"/>
            <w:hideMark/>
          </w:tcPr>
          <w:p w14:paraId="640EA0FB"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double" w:sz="4" w:space="0" w:color="auto"/>
              <w:right w:val="double" w:sz="4" w:space="0" w:color="auto"/>
            </w:tcBorders>
            <w:vAlign w:val="center"/>
            <w:hideMark/>
          </w:tcPr>
          <w:p w14:paraId="2042B96B" w14:textId="77777777" w:rsidR="006D362C" w:rsidRPr="003618E2" w:rsidRDefault="006D362C" w:rsidP="00D136BB">
            <w:pPr>
              <w:pStyle w:val="BodyText"/>
              <w:rPr>
                <w:sz w:val="20"/>
                <w:lang w:val="es-MX"/>
              </w:rPr>
            </w:pPr>
            <w:r w:rsidRPr="003618E2">
              <w:rPr>
                <w:sz w:val="20"/>
                <w:lang w:val="es-MX"/>
              </w:rPr>
              <w:t>No</w:t>
            </w:r>
          </w:p>
        </w:tc>
      </w:tr>
      <w:tr w:rsidR="006D362C" w:rsidRPr="003618E2" w14:paraId="5B2740D1" w14:textId="77777777" w:rsidTr="00D136BB">
        <w:trPr>
          <w:trHeight w:val="833"/>
          <w:jc w:val="center"/>
        </w:trPr>
        <w:tc>
          <w:tcPr>
            <w:tcW w:w="1272" w:type="dxa"/>
            <w:vMerge w:val="restart"/>
            <w:tcBorders>
              <w:top w:val="double" w:sz="4" w:space="0" w:color="auto"/>
              <w:left w:val="double" w:sz="4" w:space="0" w:color="auto"/>
              <w:right w:val="single" w:sz="4" w:space="0" w:color="auto"/>
            </w:tcBorders>
            <w:shd w:val="clear" w:color="auto" w:fill="FF81AB"/>
            <w:vAlign w:val="center"/>
            <w:hideMark/>
          </w:tcPr>
          <w:p w14:paraId="57566A66" w14:textId="77777777" w:rsidR="006D362C" w:rsidRPr="003618E2" w:rsidRDefault="006D362C" w:rsidP="00D136BB">
            <w:pPr>
              <w:pStyle w:val="BodyText"/>
              <w:rPr>
                <w:b/>
                <w:sz w:val="20"/>
                <w:lang w:val="es-ES"/>
              </w:rPr>
            </w:pPr>
            <w:r w:rsidRPr="003618E2">
              <w:rPr>
                <w:b/>
                <w:sz w:val="20"/>
                <w:lang w:val="es-ES"/>
              </w:rPr>
              <w:lastRenderedPageBreak/>
              <w:t>México</w:t>
            </w:r>
          </w:p>
        </w:tc>
        <w:tc>
          <w:tcPr>
            <w:tcW w:w="1701" w:type="dxa"/>
            <w:tcBorders>
              <w:top w:val="double" w:sz="4" w:space="0" w:color="auto"/>
              <w:left w:val="single" w:sz="4" w:space="0" w:color="auto"/>
              <w:bottom w:val="single" w:sz="4" w:space="0" w:color="auto"/>
              <w:right w:val="single" w:sz="4" w:space="0" w:color="auto"/>
            </w:tcBorders>
            <w:vAlign w:val="center"/>
            <w:hideMark/>
          </w:tcPr>
          <w:p w14:paraId="293CABCA" w14:textId="2F2227C5" w:rsidR="006D362C" w:rsidRPr="003618E2" w:rsidRDefault="006D362C" w:rsidP="00D136BB">
            <w:pPr>
              <w:pStyle w:val="BodyText"/>
              <w:rPr>
                <w:sz w:val="20"/>
                <w:lang w:val="es-MX"/>
              </w:rPr>
            </w:pPr>
            <w:r w:rsidRPr="003618E2">
              <w:rPr>
                <w:sz w:val="20"/>
                <w:lang w:val="es-MX"/>
              </w:rPr>
              <w:t>Planta</w:t>
            </w:r>
            <w:r w:rsidR="00D136BB">
              <w:rPr>
                <w:sz w:val="20"/>
                <w:lang w:val="es-MX"/>
              </w:rPr>
              <w:t xml:space="preserve"> </w:t>
            </w:r>
            <w:r w:rsidRPr="003618E2">
              <w:rPr>
                <w:sz w:val="20"/>
                <w:lang w:val="es-MX"/>
              </w:rPr>
              <w:t>Co</w:t>
            </w:r>
            <w:r w:rsidR="00D136BB">
              <w:rPr>
                <w:sz w:val="20"/>
                <w:lang w:val="es-MX"/>
              </w:rPr>
              <w:t xml:space="preserve"> </w:t>
            </w:r>
            <w:r w:rsidRPr="003618E2">
              <w:rPr>
                <w:sz w:val="20"/>
                <w:lang w:val="es-MX"/>
              </w:rPr>
              <w:t>JS</w:t>
            </w:r>
            <w:r w:rsidR="00D136BB">
              <w:rPr>
                <w:sz w:val="20"/>
                <w:lang w:val="es-MX"/>
              </w:rPr>
              <w:t xml:space="preserve"> </w:t>
            </w:r>
            <w:r w:rsidRPr="003618E2">
              <w:rPr>
                <w:sz w:val="20"/>
                <w:lang w:val="es-MX"/>
              </w:rPr>
              <w:t>6500.</w:t>
            </w:r>
            <w:r w:rsidR="00D136BB">
              <w:rPr>
                <w:sz w:val="20"/>
                <w:lang w:val="es-MX"/>
              </w:rPr>
              <w:t xml:space="preserve"> </w:t>
            </w:r>
            <w:r w:rsidRPr="003618E2">
              <w:rPr>
                <w:sz w:val="20"/>
                <w:lang w:val="es-MX"/>
              </w:rPr>
              <w:t>Actual</w:t>
            </w:r>
            <w:r w:rsidR="00D136BB">
              <w:rPr>
                <w:sz w:val="20"/>
                <w:lang w:val="es-MX"/>
              </w:rPr>
              <w:t xml:space="preserve"> </w:t>
            </w:r>
            <w:r w:rsidRPr="003618E2">
              <w:rPr>
                <w:sz w:val="20"/>
                <w:lang w:val="es-MX"/>
              </w:rPr>
              <w:t>800</w:t>
            </w:r>
            <w:r w:rsidR="00D136BB">
              <w:rPr>
                <w:sz w:val="20"/>
                <w:lang w:val="es-MX"/>
              </w:rPr>
              <w:t xml:space="preserve"> </w:t>
            </w:r>
            <w:r w:rsidRPr="003618E2">
              <w:rPr>
                <w:sz w:val="20"/>
                <w:lang w:val="es-MX"/>
              </w:rPr>
              <w:t>kCi,</w:t>
            </w:r>
            <w:r w:rsidR="00D136BB">
              <w:rPr>
                <w:sz w:val="20"/>
                <w:lang w:val="es-MX"/>
              </w:rPr>
              <w:t xml:space="preserve"> </w:t>
            </w:r>
            <w:r w:rsidRPr="003618E2">
              <w:rPr>
                <w:sz w:val="20"/>
                <w:lang w:val="es-MX"/>
              </w:rPr>
              <w:t>(ININ)</w:t>
            </w:r>
          </w:p>
        </w:tc>
        <w:tc>
          <w:tcPr>
            <w:tcW w:w="1418" w:type="dxa"/>
            <w:tcBorders>
              <w:top w:val="double" w:sz="4" w:space="0" w:color="auto"/>
              <w:left w:val="nil"/>
              <w:bottom w:val="single" w:sz="4" w:space="0" w:color="auto"/>
              <w:right w:val="single" w:sz="4" w:space="0" w:color="auto"/>
            </w:tcBorders>
            <w:vAlign w:val="center"/>
            <w:hideMark/>
          </w:tcPr>
          <w:p w14:paraId="17972AF8" w14:textId="77777777" w:rsidR="006D362C" w:rsidRPr="003618E2" w:rsidRDefault="006D362C" w:rsidP="00D136BB">
            <w:pPr>
              <w:pStyle w:val="BodyText"/>
              <w:rPr>
                <w:sz w:val="20"/>
                <w:lang w:val="es-MX"/>
              </w:rPr>
            </w:pPr>
            <w:r w:rsidRPr="003618E2">
              <w:rPr>
                <w:sz w:val="20"/>
                <w:lang w:val="es-MX"/>
              </w:rPr>
              <w:t>Servicios</w:t>
            </w:r>
          </w:p>
        </w:tc>
        <w:tc>
          <w:tcPr>
            <w:tcW w:w="1561" w:type="dxa"/>
            <w:tcBorders>
              <w:top w:val="double" w:sz="4" w:space="0" w:color="auto"/>
              <w:left w:val="nil"/>
              <w:bottom w:val="single" w:sz="4" w:space="0" w:color="auto"/>
              <w:right w:val="single" w:sz="4" w:space="0" w:color="auto"/>
            </w:tcBorders>
            <w:vAlign w:val="center"/>
            <w:hideMark/>
          </w:tcPr>
          <w:p w14:paraId="1D58239E" w14:textId="131741E6" w:rsidR="006D362C" w:rsidRPr="003618E2" w:rsidRDefault="006D362C" w:rsidP="00D136BB">
            <w:pPr>
              <w:pStyle w:val="BodyText"/>
              <w:rPr>
                <w:sz w:val="20"/>
                <w:lang w:val="es-MX"/>
              </w:rPr>
            </w:pPr>
            <w:r w:rsidRPr="003618E2">
              <w:rPr>
                <w:sz w:val="20"/>
                <w:lang w:val="es-MX"/>
              </w:rPr>
              <w:t>Red</w:t>
            </w:r>
            <w:r w:rsidR="00D136BB">
              <w:rPr>
                <w:sz w:val="20"/>
                <w:lang w:val="es-MX"/>
              </w:rPr>
              <w:t xml:space="preserve"> </w:t>
            </w:r>
            <w:r w:rsidRPr="003618E2">
              <w:rPr>
                <w:sz w:val="20"/>
                <w:lang w:val="es-MX"/>
              </w:rPr>
              <w:t>Perspex</w:t>
            </w:r>
          </w:p>
        </w:tc>
        <w:tc>
          <w:tcPr>
            <w:tcW w:w="1137" w:type="dxa"/>
            <w:tcBorders>
              <w:top w:val="double" w:sz="4" w:space="0" w:color="auto"/>
              <w:left w:val="nil"/>
              <w:bottom w:val="single" w:sz="4" w:space="0" w:color="auto"/>
              <w:right w:val="single" w:sz="4" w:space="0" w:color="auto"/>
            </w:tcBorders>
            <w:vAlign w:val="center"/>
            <w:hideMark/>
          </w:tcPr>
          <w:p w14:paraId="595B2EBA" w14:textId="0BDFF1D8" w:rsidR="006D362C" w:rsidRPr="003618E2" w:rsidRDefault="006D362C" w:rsidP="00D136BB">
            <w:pPr>
              <w:pStyle w:val="BodyText"/>
              <w:rPr>
                <w:sz w:val="20"/>
                <w:lang w:val="es-MX"/>
              </w:rPr>
            </w:pPr>
            <w:r w:rsidRPr="003618E2">
              <w:rPr>
                <w:sz w:val="20"/>
                <w:lang w:val="es-MX"/>
              </w:rPr>
              <w:t>Alanina</w:t>
            </w:r>
            <w:r w:rsidR="00D136BB">
              <w:rPr>
                <w:sz w:val="20"/>
                <w:lang w:val="es-MX"/>
              </w:rPr>
              <w:t xml:space="preserve"> </w:t>
            </w:r>
            <w:r w:rsidRPr="003618E2">
              <w:rPr>
                <w:sz w:val="20"/>
                <w:lang w:val="es-MX"/>
              </w:rPr>
              <w:t>/</w:t>
            </w:r>
            <w:r w:rsidR="00D136BB">
              <w:rPr>
                <w:sz w:val="20"/>
                <w:lang w:val="es-MX"/>
              </w:rPr>
              <w:t xml:space="preserve"> </w:t>
            </w:r>
            <w:r w:rsidRPr="003618E2">
              <w:rPr>
                <w:sz w:val="20"/>
                <w:lang w:val="es-MX"/>
              </w:rPr>
              <w:t>NIST</w:t>
            </w:r>
          </w:p>
        </w:tc>
        <w:tc>
          <w:tcPr>
            <w:tcW w:w="1134" w:type="dxa"/>
            <w:tcBorders>
              <w:top w:val="double" w:sz="4" w:space="0" w:color="auto"/>
              <w:left w:val="nil"/>
              <w:bottom w:val="single" w:sz="4" w:space="0" w:color="auto"/>
              <w:right w:val="single" w:sz="4" w:space="0" w:color="auto"/>
            </w:tcBorders>
            <w:vAlign w:val="center"/>
            <w:hideMark/>
          </w:tcPr>
          <w:p w14:paraId="1A1C769B"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single" w:sz="4" w:space="0" w:color="auto"/>
              <w:right w:val="double" w:sz="4" w:space="0" w:color="auto"/>
            </w:tcBorders>
            <w:vAlign w:val="center"/>
            <w:hideMark/>
          </w:tcPr>
          <w:p w14:paraId="50FED466" w14:textId="20F745AD" w:rsidR="006D362C" w:rsidRPr="003618E2" w:rsidRDefault="006D362C" w:rsidP="00D136BB">
            <w:pPr>
              <w:pStyle w:val="BodyText"/>
              <w:rPr>
                <w:sz w:val="20"/>
                <w:lang w:val="es-MX"/>
              </w:rPr>
            </w:pPr>
            <w:r w:rsidRPr="003618E2">
              <w:rPr>
                <w:sz w:val="20"/>
                <w:lang w:val="es-MX"/>
              </w:rPr>
              <w:t>ISO9001:</w:t>
            </w:r>
            <w:r w:rsidR="00D136BB">
              <w:rPr>
                <w:sz w:val="20"/>
                <w:lang w:val="es-MX"/>
              </w:rPr>
              <w:t xml:space="preserve"> </w:t>
            </w:r>
            <w:r w:rsidRPr="003618E2">
              <w:rPr>
                <w:sz w:val="20"/>
                <w:lang w:val="es-MX"/>
              </w:rPr>
              <w:t>2008</w:t>
            </w:r>
          </w:p>
        </w:tc>
      </w:tr>
      <w:tr w:rsidR="006D362C" w:rsidRPr="003618E2" w14:paraId="7BF358C4" w14:textId="77777777" w:rsidTr="00D136BB">
        <w:trPr>
          <w:trHeight w:val="553"/>
          <w:jc w:val="center"/>
        </w:trPr>
        <w:tc>
          <w:tcPr>
            <w:tcW w:w="1272" w:type="dxa"/>
            <w:vMerge/>
            <w:tcBorders>
              <w:left w:val="double" w:sz="4" w:space="0" w:color="auto"/>
              <w:right w:val="single" w:sz="4" w:space="0" w:color="auto"/>
            </w:tcBorders>
            <w:shd w:val="clear" w:color="auto" w:fill="FF81AB"/>
            <w:noWrap/>
            <w:vAlign w:val="center"/>
            <w:hideMark/>
          </w:tcPr>
          <w:p w14:paraId="0BEE841F"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84F45D8" w14:textId="0D943542" w:rsidR="006D362C" w:rsidRPr="003618E2" w:rsidRDefault="006D362C" w:rsidP="00D136BB">
            <w:pPr>
              <w:pStyle w:val="BodyText"/>
              <w:rPr>
                <w:sz w:val="20"/>
                <w:lang w:val="es-MX"/>
              </w:rPr>
            </w:pPr>
            <w:r w:rsidRPr="003618E2">
              <w:rPr>
                <w:sz w:val="20"/>
                <w:lang w:val="es-MX"/>
              </w:rPr>
              <w:t>Gammacell</w:t>
            </w:r>
            <w:r w:rsidR="00D136BB">
              <w:rPr>
                <w:sz w:val="20"/>
                <w:lang w:val="es-MX"/>
              </w:rPr>
              <w:t xml:space="preserve"> </w:t>
            </w:r>
            <w:r w:rsidRPr="003618E2">
              <w:rPr>
                <w:sz w:val="20"/>
                <w:lang w:val="es-MX"/>
              </w:rPr>
              <w:t>125</w:t>
            </w:r>
            <w:r w:rsidR="00D136BB">
              <w:rPr>
                <w:sz w:val="20"/>
                <w:lang w:val="es-MX"/>
              </w:rPr>
              <w:t xml:space="preserve"> </w:t>
            </w:r>
            <w:r w:rsidRPr="003618E2">
              <w:rPr>
                <w:sz w:val="20"/>
                <w:lang w:val="es-MX"/>
              </w:rPr>
              <w:t>Ci,</w:t>
            </w:r>
            <w:r w:rsidR="00D136BB">
              <w:rPr>
                <w:sz w:val="20"/>
                <w:lang w:val="es-MX"/>
              </w:rPr>
              <w:t xml:space="preserve"> </w:t>
            </w:r>
            <w:r w:rsidRPr="003618E2">
              <w:rPr>
                <w:sz w:val="20"/>
                <w:lang w:val="es-MX"/>
              </w:rPr>
              <w:t>(ININ)</w:t>
            </w:r>
          </w:p>
        </w:tc>
        <w:tc>
          <w:tcPr>
            <w:tcW w:w="1418" w:type="dxa"/>
            <w:tcBorders>
              <w:top w:val="single" w:sz="4" w:space="0" w:color="auto"/>
              <w:left w:val="nil"/>
              <w:bottom w:val="single" w:sz="4" w:space="0" w:color="auto"/>
              <w:right w:val="single" w:sz="4" w:space="0" w:color="auto"/>
            </w:tcBorders>
            <w:noWrap/>
            <w:vAlign w:val="center"/>
            <w:hideMark/>
          </w:tcPr>
          <w:p w14:paraId="74374C3A" w14:textId="05515BA9" w:rsidR="006D362C" w:rsidRPr="003618E2" w:rsidRDefault="006D362C" w:rsidP="00D136BB">
            <w:pPr>
              <w:pStyle w:val="BodyText"/>
              <w:rPr>
                <w:sz w:val="20"/>
                <w:lang w:val="es-MX"/>
              </w:rPr>
            </w:pP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servicios</w:t>
            </w:r>
          </w:p>
        </w:tc>
        <w:tc>
          <w:tcPr>
            <w:tcW w:w="1561" w:type="dxa"/>
            <w:tcBorders>
              <w:top w:val="single" w:sz="4" w:space="0" w:color="auto"/>
              <w:left w:val="nil"/>
              <w:bottom w:val="single" w:sz="4" w:space="0" w:color="auto"/>
              <w:right w:val="single" w:sz="4" w:space="0" w:color="auto"/>
            </w:tcBorders>
            <w:noWrap/>
            <w:vAlign w:val="center"/>
            <w:hideMark/>
          </w:tcPr>
          <w:p w14:paraId="08744855" w14:textId="3D738EE2" w:rsidR="006D362C" w:rsidRPr="003618E2" w:rsidRDefault="006D362C" w:rsidP="00D136BB">
            <w:pPr>
              <w:pStyle w:val="BodyText"/>
              <w:rPr>
                <w:sz w:val="20"/>
                <w:lang w:val="es-MX"/>
              </w:rPr>
            </w:pPr>
            <w:r w:rsidRPr="003618E2">
              <w:rPr>
                <w:sz w:val="20"/>
                <w:lang w:val="es-MX"/>
              </w:rPr>
              <w:t>Red</w:t>
            </w:r>
            <w:r w:rsidR="00D136BB">
              <w:rPr>
                <w:sz w:val="20"/>
                <w:lang w:val="es-MX"/>
              </w:rPr>
              <w:t xml:space="preserve"> </w:t>
            </w:r>
            <w:r w:rsidRPr="003618E2">
              <w:rPr>
                <w:sz w:val="20"/>
                <w:lang w:val="es-MX"/>
              </w:rPr>
              <w:t>Perspex</w:t>
            </w:r>
          </w:p>
        </w:tc>
        <w:tc>
          <w:tcPr>
            <w:tcW w:w="1137" w:type="dxa"/>
            <w:tcBorders>
              <w:top w:val="single" w:sz="4" w:space="0" w:color="auto"/>
              <w:left w:val="nil"/>
              <w:bottom w:val="single" w:sz="4" w:space="0" w:color="auto"/>
              <w:right w:val="single" w:sz="4" w:space="0" w:color="auto"/>
            </w:tcBorders>
            <w:noWrap/>
            <w:vAlign w:val="center"/>
            <w:hideMark/>
          </w:tcPr>
          <w:p w14:paraId="700790B6"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single" w:sz="4" w:space="0" w:color="auto"/>
            </w:tcBorders>
            <w:noWrap/>
            <w:vAlign w:val="center"/>
            <w:hideMark/>
          </w:tcPr>
          <w:p w14:paraId="6D4779EB" w14:textId="77777777" w:rsidR="006D362C" w:rsidRPr="003618E2" w:rsidRDefault="006D362C" w:rsidP="00D136BB">
            <w:pPr>
              <w:pStyle w:val="BodyText"/>
              <w:rPr>
                <w:sz w:val="20"/>
                <w:lang w:val="es-MX"/>
              </w:rPr>
            </w:pPr>
          </w:p>
        </w:tc>
        <w:tc>
          <w:tcPr>
            <w:tcW w:w="1134" w:type="dxa"/>
            <w:tcBorders>
              <w:top w:val="single" w:sz="4" w:space="0" w:color="auto"/>
              <w:left w:val="nil"/>
              <w:bottom w:val="single" w:sz="4" w:space="0" w:color="auto"/>
              <w:right w:val="double" w:sz="4" w:space="0" w:color="auto"/>
            </w:tcBorders>
            <w:noWrap/>
            <w:vAlign w:val="center"/>
            <w:hideMark/>
          </w:tcPr>
          <w:p w14:paraId="6A1D2A79" w14:textId="6D7935FC" w:rsidR="006D362C" w:rsidRPr="003618E2" w:rsidRDefault="006D362C" w:rsidP="00D136BB">
            <w:pPr>
              <w:pStyle w:val="BodyText"/>
              <w:rPr>
                <w:sz w:val="20"/>
                <w:lang w:val="es-MX"/>
              </w:rPr>
            </w:pPr>
            <w:r w:rsidRPr="003618E2">
              <w:rPr>
                <w:sz w:val="20"/>
                <w:lang w:val="es-MX"/>
              </w:rPr>
              <w:t>ISO9001:</w:t>
            </w:r>
            <w:r w:rsidR="00D136BB">
              <w:rPr>
                <w:sz w:val="20"/>
                <w:lang w:val="es-MX"/>
              </w:rPr>
              <w:t xml:space="preserve"> </w:t>
            </w:r>
            <w:r w:rsidRPr="003618E2">
              <w:rPr>
                <w:sz w:val="20"/>
                <w:lang w:val="es-MX"/>
              </w:rPr>
              <w:t>2008</w:t>
            </w:r>
          </w:p>
        </w:tc>
      </w:tr>
      <w:tr w:rsidR="006D362C" w:rsidRPr="003618E2" w14:paraId="0A2DB974" w14:textId="77777777" w:rsidTr="00D136BB">
        <w:trPr>
          <w:trHeight w:val="560"/>
          <w:jc w:val="center"/>
        </w:trPr>
        <w:tc>
          <w:tcPr>
            <w:tcW w:w="1272" w:type="dxa"/>
            <w:vMerge/>
            <w:tcBorders>
              <w:left w:val="double" w:sz="4" w:space="0" w:color="auto"/>
              <w:right w:val="single" w:sz="4" w:space="0" w:color="auto"/>
            </w:tcBorders>
            <w:shd w:val="clear" w:color="auto" w:fill="FF81AB"/>
            <w:noWrap/>
            <w:vAlign w:val="center"/>
            <w:hideMark/>
          </w:tcPr>
          <w:p w14:paraId="41A15E39"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6A896D5" w14:textId="55F5B200" w:rsidR="006D362C" w:rsidRPr="003618E2" w:rsidRDefault="006D362C" w:rsidP="00D136BB">
            <w:pPr>
              <w:pStyle w:val="BodyText"/>
              <w:rPr>
                <w:sz w:val="20"/>
                <w:lang w:val="es-MX"/>
              </w:rPr>
            </w:pPr>
            <w:r w:rsidRPr="003618E2">
              <w:rPr>
                <w:sz w:val="20"/>
                <w:lang w:val="es-MX"/>
              </w:rPr>
              <w:t>Transelektro</w:t>
            </w:r>
            <w:r w:rsidR="00D136BB">
              <w:rPr>
                <w:sz w:val="20"/>
                <w:lang w:val="es-MX"/>
              </w:rPr>
              <w:t xml:space="preserve"> </w:t>
            </w:r>
            <w:r w:rsidRPr="003618E2">
              <w:rPr>
                <w:sz w:val="20"/>
                <w:lang w:val="es-MX"/>
              </w:rPr>
              <w:t>LGI-01</w:t>
            </w:r>
            <w:r w:rsidR="00D136BB">
              <w:rPr>
                <w:sz w:val="20"/>
                <w:lang w:val="es-MX"/>
              </w:rPr>
              <w:t xml:space="preserve"> </w:t>
            </w:r>
            <w:r w:rsidRPr="003618E2">
              <w:rPr>
                <w:sz w:val="20"/>
                <w:lang w:val="es-MX"/>
              </w:rPr>
              <w:t>3247,</w:t>
            </w:r>
            <w:r w:rsidR="00D136BB">
              <w:rPr>
                <w:sz w:val="20"/>
                <w:lang w:val="es-MX"/>
              </w:rPr>
              <w:t xml:space="preserve"> </w:t>
            </w:r>
            <w:r w:rsidRPr="003618E2">
              <w:rPr>
                <w:sz w:val="20"/>
                <w:lang w:val="es-MX"/>
              </w:rPr>
              <w:t>(ININ)</w:t>
            </w:r>
          </w:p>
        </w:tc>
        <w:tc>
          <w:tcPr>
            <w:tcW w:w="1418" w:type="dxa"/>
            <w:tcBorders>
              <w:top w:val="single" w:sz="4" w:space="0" w:color="auto"/>
              <w:left w:val="nil"/>
              <w:bottom w:val="single" w:sz="4" w:space="0" w:color="auto"/>
              <w:right w:val="single" w:sz="4" w:space="0" w:color="auto"/>
            </w:tcBorders>
            <w:noWrap/>
            <w:vAlign w:val="center"/>
            <w:hideMark/>
          </w:tcPr>
          <w:p w14:paraId="6CAF5952" w14:textId="5B00EE8F" w:rsidR="006D362C" w:rsidRPr="003618E2" w:rsidRDefault="006D362C" w:rsidP="00D136BB">
            <w:pPr>
              <w:pStyle w:val="BodyText"/>
              <w:rPr>
                <w:sz w:val="20"/>
                <w:lang w:val="es-MX"/>
              </w:rPr>
            </w:pP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servicios</w:t>
            </w:r>
          </w:p>
        </w:tc>
        <w:tc>
          <w:tcPr>
            <w:tcW w:w="1561" w:type="dxa"/>
            <w:tcBorders>
              <w:top w:val="single" w:sz="4" w:space="0" w:color="auto"/>
              <w:left w:val="nil"/>
              <w:bottom w:val="single" w:sz="4" w:space="0" w:color="auto"/>
              <w:right w:val="single" w:sz="4" w:space="0" w:color="auto"/>
            </w:tcBorders>
            <w:noWrap/>
            <w:vAlign w:val="center"/>
            <w:hideMark/>
          </w:tcPr>
          <w:p w14:paraId="1E0286DE" w14:textId="44D5C652" w:rsidR="006D362C" w:rsidRPr="003618E2" w:rsidRDefault="006D362C" w:rsidP="00D136BB">
            <w:pPr>
              <w:pStyle w:val="BodyText"/>
              <w:rPr>
                <w:sz w:val="20"/>
                <w:lang w:val="es-MX"/>
              </w:rPr>
            </w:pPr>
            <w:r w:rsidRPr="003618E2">
              <w:rPr>
                <w:sz w:val="20"/>
                <w:lang w:val="es-MX"/>
              </w:rPr>
              <w:t>Red</w:t>
            </w:r>
            <w:r w:rsidR="00D136BB">
              <w:rPr>
                <w:sz w:val="20"/>
                <w:lang w:val="es-MX"/>
              </w:rPr>
              <w:t xml:space="preserve"> </w:t>
            </w:r>
            <w:r w:rsidRPr="003618E2">
              <w:rPr>
                <w:sz w:val="20"/>
                <w:lang w:val="es-MX"/>
              </w:rPr>
              <w:t>Perspex</w:t>
            </w:r>
          </w:p>
        </w:tc>
        <w:tc>
          <w:tcPr>
            <w:tcW w:w="1137" w:type="dxa"/>
            <w:tcBorders>
              <w:top w:val="single" w:sz="4" w:space="0" w:color="auto"/>
              <w:left w:val="nil"/>
              <w:bottom w:val="single" w:sz="4" w:space="0" w:color="auto"/>
              <w:right w:val="single" w:sz="4" w:space="0" w:color="auto"/>
            </w:tcBorders>
            <w:noWrap/>
            <w:vAlign w:val="center"/>
            <w:hideMark/>
          </w:tcPr>
          <w:p w14:paraId="61FCB1A9"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single" w:sz="4" w:space="0" w:color="auto"/>
            </w:tcBorders>
            <w:noWrap/>
            <w:vAlign w:val="center"/>
            <w:hideMark/>
          </w:tcPr>
          <w:p w14:paraId="36389762" w14:textId="77777777" w:rsidR="006D362C" w:rsidRPr="003618E2" w:rsidRDefault="006D362C" w:rsidP="00D136BB">
            <w:pPr>
              <w:pStyle w:val="BodyText"/>
              <w:rPr>
                <w:sz w:val="20"/>
                <w:lang w:val="es-MX"/>
              </w:rPr>
            </w:pPr>
          </w:p>
        </w:tc>
        <w:tc>
          <w:tcPr>
            <w:tcW w:w="1134" w:type="dxa"/>
            <w:tcBorders>
              <w:top w:val="single" w:sz="4" w:space="0" w:color="auto"/>
              <w:left w:val="nil"/>
              <w:bottom w:val="single" w:sz="4" w:space="0" w:color="auto"/>
              <w:right w:val="double" w:sz="4" w:space="0" w:color="auto"/>
            </w:tcBorders>
            <w:noWrap/>
            <w:vAlign w:val="center"/>
            <w:hideMark/>
          </w:tcPr>
          <w:p w14:paraId="34144F29" w14:textId="50120365" w:rsidR="006D362C" w:rsidRPr="003618E2" w:rsidRDefault="006D362C" w:rsidP="00D136BB">
            <w:pPr>
              <w:pStyle w:val="BodyText"/>
              <w:rPr>
                <w:sz w:val="20"/>
                <w:lang w:val="es-MX"/>
              </w:rPr>
            </w:pPr>
            <w:r w:rsidRPr="003618E2">
              <w:rPr>
                <w:sz w:val="20"/>
                <w:lang w:val="es-MX"/>
              </w:rPr>
              <w:t>ISO</w:t>
            </w:r>
            <w:r w:rsidR="00D136BB">
              <w:rPr>
                <w:sz w:val="20"/>
                <w:lang w:val="es-MX"/>
              </w:rPr>
              <w:t xml:space="preserve"> </w:t>
            </w:r>
            <w:r w:rsidRPr="003618E2">
              <w:rPr>
                <w:sz w:val="20"/>
                <w:lang w:val="es-MX"/>
              </w:rPr>
              <w:t>9001:</w:t>
            </w:r>
            <w:r w:rsidR="00D136BB">
              <w:rPr>
                <w:sz w:val="20"/>
                <w:lang w:val="es-MX"/>
              </w:rPr>
              <w:t xml:space="preserve"> </w:t>
            </w:r>
            <w:r w:rsidRPr="003618E2">
              <w:rPr>
                <w:sz w:val="20"/>
                <w:lang w:val="es-MX"/>
              </w:rPr>
              <w:t>2008</w:t>
            </w:r>
          </w:p>
        </w:tc>
      </w:tr>
      <w:tr w:rsidR="006D362C" w:rsidRPr="003618E2" w14:paraId="3E7AB7D7" w14:textId="77777777" w:rsidTr="00D136BB">
        <w:trPr>
          <w:trHeight w:val="511"/>
          <w:jc w:val="center"/>
        </w:trPr>
        <w:tc>
          <w:tcPr>
            <w:tcW w:w="1272" w:type="dxa"/>
            <w:vMerge/>
            <w:tcBorders>
              <w:left w:val="double" w:sz="4" w:space="0" w:color="auto"/>
              <w:right w:val="single" w:sz="4" w:space="0" w:color="auto"/>
            </w:tcBorders>
            <w:shd w:val="clear" w:color="auto" w:fill="FF81AB"/>
            <w:noWrap/>
            <w:vAlign w:val="center"/>
          </w:tcPr>
          <w:p w14:paraId="17305DA7"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5858039" w14:textId="4A6E0DFB" w:rsidR="006D362C" w:rsidRPr="003618E2" w:rsidRDefault="006D362C" w:rsidP="00D136BB">
            <w:pPr>
              <w:pStyle w:val="BodyText"/>
              <w:rPr>
                <w:sz w:val="20"/>
                <w:lang w:val="es-MX"/>
              </w:rPr>
            </w:pPr>
            <w:r w:rsidRPr="003618E2">
              <w:rPr>
                <w:sz w:val="20"/>
                <w:lang w:val="es-MX"/>
              </w:rPr>
              <w:t>VickRad</w:t>
            </w:r>
            <w:r w:rsidR="00D136BB">
              <w:rPr>
                <w:sz w:val="20"/>
                <w:lang w:val="es-MX"/>
              </w:rPr>
              <w:t xml:space="preserve"> </w:t>
            </w:r>
            <w:r w:rsidRPr="003618E2">
              <w:rPr>
                <w:sz w:val="20"/>
                <w:lang w:val="es-MX"/>
              </w:rPr>
              <w:t>3</w:t>
            </w:r>
            <w:r w:rsidR="00D136BB">
              <w:rPr>
                <w:sz w:val="20"/>
                <w:lang w:val="es-MX"/>
              </w:rPr>
              <w:t xml:space="preserve"> </w:t>
            </w:r>
            <w:r w:rsidRPr="003618E2">
              <w:rPr>
                <w:sz w:val="20"/>
                <w:lang w:val="es-MX"/>
              </w:rPr>
              <w:t>Ci,</w:t>
            </w:r>
            <w:r w:rsidR="00D136BB">
              <w:rPr>
                <w:sz w:val="20"/>
                <w:lang w:val="es-MX"/>
              </w:rPr>
              <w:t xml:space="preserve"> </w:t>
            </w:r>
            <w:r w:rsidRPr="003618E2">
              <w:rPr>
                <w:sz w:val="20"/>
                <w:lang w:val="es-MX"/>
              </w:rPr>
              <w:t>(ININ)</w:t>
            </w:r>
          </w:p>
        </w:tc>
        <w:tc>
          <w:tcPr>
            <w:tcW w:w="1418" w:type="dxa"/>
            <w:tcBorders>
              <w:top w:val="single" w:sz="4" w:space="0" w:color="auto"/>
              <w:left w:val="nil"/>
              <w:bottom w:val="single" w:sz="4" w:space="0" w:color="auto"/>
              <w:right w:val="single" w:sz="4" w:space="0" w:color="auto"/>
            </w:tcBorders>
            <w:noWrap/>
            <w:vAlign w:val="center"/>
            <w:hideMark/>
          </w:tcPr>
          <w:p w14:paraId="5D94D928" w14:textId="76A61E1C" w:rsidR="006D362C" w:rsidRPr="003618E2" w:rsidRDefault="006D362C" w:rsidP="00D136BB">
            <w:pPr>
              <w:pStyle w:val="BodyText"/>
              <w:rPr>
                <w:sz w:val="20"/>
                <w:lang w:val="es-MX"/>
              </w:rPr>
            </w:pPr>
            <w:r w:rsidRPr="003618E2">
              <w:rPr>
                <w:sz w:val="20"/>
                <w:lang w:val="es-MX"/>
              </w:rPr>
              <w:t>Investigación</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servicios</w:t>
            </w:r>
          </w:p>
        </w:tc>
        <w:tc>
          <w:tcPr>
            <w:tcW w:w="1561" w:type="dxa"/>
            <w:tcBorders>
              <w:top w:val="single" w:sz="4" w:space="0" w:color="auto"/>
              <w:left w:val="nil"/>
              <w:bottom w:val="single" w:sz="4" w:space="0" w:color="auto"/>
              <w:right w:val="single" w:sz="4" w:space="0" w:color="auto"/>
            </w:tcBorders>
            <w:vAlign w:val="center"/>
            <w:hideMark/>
          </w:tcPr>
          <w:p w14:paraId="325BB431" w14:textId="2C8DAA4C" w:rsidR="006D362C" w:rsidRPr="003618E2" w:rsidRDefault="006D362C" w:rsidP="00D136BB">
            <w:pPr>
              <w:pStyle w:val="BodyText"/>
              <w:rPr>
                <w:sz w:val="20"/>
                <w:lang w:val="es-MX"/>
              </w:rPr>
            </w:pPr>
            <w:r w:rsidRPr="003618E2">
              <w:rPr>
                <w:sz w:val="20"/>
                <w:lang w:val="es-MX"/>
              </w:rPr>
              <w:t>Red</w:t>
            </w:r>
            <w:r w:rsidR="00D136BB">
              <w:rPr>
                <w:sz w:val="20"/>
                <w:lang w:val="es-MX"/>
              </w:rPr>
              <w:t xml:space="preserve"> </w:t>
            </w:r>
            <w:r w:rsidRPr="003618E2">
              <w:rPr>
                <w:sz w:val="20"/>
                <w:lang w:val="es-MX"/>
              </w:rPr>
              <w:t>Perspex</w:t>
            </w:r>
          </w:p>
        </w:tc>
        <w:tc>
          <w:tcPr>
            <w:tcW w:w="1137" w:type="dxa"/>
            <w:tcBorders>
              <w:top w:val="single" w:sz="4" w:space="0" w:color="auto"/>
              <w:left w:val="nil"/>
              <w:bottom w:val="single" w:sz="4" w:space="0" w:color="auto"/>
              <w:right w:val="single" w:sz="4" w:space="0" w:color="auto"/>
            </w:tcBorders>
            <w:vAlign w:val="center"/>
            <w:hideMark/>
          </w:tcPr>
          <w:p w14:paraId="031C7B6B"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single" w:sz="4" w:space="0" w:color="auto"/>
            </w:tcBorders>
            <w:noWrap/>
            <w:vAlign w:val="center"/>
          </w:tcPr>
          <w:p w14:paraId="76B77383" w14:textId="77777777" w:rsidR="006D362C" w:rsidRPr="003618E2" w:rsidRDefault="006D362C" w:rsidP="00D136BB">
            <w:pPr>
              <w:pStyle w:val="BodyText"/>
              <w:rPr>
                <w:sz w:val="20"/>
                <w:lang w:val="es-MX"/>
              </w:rPr>
            </w:pPr>
          </w:p>
        </w:tc>
        <w:tc>
          <w:tcPr>
            <w:tcW w:w="1134" w:type="dxa"/>
            <w:tcBorders>
              <w:top w:val="single" w:sz="4" w:space="0" w:color="auto"/>
              <w:left w:val="single" w:sz="4" w:space="0" w:color="auto"/>
              <w:bottom w:val="single" w:sz="4" w:space="0" w:color="auto"/>
              <w:right w:val="double" w:sz="4" w:space="0" w:color="auto"/>
            </w:tcBorders>
            <w:noWrap/>
            <w:vAlign w:val="center"/>
          </w:tcPr>
          <w:p w14:paraId="76D758E8" w14:textId="6CF091B6" w:rsidR="006D362C" w:rsidRPr="003618E2" w:rsidRDefault="006D362C" w:rsidP="00D136BB">
            <w:pPr>
              <w:pStyle w:val="BodyText"/>
              <w:rPr>
                <w:sz w:val="20"/>
                <w:lang w:val="es-MX"/>
              </w:rPr>
            </w:pPr>
            <w:r w:rsidRPr="003618E2">
              <w:rPr>
                <w:sz w:val="20"/>
                <w:lang w:val="es-MX"/>
              </w:rPr>
              <w:t>ISO</w:t>
            </w:r>
            <w:r w:rsidR="00D136BB">
              <w:rPr>
                <w:sz w:val="20"/>
                <w:lang w:val="es-MX"/>
              </w:rPr>
              <w:t xml:space="preserve"> </w:t>
            </w:r>
            <w:r w:rsidRPr="003618E2">
              <w:rPr>
                <w:sz w:val="20"/>
                <w:lang w:val="es-MX"/>
              </w:rPr>
              <w:t>9001:</w:t>
            </w:r>
            <w:r w:rsidR="00D136BB">
              <w:rPr>
                <w:sz w:val="20"/>
                <w:lang w:val="es-MX"/>
              </w:rPr>
              <w:t xml:space="preserve"> </w:t>
            </w:r>
            <w:r w:rsidRPr="003618E2">
              <w:rPr>
                <w:sz w:val="20"/>
                <w:lang w:val="es-MX"/>
              </w:rPr>
              <w:t>2008</w:t>
            </w:r>
          </w:p>
        </w:tc>
      </w:tr>
      <w:tr w:rsidR="006D362C" w:rsidRPr="003618E2" w14:paraId="0B6B5D8C" w14:textId="77777777" w:rsidTr="00D136BB">
        <w:trPr>
          <w:trHeight w:val="255"/>
          <w:jc w:val="center"/>
        </w:trPr>
        <w:tc>
          <w:tcPr>
            <w:tcW w:w="1272" w:type="dxa"/>
            <w:vMerge/>
            <w:tcBorders>
              <w:left w:val="double" w:sz="4" w:space="0" w:color="auto"/>
              <w:right w:val="single" w:sz="4" w:space="0" w:color="auto"/>
            </w:tcBorders>
            <w:shd w:val="clear" w:color="auto" w:fill="FF81AB"/>
            <w:noWrap/>
            <w:vAlign w:val="center"/>
            <w:hideMark/>
          </w:tcPr>
          <w:p w14:paraId="04EB7AD1"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8D350E2" w14:textId="77777777" w:rsidR="006D362C" w:rsidRPr="003618E2" w:rsidRDefault="006D362C" w:rsidP="00D136BB">
            <w:pPr>
              <w:pStyle w:val="BodyText"/>
              <w:rPr>
                <w:sz w:val="20"/>
                <w:lang w:val="es-MX"/>
              </w:rPr>
            </w:pPr>
            <w:r w:rsidRPr="003618E2">
              <w:rPr>
                <w:sz w:val="20"/>
                <w:lang w:val="es-MX"/>
              </w:rPr>
              <w:t>UNAM</w:t>
            </w:r>
          </w:p>
          <w:p w14:paraId="3DD2C757" w14:textId="456989FB" w:rsidR="006D362C" w:rsidRPr="003618E2" w:rsidRDefault="006D362C" w:rsidP="00D136BB">
            <w:pPr>
              <w:pStyle w:val="BodyText"/>
              <w:rPr>
                <w:sz w:val="20"/>
                <w:lang w:val="es-MX"/>
              </w:rPr>
            </w:pPr>
            <w:r w:rsidRPr="003618E2">
              <w:rPr>
                <w:sz w:val="20"/>
                <w:lang w:val="es-MX"/>
              </w:rPr>
              <w:t>100</w:t>
            </w:r>
            <w:r w:rsidR="00D136BB">
              <w:rPr>
                <w:sz w:val="20"/>
                <w:lang w:val="es-MX"/>
              </w:rPr>
              <w:t xml:space="preserve"> </w:t>
            </w:r>
            <w:r w:rsidRPr="003618E2">
              <w:rPr>
                <w:sz w:val="20"/>
                <w:lang w:val="es-MX"/>
              </w:rPr>
              <w:t>kCi</w:t>
            </w:r>
          </w:p>
        </w:tc>
        <w:tc>
          <w:tcPr>
            <w:tcW w:w="1418" w:type="dxa"/>
            <w:tcBorders>
              <w:top w:val="single" w:sz="4" w:space="0" w:color="auto"/>
              <w:left w:val="nil"/>
              <w:bottom w:val="single" w:sz="4" w:space="0" w:color="auto"/>
              <w:right w:val="single" w:sz="4" w:space="0" w:color="auto"/>
            </w:tcBorders>
            <w:noWrap/>
            <w:vAlign w:val="center"/>
            <w:hideMark/>
          </w:tcPr>
          <w:p w14:paraId="5A363B42" w14:textId="0FD318DD" w:rsidR="006D362C" w:rsidRPr="003618E2" w:rsidRDefault="006D362C" w:rsidP="00D136BB">
            <w:pPr>
              <w:pStyle w:val="BodyText"/>
              <w:rPr>
                <w:sz w:val="20"/>
                <w:lang w:val="es-MX"/>
              </w:rPr>
            </w:pPr>
            <w:r w:rsidRPr="003618E2">
              <w:rPr>
                <w:sz w:val="20"/>
                <w:lang w:val="es-MX"/>
              </w:rPr>
              <w:t>Servicios</w:t>
            </w:r>
            <w:r w:rsidR="00D136BB">
              <w:rPr>
                <w:sz w:val="20"/>
                <w:lang w:val="es-MX"/>
              </w:rPr>
              <w:t xml:space="preserve"> </w:t>
            </w:r>
            <w:r w:rsidRPr="003618E2">
              <w:rPr>
                <w:sz w:val="20"/>
                <w:lang w:val="es-MX"/>
              </w:rPr>
              <w:t>e</w:t>
            </w:r>
            <w:r w:rsidR="00D136BB">
              <w:rPr>
                <w:sz w:val="20"/>
                <w:lang w:val="es-MX"/>
              </w:rPr>
              <w:t xml:space="preserve"> </w:t>
            </w:r>
            <w:r w:rsidRPr="003618E2">
              <w:rPr>
                <w:sz w:val="20"/>
                <w:lang w:val="es-MX"/>
              </w:rPr>
              <w:t>investigación</w:t>
            </w:r>
          </w:p>
        </w:tc>
        <w:tc>
          <w:tcPr>
            <w:tcW w:w="1561" w:type="dxa"/>
            <w:tcBorders>
              <w:top w:val="single" w:sz="4" w:space="0" w:color="auto"/>
              <w:left w:val="nil"/>
              <w:bottom w:val="single" w:sz="4" w:space="0" w:color="auto"/>
              <w:right w:val="single" w:sz="4" w:space="0" w:color="auto"/>
            </w:tcBorders>
            <w:noWrap/>
            <w:vAlign w:val="center"/>
            <w:hideMark/>
          </w:tcPr>
          <w:p w14:paraId="6D8C26F8" w14:textId="768CC106"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7" w:type="dxa"/>
            <w:tcBorders>
              <w:top w:val="single" w:sz="4" w:space="0" w:color="auto"/>
              <w:left w:val="nil"/>
              <w:bottom w:val="single" w:sz="4" w:space="0" w:color="auto"/>
              <w:right w:val="single" w:sz="4" w:space="0" w:color="auto"/>
            </w:tcBorders>
            <w:noWrap/>
            <w:vAlign w:val="center"/>
            <w:hideMark/>
          </w:tcPr>
          <w:p w14:paraId="34BFE9B0" w14:textId="7D0D5B31"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4" w:type="dxa"/>
            <w:tcBorders>
              <w:top w:val="single" w:sz="4" w:space="0" w:color="auto"/>
              <w:left w:val="nil"/>
              <w:bottom w:val="single" w:sz="4" w:space="0" w:color="auto"/>
              <w:right w:val="single" w:sz="4" w:space="0" w:color="auto"/>
            </w:tcBorders>
            <w:noWrap/>
            <w:vAlign w:val="center"/>
            <w:hideMark/>
          </w:tcPr>
          <w:p w14:paraId="4174C680" w14:textId="647D61F1"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4" w:type="dxa"/>
            <w:tcBorders>
              <w:top w:val="single" w:sz="4" w:space="0" w:color="auto"/>
              <w:left w:val="nil"/>
              <w:bottom w:val="single" w:sz="4" w:space="0" w:color="auto"/>
              <w:right w:val="double" w:sz="4" w:space="0" w:color="auto"/>
            </w:tcBorders>
            <w:noWrap/>
            <w:vAlign w:val="center"/>
            <w:hideMark/>
          </w:tcPr>
          <w:p w14:paraId="37EFF3DE" w14:textId="1A6C2629"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r>
      <w:tr w:rsidR="006D362C" w:rsidRPr="003618E2" w14:paraId="0F34E99F" w14:textId="77777777" w:rsidTr="00D136BB">
        <w:trPr>
          <w:trHeight w:val="510"/>
          <w:jc w:val="center"/>
        </w:trPr>
        <w:tc>
          <w:tcPr>
            <w:tcW w:w="1272" w:type="dxa"/>
            <w:vMerge/>
            <w:tcBorders>
              <w:left w:val="double" w:sz="4" w:space="0" w:color="auto"/>
              <w:right w:val="single" w:sz="4" w:space="0" w:color="auto"/>
            </w:tcBorders>
            <w:shd w:val="clear" w:color="auto" w:fill="FF81AB"/>
            <w:noWrap/>
            <w:vAlign w:val="center"/>
            <w:hideMark/>
          </w:tcPr>
          <w:p w14:paraId="30F08BCB"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72FAC9C" w14:textId="6D9078A7" w:rsidR="006D362C" w:rsidRPr="003618E2" w:rsidRDefault="006D362C" w:rsidP="00D136BB">
            <w:pPr>
              <w:pStyle w:val="BodyText"/>
              <w:rPr>
                <w:sz w:val="20"/>
                <w:lang w:val="es-MX"/>
              </w:rPr>
            </w:pPr>
            <w:r w:rsidRPr="003618E2">
              <w:rPr>
                <w:sz w:val="20"/>
                <w:lang w:val="es-MX"/>
              </w:rPr>
              <w:t>Sterigenix</w:t>
            </w:r>
            <w:r w:rsidR="00D136BB">
              <w:rPr>
                <w:sz w:val="20"/>
                <w:lang w:val="es-MX"/>
              </w:rPr>
              <w:t xml:space="preserve"> </w:t>
            </w:r>
            <w:r w:rsidRPr="003618E2">
              <w:rPr>
                <w:sz w:val="20"/>
                <w:lang w:val="es-MX"/>
              </w:rPr>
              <w:t>3000</w:t>
            </w:r>
            <w:r w:rsidR="00D136BB">
              <w:rPr>
                <w:sz w:val="20"/>
                <w:lang w:val="es-MX"/>
              </w:rPr>
              <w:t xml:space="preserve"> </w:t>
            </w:r>
            <w:r w:rsidRPr="003618E2">
              <w:rPr>
                <w:sz w:val="20"/>
                <w:lang w:val="es-MX"/>
              </w:rPr>
              <w:t>kCi.</w:t>
            </w:r>
            <w:r w:rsidR="00D136BB">
              <w:rPr>
                <w:sz w:val="20"/>
                <w:lang w:val="es-MX"/>
              </w:rPr>
              <w:t xml:space="preserve"> </w:t>
            </w:r>
            <w:r w:rsidRPr="003618E2">
              <w:rPr>
                <w:sz w:val="20"/>
                <w:lang w:val="es-MX"/>
              </w:rPr>
              <w:t>Actual</w:t>
            </w:r>
            <w:r w:rsidR="00D136BB">
              <w:rPr>
                <w:sz w:val="20"/>
                <w:lang w:val="es-MX"/>
              </w:rPr>
              <w:t xml:space="preserve"> </w:t>
            </w:r>
            <w:r w:rsidRPr="003618E2">
              <w:rPr>
                <w:sz w:val="20"/>
                <w:lang w:val="es-MX"/>
              </w:rPr>
              <w:t>1000</w:t>
            </w:r>
            <w:r w:rsidR="00D136BB">
              <w:rPr>
                <w:sz w:val="20"/>
                <w:lang w:val="es-MX"/>
              </w:rPr>
              <w:t xml:space="preserve"> </w:t>
            </w:r>
            <w:r w:rsidRPr="003618E2">
              <w:rPr>
                <w:sz w:val="20"/>
                <w:lang w:val="es-MX"/>
              </w:rPr>
              <w:t>kCi</w:t>
            </w:r>
          </w:p>
        </w:tc>
        <w:tc>
          <w:tcPr>
            <w:tcW w:w="1418" w:type="dxa"/>
            <w:tcBorders>
              <w:top w:val="single" w:sz="4" w:space="0" w:color="auto"/>
              <w:left w:val="nil"/>
              <w:bottom w:val="single" w:sz="4" w:space="0" w:color="auto"/>
              <w:right w:val="single" w:sz="4" w:space="0" w:color="auto"/>
            </w:tcBorders>
            <w:noWrap/>
            <w:vAlign w:val="center"/>
            <w:hideMark/>
          </w:tcPr>
          <w:p w14:paraId="1AFDA98D"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nil"/>
              <w:bottom w:val="single" w:sz="4" w:space="0" w:color="auto"/>
              <w:right w:val="single" w:sz="4" w:space="0" w:color="auto"/>
            </w:tcBorders>
            <w:vAlign w:val="center"/>
            <w:hideMark/>
          </w:tcPr>
          <w:p w14:paraId="105E47A3" w14:textId="51AF7C5D"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7" w:type="dxa"/>
            <w:tcBorders>
              <w:top w:val="single" w:sz="4" w:space="0" w:color="auto"/>
              <w:left w:val="nil"/>
              <w:bottom w:val="single" w:sz="4" w:space="0" w:color="auto"/>
              <w:right w:val="single" w:sz="4" w:space="0" w:color="auto"/>
            </w:tcBorders>
            <w:vAlign w:val="center"/>
            <w:hideMark/>
          </w:tcPr>
          <w:p w14:paraId="0BEF01A6" w14:textId="2590EFB3"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4" w:type="dxa"/>
            <w:tcBorders>
              <w:top w:val="single" w:sz="4" w:space="0" w:color="auto"/>
              <w:left w:val="nil"/>
              <w:bottom w:val="single" w:sz="4" w:space="0" w:color="auto"/>
              <w:right w:val="single" w:sz="4" w:space="0" w:color="auto"/>
            </w:tcBorders>
            <w:noWrap/>
            <w:vAlign w:val="center"/>
            <w:hideMark/>
          </w:tcPr>
          <w:p w14:paraId="6B1EF114"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vAlign w:val="center"/>
            <w:hideMark/>
          </w:tcPr>
          <w:p w14:paraId="1D1379D0" w14:textId="2B52E559"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r>
      <w:tr w:rsidR="006D362C" w:rsidRPr="003618E2" w14:paraId="2F8F5765" w14:textId="77777777" w:rsidTr="00D136BB">
        <w:trPr>
          <w:trHeight w:val="510"/>
          <w:jc w:val="center"/>
        </w:trPr>
        <w:tc>
          <w:tcPr>
            <w:tcW w:w="1272" w:type="dxa"/>
            <w:vMerge/>
            <w:tcBorders>
              <w:left w:val="double" w:sz="4" w:space="0" w:color="auto"/>
              <w:right w:val="single" w:sz="4" w:space="0" w:color="auto"/>
            </w:tcBorders>
            <w:shd w:val="clear" w:color="auto" w:fill="FF81AB"/>
            <w:noWrap/>
            <w:vAlign w:val="center"/>
            <w:hideMark/>
          </w:tcPr>
          <w:p w14:paraId="7BF3300E"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B878B3D" w14:textId="4C1F0F3B" w:rsidR="006D362C" w:rsidRPr="003618E2" w:rsidRDefault="006D362C" w:rsidP="00D136BB">
            <w:pPr>
              <w:pStyle w:val="BodyText"/>
              <w:rPr>
                <w:sz w:val="20"/>
                <w:lang w:val="es-MX"/>
              </w:rPr>
            </w:pPr>
            <w:r w:rsidRPr="003618E2">
              <w:rPr>
                <w:sz w:val="20"/>
                <w:lang w:val="es-MX"/>
              </w:rPr>
              <w:t>Benebion</w:t>
            </w:r>
            <w:r w:rsidR="00D136BB">
              <w:rPr>
                <w:sz w:val="20"/>
                <w:lang w:val="es-MX"/>
              </w:rPr>
              <w:t xml:space="preserve"> </w:t>
            </w:r>
            <w:r w:rsidRPr="003618E2">
              <w:rPr>
                <w:sz w:val="20"/>
                <w:lang w:val="es-MX"/>
              </w:rPr>
              <w:t>300</w:t>
            </w:r>
            <w:r w:rsidR="00D136BB">
              <w:rPr>
                <w:sz w:val="20"/>
                <w:lang w:val="es-MX"/>
              </w:rPr>
              <w:t xml:space="preserve"> </w:t>
            </w:r>
            <w:r w:rsidRPr="003618E2">
              <w:rPr>
                <w:sz w:val="20"/>
                <w:lang w:val="es-MX"/>
              </w:rPr>
              <w:t>kCi</w:t>
            </w:r>
          </w:p>
        </w:tc>
        <w:tc>
          <w:tcPr>
            <w:tcW w:w="1418" w:type="dxa"/>
            <w:tcBorders>
              <w:top w:val="single" w:sz="4" w:space="0" w:color="auto"/>
              <w:left w:val="nil"/>
              <w:bottom w:val="single" w:sz="4" w:space="0" w:color="auto"/>
              <w:right w:val="single" w:sz="4" w:space="0" w:color="auto"/>
            </w:tcBorders>
            <w:noWrap/>
            <w:vAlign w:val="center"/>
            <w:hideMark/>
          </w:tcPr>
          <w:p w14:paraId="59F56A44" w14:textId="5DA14BDC" w:rsidR="006D362C" w:rsidRPr="003618E2" w:rsidRDefault="006D362C" w:rsidP="00D136BB">
            <w:pPr>
              <w:pStyle w:val="BodyText"/>
              <w:rPr>
                <w:sz w:val="20"/>
                <w:lang w:val="es-MX"/>
              </w:rPr>
            </w:pPr>
            <w:r w:rsidRPr="003618E2">
              <w:rPr>
                <w:sz w:val="20"/>
                <w:lang w:val="es-MX"/>
              </w:rPr>
              <w:t>Servicio</w:t>
            </w:r>
            <w:r w:rsidR="00D136BB">
              <w:rPr>
                <w:sz w:val="20"/>
                <w:lang w:val="es-MX"/>
              </w:rPr>
              <w:t xml:space="preserve"> </w:t>
            </w:r>
            <w:r w:rsidRPr="003618E2">
              <w:rPr>
                <w:sz w:val="20"/>
                <w:lang w:val="es-MX"/>
              </w:rPr>
              <w:t>frutas</w:t>
            </w:r>
            <w:r w:rsidR="00D136BB">
              <w:rPr>
                <w:sz w:val="20"/>
                <w:lang w:val="es-MX"/>
              </w:rPr>
              <w:t xml:space="preserve"> </w:t>
            </w:r>
            <w:r w:rsidRPr="003618E2">
              <w:rPr>
                <w:sz w:val="20"/>
                <w:lang w:val="es-MX"/>
              </w:rPr>
              <w:t>frescas</w:t>
            </w:r>
          </w:p>
        </w:tc>
        <w:tc>
          <w:tcPr>
            <w:tcW w:w="1561" w:type="dxa"/>
            <w:tcBorders>
              <w:top w:val="single" w:sz="4" w:space="0" w:color="auto"/>
              <w:left w:val="nil"/>
              <w:bottom w:val="single" w:sz="4" w:space="0" w:color="auto"/>
              <w:right w:val="single" w:sz="4" w:space="0" w:color="auto"/>
            </w:tcBorders>
            <w:noWrap/>
            <w:vAlign w:val="center"/>
            <w:hideMark/>
          </w:tcPr>
          <w:p w14:paraId="36FA9B01" w14:textId="57531DEE"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7" w:type="dxa"/>
            <w:tcBorders>
              <w:top w:val="single" w:sz="4" w:space="0" w:color="auto"/>
              <w:left w:val="nil"/>
              <w:bottom w:val="single" w:sz="4" w:space="0" w:color="auto"/>
              <w:right w:val="single" w:sz="4" w:space="0" w:color="auto"/>
            </w:tcBorders>
            <w:noWrap/>
            <w:vAlign w:val="center"/>
            <w:hideMark/>
          </w:tcPr>
          <w:p w14:paraId="47194935" w14:textId="40682438"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4" w:type="dxa"/>
            <w:tcBorders>
              <w:top w:val="single" w:sz="4" w:space="0" w:color="auto"/>
              <w:left w:val="nil"/>
              <w:bottom w:val="single" w:sz="4" w:space="0" w:color="auto"/>
              <w:right w:val="single" w:sz="4" w:space="0" w:color="auto"/>
            </w:tcBorders>
            <w:noWrap/>
            <w:vAlign w:val="center"/>
            <w:hideMark/>
          </w:tcPr>
          <w:p w14:paraId="301A59E9"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vAlign w:val="center"/>
            <w:hideMark/>
          </w:tcPr>
          <w:p w14:paraId="7DF80972" w14:textId="6B546FDA"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r>
      <w:tr w:rsidR="006D362C" w:rsidRPr="003618E2" w14:paraId="0B965BAA" w14:textId="77777777" w:rsidTr="00D136BB">
        <w:trPr>
          <w:trHeight w:val="510"/>
          <w:jc w:val="center"/>
        </w:trPr>
        <w:tc>
          <w:tcPr>
            <w:tcW w:w="1272" w:type="dxa"/>
            <w:vMerge/>
            <w:tcBorders>
              <w:left w:val="double" w:sz="4" w:space="0" w:color="auto"/>
              <w:right w:val="single" w:sz="4" w:space="0" w:color="auto"/>
            </w:tcBorders>
            <w:shd w:val="clear" w:color="auto" w:fill="FF81AB"/>
            <w:noWrap/>
            <w:vAlign w:val="center"/>
            <w:hideMark/>
          </w:tcPr>
          <w:p w14:paraId="291896A2"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F578FA2" w14:textId="581B15ED" w:rsidR="006D362C" w:rsidRPr="006C45C9" w:rsidRDefault="006D362C" w:rsidP="00D136BB">
            <w:pPr>
              <w:pStyle w:val="BodyText"/>
              <w:rPr>
                <w:sz w:val="20"/>
                <w:lang w:val="pt-BR"/>
              </w:rPr>
            </w:pPr>
            <w:r w:rsidRPr="006C45C9">
              <w:rPr>
                <w:sz w:val="20"/>
                <w:lang w:val="pt-BR"/>
              </w:rPr>
              <w:t>Autoblindado</w:t>
            </w:r>
            <w:r w:rsidR="00D136BB">
              <w:rPr>
                <w:sz w:val="20"/>
                <w:lang w:val="pt-BR"/>
              </w:rPr>
              <w:t xml:space="preserve"> </w:t>
            </w:r>
            <w:r w:rsidRPr="006C45C9">
              <w:rPr>
                <w:sz w:val="20"/>
                <w:lang w:val="pt-BR"/>
              </w:rPr>
              <w:t>Co</w:t>
            </w:r>
            <w:r w:rsidR="00D136BB">
              <w:rPr>
                <w:sz w:val="20"/>
                <w:lang w:val="pt-BR"/>
              </w:rPr>
              <w:t xml:space="preserve"> </w:t>
            </w:r>
            <w:r w:rsidRPr="006C45C9">
              <w:rPr>
                <w:sz w:val="20"/>
                <w:lang w:val="pt-BR"/>
              </w:rPr>
              <w:t>60,</w:t>
            </w:r>
            <w:r w:rsidR="00D136BB">
              <w:rPr>
                <w:sz w:val="20"/>
                <w:lang w:val="pt-BR"/>
              </w:rPr>
              <w:t xml:space="preserve"> </w:t>
            </w:r>
            <w:r w:rsidRPr="006C45C9">
              <w:rPr>
                <w:sz w:val="20"/>
                <w:lang w:val="pt-BR"/>
              </w:rPr>
              <w:t>SAGARPA</w:t>
            </w:r>
          </w:p>
          <w:p w14:paraId="4D2DF7F7" w14:textId="00AE2ADB" w:rsidR="006D362C" w:rsidRPr="006C45C9" w:rsidRDefault="006D362C" w:rsidP="00D136BB">
            <w:pPr>
              <w:pStyle w:val="BodyText"/>
              <w:rPr>
                <w:sz w:val="20"/>
                <w:lang w:val="pt-BR"/>
              </w:rPr>
            </w:pPr>
            <w:r w:rsidRPr="006C45C9">
              <w:rPr>
                <w:sz w:val="20"/>
                <w:lang w:val="pt-BR"/>
              </w:rPr>
              <w:t>Tapachula</w:t>
            </w:r>
            <w:r w:rsidR="00D136BB">
              <w:rPr>
                <w:sz w:val="20"/>
                <w:lang w:val="pt-BR"/>
              </w:rPr>
              <w:t xml:space="preserve"> </w:t>
            </w:r>
            <w:r w:rsidRPr="006C45C9">
              <w:rPr>
                <w:sz w:val="20"/>
                <w:lang w:val="pt-BR"/>
              </w:rPr>
              <w:t>(cerrado)</w:t>
            </w:r>
          </w:p>
        </w:tc>
        <w:tc>
          <w:tcPr>
            <w:tcW w:w="1418" w:type="dxa"/>
            <w:tcBorders>
              <w:top w:val="single" w:sz="4" w:space="0" w:color="auto"/>
              <w:left w:val="nil"/>
              <w:bottom w:val="single" w:sz="4" w:space="0" w:color="auto"/>
              <w:right w:val="single" w:sz="4" w:space="0" w:color="auto"/>
            </w:tcBorders>
            <w:noWrap/>
            <w:vAlign w:val="center"/>
            <w:hideMark/>
          </w:tcPr>
          <w:p w14:paraId="778EAED2" w14:textId="4ACD2ED5" w:rsidR="006D362C" w:rsidRPr="003618E2" w:rsidRDefault="006D362C" w:rsidP="00D136BB">
            <w:pPr>
              <w:pStyle w:val="BodyText"/>
              <w:rPr>
                <w:sz w:val="20"/>
                <w:lang w:val="es-MX"/>
              </w:rPr>
            </w:pPr>
            <w:r w:rsidRPr="003618E2">
              <w:rPr>
                <w:sz w:val="20"/>
                <w:lang w:val="es-MX"/>
              </w:rPr>
              <w:t>Mosca</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la</w:t>
            </w:r>
            <w:r w:rsidR="00D136BB">
              <w:rPr>
                <w:sz w:val="20"/>
                <w:lang w:val="es-MX"/>
              </w:rPr>
              <w:t xml:space="preserve"> </w:t>
            </w:r>
            <w:r w:rsidRPr="003618E2">
              <w:rPr>
                <w:sz w:val="20"/>
                <w:lang w:val="es-MX"/>
              </w:rPr>
              <w:t>fruta</w:t>
            </w:r>
          </w:p>
        </w:tc>
        <w:tc>
          <w:tcPr>
            <w:tcW w:w="1561" w:type="dxa"/>
            <w:tcBorders>
              <w:top w:val="single" w:sz="4" w:space="0" w:color="auto"/>
              <w:left w:val="nil"/>
              <w:bottom w:val="single" w:sz="4" w:space="0" w:color="auto"/>
              <w:right w:val="single" w:sz="4" w:space="0" w:color="auto"/>
            </w:tcBorders>
            <w:noWrap/>
            <w:vAlign w:val="center"/>
            <w:hideMark/>
          </w:tcPr>
          <w:p w14:paraId="37D5A44D" w14:textId="2ACDA0AD"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7" w:type="dxa"/>
            <w:tcBorders>
              <w:top w:val="single" w:sz="4" w:space="0" w:color="auto"/>
              <w:left w:val="nil"/>
              <w:bottom w:val="single" w:sz="4" w:space="0" w:color="auto"/>
              <w:right w:val="single" w:sz="4" w:space="0" w:color="auto"/>
            </w:tcBorders>
            <w:noWrap/>
            <w:vAlign w:val="center"/>
            <w:hideMark/>
          </w:tcPr>
          <w:p w14:paraId="1A0CFB1C" w14:textId="03116CAD"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4" w:type="dxa"/>
            <w:tcBorders>
              <w:top w:val="single" w:sz="4" w:space="0" w:color="auto"/>
              <w:left w:val="nil"/>
              <w:bottom w:val="single" w:sz="4" w:space="0" w:color="auto"/>
              <w:right w:val="single" w:sz="4" w:space="0" w:color="auto"/>
            </w:tcBorders>
            <w:noWrap/>
            <w:vAlign w:val="center"/>
            <w:hideMark/>
          </w:tcPr>
          <w:p w14:paraId="7F0A328A"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vAlign w:val="center"/>
            <w:hideMark/>
          </w:tcPr>
          <w:p w14:paraId="4541E260" w14:textId="0C5C9890"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r>
      <w:tr w:rsidR="006D362C" w:rsidRPr="003618E2" w14:paraId="2753F42C" w14:textId="77777777" w:rsidTr="00D136BB">
        <w:trPr>
          <w:trHeight w:val="510"/>
          <w:jc w:val="center"/>
        </w:trPr>
        <w:tc>
          <w:tcPr>
            <w:tcW w:w="1272" w:type="dxa"/>
            <w:vMerge/>
            <w:tcBorders>
              <w:left w:val="double" w:sz="4" w:space="0" w:color="auto"/>
              <w:right w:val="single" w:sz="4" w:space="0" w:color="auto"/>
            </w:tcBorders>
            <w:shd w:val="clear" w:color="auto" w:fill="FF81AB"/>
            <w:noWrap/>
            <w:vAlign w:val="center"/>
            <w:hideMark/>
          </w:tcPr>
          <w:p w14:paraId="2247339E"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0940A58" w14:textId="20DFFA05" w:rsidR="006D362C" w:rsidRPr="006C45C9" w:rsidRDefault="006D362C" w:rsidP="00D136BB">
            <w:pPr>
              <w:pStyle w:val="BodyText"/>
              <w:rPr>
                <w:sz w:val="20"/>
                <w:lang w:val="pt-BR"/>
              </w:rPr>
            </w:pPr>
            <w:r w:rsidRPr="006C45C9">
              <w:rPr>
                <w:sz w:val="20"/>
                <w:lang w:val="pt-BR"/>
              </w:rPr>
              <w:t>Autoblindado</w:t>
            </w:r>
            <w:r w:rsidR="00D136BB">
              <w:rPr>
                <w:sz w:val="20"/>
                <w:lang w:val="pt-BR"/>
              </w:rPr>
              <w:t xml:space="preserve"> </w:t>
            </w:r>
            <w:r w:rsidRPr="006C45C9">
              <w:rPr>
                <w:sz w:val="20"/>
                <w:lang w:val="pt-BR"/>
              </w:rPr>
              <w:t>Co</w:t>
            </w:r>
            <w:r w:rsidR="00D136BB">
              <w:rPr>
                <w:sz w:val="20"/>
                <w:lang w:val="pt-BR"/>
              </w:rPr>
              <w:t xml:space="preserve"> </w:t>
            </w:r>
            <w:r w:rsidRPr="006C45C9">
              <w:rPr>
                <w:sz w:val="20"/>
                <w:lang w:val="pt-BR"/>
              </w:rPr>
              <w:t>60,</w:t>
            </w:r>
            <w:r w:rsidR="00D136BB">
              <w:rPr>
                <w:sz w:val="20"/>
                <w:lang w:val="pt-BR"/>
              </w:rPr>
              <w:t xml:space="preserve"> </w:t>
            </w:r>
            <w:r w:rsidRPr="006C45C9">
              <w:rPr>
                <w:sz w:val="20"/>
                <w:lang w:val="pt-BR"/>
              </w:rPr>
              <w:t>SAGARPA</w:t>
            </w:r>
            <w:r w:rsidR="00D136BB">
              <w:rPr>
                <w:sz w:val="20"/>
                <w:lang w:val="pt-BR"/>
              </w:rPr>
              <w:t xml:space="preserve"> </w:t>
            </w:r>
            <w:r w:rsidRPr="006C45C9">
              <w:rPr>
                <w:sz w:val="20"/>
                <w:lang w:val="pt-BR"/>
              </w:rPr>
              <w:t>Tapachula</w:t>
            </w:r>
            <w:r w:rsidR="00D136BB">
              <w:rPr>
                <w:sz w:val="20"/>
                <w:lang w:val="pt-BR"/>
              </w:rPr>
              <w:t xml:space="preserve"> </w:t>
            </w:r>
            <w:r w:rsidRPr="006C45C9">
              <w:rPr>
                <w:sz w:val="20"/>
                <w:lang w:val="pt-BR"/>
              </w:rPr>
              <w:t>(cerrado)</w:t>
            </w:r>
          </w:p>
        </w:tc>
        <w:tc>
          <w:tcPr>
            <w:tcW w:w="1418" w:type="dxa"/>
            <w:tcBorders>
              <w:top w:val="single" w:sz="4" w:space="0" w:color="auto"/>
              <w:left w:val="nil"/>
              <w:bottom w:val="single" w:sz="4" w:space="0" w:color="auto"/>
              <w:right w:val="single" w:sz="4" w:space="0" w:color="auto"/>
            </w:tcBorders>
            <w:noWrap/>
            <w:vAlign w:val="center"/>
            <w:hideMark/>
          </w:tcPr>
          <w:p w14:paraId="6A5D928E" w14:textId="70DF5C48" w:rsidR="006D362C" w:rsidRPr="003618E2" w:rsidRDefault="006D362C" w:rsidP="00D136BB">
            <w:pPr>
              <w:pStyle w:val="BodyText"/>
              <w:rPr>
                <w:sz w:val="20"/>
                <w:lang w:val="es-MX"/>
              </w:rPr>
            </w:pPr>
            <w:r w:rsidRPr="003618E2">
              <w:rPr>
                <w:sz w:val="20"/>
                <w:lang w:val="es-MX"/>
              </w:rPr>
              <w:t>Mosca</w:t>
            </w:r>
            <w:r w:rsidR="00D136BB">
              <w:rPr>
                <w:sz w:val="20"/>
                <w:lang w:val="es-MX"/>
              </w:rPr>
              <w:t xml:space="preserve"> </w:t>
            </w:r>
            <w:r w:rsidRPr="003618E2">
              <w:rPr>
                <w:sz w:val="20"/>
                <w:lang w:val="es-MX"/>
              </w:rPr>
              <w:t>del</w:t>
            </w:r>
            <w:r w:rsidR="00D136BB">
              <w:rPr>
                <w:sz w:val="20"/>
                <w:lang w:val="es-MX"/>
              </w:rPr>
              <w:t xml:space="preserve"> </w:t>
            </w:r>
            <w:r w:rsidRPr="003618E2">
              <w:rPr>
                <w:sz w:val="20"/>
                <w:lang w:val="es-MX"/>
              </w:rPr>
              <w:t>mediterráneo</w:t>
            </w:r>
          </w:p>
        </w:tc>
        <w:tc>
          <w:tcPr>
            <w:tcW w:w="1561" w:type="dxa"/>
            <w:tcBorders>
              <w:top w:val="single" w:sz="4" w:space="0" w:color="auto"/>
              <w:left w:val="nil"/>
              <w:bottom w:val="single" w:sz="4" w:space="0" w:color="auto"/>
              <w:right w:val="single" w:sz="4" w:space="0" w:color="auto"/>
            </w:tcBorders>
            <w:noWrap/>
            <w:vAlign w:val="center"/>
            <w:hideMark/>
          </w:tcPr>
          <w:p w14:paraId="22CC4175" w14:textId="25E66F15"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7" w:type="dxa"/>
            <w:tcBorders>
              <w:top w:val="single" w:sz="4" w:space="0" w:color="auto"/>
              <w:left w:val="nil"/>
              <w:bottom w:val="single" w:sz="4" w:space="0" w:color="auto"/>
              <w:right w:val="single" w:sz="4" w:space="0" w:color="auto"/>
            </w:tcBorders>
            <w:noWrap/>
            <w:vAlign w:val="center"/>
            <w:hideMark/>
          </w:tcPr>
          <w:p w14:paraId="10F7E040" w14:textId="0175051C"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4" w:type="dxa"/>
            <w:tcBorders>
              <w:top w:val="single" w:sz="4" w:space="0" w:color="auto"/>
              <w:left w:val="nil"/>
              <w:bottom w:val="single" w:sz="4" w:space="0" w:color="auto"/>
              <w:right w:val="single" w:sz="4" w:space="0" w:color="auto"/>
            </w:tcBorders>
            <w:noWrap/>
            <w:vAlign w:val="center"/>
            <w:hideMark/>
          </w:tcPr>
          <w:p w14:paraId="1062BA50"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vAlign w:val="center"/>
            <w:hideMark/>
          </w:tcPr>
          <w:p w14:paraId="36925858" w14:textId="33DF1240"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r>
      <w:tr w:rsidR="006D362C" w:rsidRPr="003618E2" w14:paraId="6B523067" w14:textId="77777777" w:rsidTr="00D136BB">
        <w:trPr>
          <w:trHeight w:val="510"/>
          <w:jc w:val="center"/>
        </w:trPr>
        <w:tc>
          <w:tcPr>
            <w:tcW w:w="1272" w:type="dxa"/>
            <w:vMerge/>
            <w:tcBorders>
              <w:left w:val="double" w:sz="4" w:space="0" w:color="auto"/>
              <w:right w:val="single" w:sz="4" w:space="0" w:color="auto"/>
            </w:tcBorders>
            <w:shd w:val="clear" w:color="auto" w:fill="FF81AB"/>
            <w:noWrap/>
            <w:vAlign w:val="center"/>
          </w:tcPr>
          <w:p w14:paraId="5ACB0B68"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14:paraId="3A81834D" w14:textId="696757B5" w:rsidR="006D362C" w:rsidRPr="003618E2" w:rsidRDefault="006D362C" w:rsidP="00D136BB">
            <w:pPr>
              <w:pStyle w:val="BodyText"/>
              <w:rPr>
                <w:sz w:val="20"/>
                <w:lang w:val="es-MX"/>
              </w:rPr>
            </w:pPr>
            <w:r w:rsidRPr="003618E2">
              <w:rPr>
                <w:sz w:val="20"/>
                <w:lang w:val="es-MX"/>
              </w:rPr>
              <w:t>Autoblindado</w:t>
            </w:r>
            <w:r w:rsidR="00D136BB">
              <w:rPr>
                <w:sz w:val="20"/>
                <w:lang w:val="es-MX"/>
              </w:rPr>
              <w:t xml:space="preserve"> </w:t>
            </w:r>
            <w:r w:rsidRPr="003618E2">
              <w:rPr>
                <w:sz w:val="20"/>
                <w:lang w:val="es-MX"/>
              </w:rPr>
              <w:t>Horizonta</w:t>
            </w:r>
            <w:r w:rsidR="00D136BB">
              <w:rPr>
                <w:sz w:val="20"/>
                <w:lang w:val="es-MX"/>
              </w:rPr>
              <w:t xml:space="preserve"> </w:t>
            </w:r>
            <w:r w:rsidRPr="003618E2">
              <w:rPr>
                <w:sz w:val="20"/>
                <w:lang w:val="es-MX"/>
              </w:rPr>
              <w:t>Cs</w:t>
            </w:r>
            <w:r w:rsidR="00D136BB">
              <w:rPr>
                <w:sz w:val="20"/>
                <w:lang w:val="es-MX"/>
              </w:rPr>
              <w:t xml:space="preserve"> </w:t>
            </w:r>
            <w:r w:rsidRPr="003618E2">
              <w:rPr>
                <w:sz w:val="20"/>
                <w:lang w:val="es-MX"/>
              </w:rPr>
              <w:t>137,</w:t>
            </w:r>
            <w:r w:rsidR="00D136BB">
              <w:rPr>
                <w:sz w:val="20"/>
                <w:lang w:val="es-MX"/>
              </w:rPr>
              <w:t xml:space="preserve"> </w:t>
            </w:r>
            <w:r w:rsidRPr="003618E2">
              <w:rPr>
                <w:sz w:val="20"/>
                <w:lang w:val="es-MX"/>
              </w:rPr>
              <w:t>SAGARPA</w:t>
            </w:r>
            <w:r w:rsidR="00D136BB">
              <w:rPr>
                <w:sz w:val="20"/>
                <w:lang w:val="es-MX"/>
              </w:rPr>
              <w:t xml:space="preserve"> </w:t>
            </w:r>
            <w:r w:rsidRPr="003618E2">
              <w:rPr>
                <w:sz w:val="20"/>
                <w:lang w:val="es-MX"/>
              </w:rPr>
              <w:t>Tuxtla</w:t>
            </w:r>
            <w:r w:rsidR="00D136BB">
              <w:rPr>
                <w:sz w:val="20"/>
                <w:lang w:val="es-MX"/>
              </w:rPr>
              <w:t xml:space="preserve"> </w:t>
            </w:r>
            <w:r w:rsidRPr="003618E2">
              <w:rPr>
                <w:sz w:val="20"/>
                <w:lang w:val="es-MX"/>
              </w:rPr>
              <w:t>Gutz</w:t>
            </w:r>
            <w:r w:rsidR="00D136BB">
              <w:rPr>
                <w:sz w:val="20"/>
                <w:lang w:val="es-MX"/>
              </w:rPr>
              <w:t xml:space="preserve"> </w:t>
            </w:r>
            <w:r w:rsidRPr="003618E2">
              <w:rPr>
                <w:sz w:val="20"/>
                <w:lang w:val="es-MX"/>
              </w:rPr>
              <w:t>(cerrado)</w:t>
            </w:r>
          </w:p>
        </w:tc>
        <w:tc>
          <w:tcPr>
            <w:tcW w:w="1418" w:type="dxa"/>
            <w:tcBorders>
              <w:top w:val="single" w:sz="4" w:space="0" w:color="auto"/>
              <w:left w:val="nil"/>
              <w:bottom w:val="single" w:sz="4" w:space="0" w:color="auto"/>
              <w:right w:val="single" w:sz="4" w:space="0" w:color="auto"/>
            </w:tcBorders>
            <w:noWrap/>
            <w:vAlign w:val="center"/>
          </w:tcPr>
          <w:p w14:paraId="1596F7BE"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nil"/>
              <w:bottom w:val="single" w:sz="4" w:space="0" w:color="auto"/>
              <w:right w:val="single" w:sz="4" w:space="0" w:color="auto"/>
            </w:tcBorders>
            <w:noWrap/>
            <w:vAlign w:val="center"/>
          </w:tcPr>
          <w:p w14:paraId="5BAAF489" w14:textId="5F61CCDA"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7" w:type="dxa"/>
            <w:tcBorders>
              <w:top w:val="single" w:sz="4" w:space="0" w:color="auto"/>
              <w:left w:val="nil"/>
              <w:bottom w:val="single" w:sz="4" w:space="0" w:color="auto"/>
              <w:right w:val="single" w:sz="4" w:space="0" w:color="auto"/>
            </w:tcBorders>
            <w:noWrap/>
            <w:vAlign w:val="center"/>
          </w:tcPr>
          <w:p w14:paraId="487414AB" w14:textId="0B91BBB7"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4" w:type="dxa"/>
            <w:tcBorders>
              <w:top w:val="single" w:sz="4" w:space="0" w:color="auto"/>
              <w:left w:val="nil"/>
              <w:bottom w:val="single" w:sz="4" w:space="0" w:color="auto"/>
              <w:right w:val="single" w:sz="4" w:space="0" w:color="auto"/>
            </w:tcBorders>
            <w:noWrap/>
            <w:vAlign w:val="center"/>
          </w:tcPr>
          <w:p w14:paraId="2849C95A"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vAlign w:val="center"/>
          </w:tcPr>
          <w:p w14:paraId="31BE4462" w14:textId="20498E20"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r>
      <w:tr w:rsidR="006D362C" w:rsidRPr="003618E2" w14:paraId="4CBF8FAB" w14:textId="77777777" w:rsidTr="00D136BB">
        <w:trPr>
          <w:trHeight w:val="765"/>
          <w:jc w:val="center"/>
        </w:trPr>
        <w:tc>
          <w:tcPr>
            <w:tcW w:w="1272" w:type="dxa"/>
            <w:vMerge/>
            <w:tcBorders>
              <w:left w:val="double" w:sz="4" w:space="0" w:color="auto"/>
              <w:bottom w:val="double" w:sz="4" w:space="0" w:color="auto"/>
              <w:right w:val="single" w:sz="4" w:space="0" w:color="auto"/>
            </w:tcBorders>
            <w:shd w:val="clear" w:color="auto" w:fill="FF81AB"/>
            <w:noWrap/>
            <w:vAlign w:val="center"/>
            <w:hideMark/>
          </w:tcPr>
          <w:p w14:paraId="4B17C03A"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double" w:sz="4" w:space="0" w:color="auto"/>
              <w:right w:val="single" w:sz="4" w:space="0" w:color="auto"/>
            </w:tcBorders>
            <w:vAlign w:val="center"/>
          </w:tcPr>
          <w:p w14:paraId="69363E9E" w14:textId="6E3EEFD5" w:rsidR="006D362C" w:rsidRPr="003618E2" w:rsidRDefault="006D362C" w:rsidP="00D136BB">
            <w:pPr>
              <w:pStyle w:val="BodyText"/>
              <w:rPr>
                <w:sz w:val="20"/>
                <w:lang w:val="es-MX"/>
              </w:rPr>
            </w:pPr>
            <w:r w:rsidRPr="003618E2">
              <w:rPr>
                <w:sz w:val="20"/>
                <w:lang w:val="es-MX"/>
              </w:rPr>
              <w:t>01</w:t>
            </w:r>
            <w:r w:rsidR="00D136BB">
              <w:rPr>
                <w:sz w:val="20"/>
                <w:lang w:val="es-MX"/>
              </w:rPr>
              <w:t xml:space="preserve"> </w:t>
            </w:r>
            <w:r w:rsidRPr="003618E2">
              <w:rPr>
                <w:sz w:val="20"/>
                <w:lang w:val="es-MX"/>
              </w:rPr>
              <w:t>Acelerador</w:t>
            </w:r>
            <w:r w:rsidR="00D136BB">
              <w:rPr>
                <w:sz w:val="20"/>
                <w:lang w:val="es-MX"/>
              </w:rPr>
              <w:t xml:space="preserve"> </w:t>
            </w:r>
            <w:r w:rsidRPr="003618E2">
              <w:rPr>
                <w:sz w:val="20"/>
                <w:lang w:val="es-MX"/>
              </w:rPr>
              <w:t>de</w:t>
            </w:r>
            <w:r w:rsidR="00D136BB">
              <w:rPr>
                <w:sz w:val="20"/>
                <w:lang w:val="es-MX"/>
              </w:rPr>
              <w:t xml:space="preserve"> </w:t>
            </w:r>
            <w:r w:rsidRPr="003618E2">
              <w:rPr>
                <w:sz w:val="20"/>
                <w:lang w:val="es-MX"/>
              </w:rPr>
              <w:t>Electrones</w:t>
            </w:r>
            <w:r w:rsidR="00D136BB">
              <w:rPr>
                <w:sz w:val="20"/>
                <w:lang w:val="es-MX"/>
              </w:rPr>
              <w:t xml:space="preserve"> </w:t>
            </w:r>
            <w:r w:rsidRPr="003618E2">
              <w:rPr>
                <w:sz w:val="20"/>
                <w:lang w:val="es-MX"/>
              </w:rPr>
              <w:t>Tijuana</w:t>
            </w:r>
            <w:r w:rsidR="00D136BB">
              <w:rPr>
                <w:sz w:val="20"/>
                <w:lang w:val="es-MX"/>
              </w:rPr>
              <w:t xml:space="preserve"> </w:t>
            </w:r>
            <w:r w:rsidRPr="003618E2">
              <w:rPr>
                <w:sz w:val="20"/>
                <w:lang w:val="es-MX"/>
              </w:rPr>
              <w:t>(Avantti</w:t>
            </w:r>
            <w:r w:rsidR="00D136BB">
              <w:rPr>
                <w:sz w:val="20"/>
                <w:lang w:val="es-MX"/>
              </w:rPr>
              <w:t xml:space="preserve"> </w:t>
            </w:r>
            <w:r w:rsidRPr="003618E2">
              <w:rPr>
                <w:sz w:val="20"/>
                <w:lang w:val="es-MX"/>
              </w:rPr>
              <w:t>Mediclear)10MeV</w:t>
            </w:r>
            <w:r w:rsidR="00D136BB">
              <w:rPr>
                <w:sz w:val="20"/>
                <w:lang w:val="es-MX"/>
              </w:rPr>
              <w:t xml:space="preserve"> </w:t>
            </w:r>
            <w:r w:rsidRPr="003618E2">
              <w:rPr>
                <w:sz w:val="20"/>
                <w:lang w:val="es-MX"/>
              </w:rPr>
              <w:t>Mevex</w:t>
            </w:r>
          </w:p>
        </w:tc>
        <w:tc>
          <w:tcPr>
            <w:tcW w:w="1418" w:type="dxa"/>
            <w:tcBorders>
              <w:top w:val="single" w:sz="4" w:space="0" w:color="auto"/>
              <w:left w:val="nil"/>
              <w:bottom w:val="double" w:sz="4" w:space="0" w:color="auto"/>
              <w:right w:val="single" w:sz="4" w:space="0" w:color="auto"/>
            </w:tcBorders>
            <w:noWrap/>
            <w:vAlign w:val="center"/>
          </w:tcPr>
          <w:p w14:paraId="610D3386"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nil"/>
              <w:bottom w:val="double" w:sz="4" w:space="0" w:color="auto"/>
              <w:right w:val="single" w:sz="4" w:space="0" w:color="auto"/>
            </w:tcBorders>
            <w:noWrap/>
            <w:vAlign w:val="center"/>
          </w:tcPr>
          <w:p w14:paraId="527E8CBF" w14:textId="77777777" w:rsidR="006D362C" w:rsidRPr="003618E2" w:rsidRDefault="006D362C" w:rsidP="00D136BB">
            <w:pPr>
              <w:pStyle w:val="BodyText"/>
              <w:rPr>
                <w:sz w:val="20"/>
                <w:lang w:val="es-MX"/>
              </w:rPr>
            </w:pPr>
            <w:r w:rsidRPr="003618E2">
              <w:rPr>
                <w:sz w:val="20"/>
                <w:lang w:val="es-MX"/>
              </w:rPr>
              <w:t>Radiocrómico</w:t>
            </w:r>
          </w:p>
        </w:tc>
        <w:tc>
          <w:tcPr>
            <w:tcW w:w="1137" w:type="dxa"/>
            <w:tcBorders>
              <w:top w:val="single" w:sz="4" w:space="0" w:color="auto"/>
              <w:left w:val="nil"/>
              <w:bottom w:val="double" w:sz="4" w:space="0" w:color="auto"/>
              <w:right w:val="single" w:sz="4" w:space="0" w:color="auto"/>
            </w:tcBorders>
            <w:noWrap/>
            <w:vAlign w:val="center"/>
          </w:tcPr>
          <w:p w14:paraId="5BEA58E5" w14:textId="78F47153" w:rsidR="006D362C" w:rsidRPr="003618E2" w:rsidRDefault="006D362C" w:rsidP="00D136BB">
            <w:pPr>
              <w:pStyle w:val="BodyText"/>
              <w:rPr>
                <w:sz w:val="20"/>
                <w:lang w:val="es-MX"/>
              </w:rPr>
            </w:pPr>
            <w:r w:rsidRPr="003618E2">
              <w:rPr>
                <w:sz w:val="20"/>
                <w:lang w:val="es-MX"/>
              </w:rPr>
              <w:t>Sin</w:t>
            </w:r>
            <w:r w:rsidR="00D136BB">
              <w:rPr>
                <w:sz w:val="20"/>
                <w:lang w:val="es-MX"/>
              </w:rPr>
              <w:t xml:space="preserve"> </w:t>
            </w:r>
            <w:r w:rsidRPr="003618E2">
              <w:rPr>
                <w:sz w:val="20"/>
                <w:lang w:val="es-MX"/>
              </w:rPr>
              <w:t>información</w:t>
            </w:r>
          </w:p>
        </w:tc>
        <w:tc>
          <w:tcPr>
            <w:tcW w:w="1134" w:type="dxa"/>
            <w:tcBorders>
              <w:top w:val="single" w:sz="4" w:space="0" w:color="auto"/>
              <w:left w:val="nil"/>
              <w:bottom w:val="double" w:sz="4" w:space="0" w:color="auto"/>
              <w:right w:val="single" w:sz="4" w:space="0" w:color="auto"/>
            </w:tcBorders>
            <w:noWrap/>
            <w:vAlign w:val="center"/>
          </w:tcPr>
          <w:p w14:paraId="48613D68" w14:textId="77777777" w:rsidR="006D362C" w:rsidRPr="003618E2" w:rsidRDefault="006D362C" w:rsidP="00D136BB">
            <w:pPr>
              <w:pStyle w:val="BodyText"/>
              <w:rPr>
                <w:sz w:val="20"/>
                <w:lang w:val="es-MX"/>
              </w:rPr>
            </w:pPr>
            <w:r w:rsidRPr="003618E2">
              <w:rPr>
                <w:sz w:val="20"/>
                <w:lang w:val="es-MX"/>
              </w:rPr>
              <w:t>Si</w:t>
            </w:r>
          </w:p>
        </w:tc>
        <w:tc>
          <w:tcPr>
            <w:tcW w:w="1134" w:type="dxa"/>
            <w:tcBorders>
              <w:top w:val="single" w:sz="4" w:space="0" w:color="auto"/>
              <w:left w:val="nil"/>
              <w:bottom w:val="double" w:sz="4" w:space="0" w:color="auto"/>
              <w:right w:val="double" w:sz="4" w:space="0" w:color="auto"/>
            </w:tcBorders>
            <w:noWrap/>
            <w:vAlign w:val="center"/>
          </w:tcPr>
          <w:p w14:paraId="557D8E0E" w14:textId="77777777" w:rsidR="006D362C" w:rsidRPr="003618E2" w:rsidRDefault="006D362C" w:rsidP="00D136BB">
            <w:pPr>
              <w:pStyle w:val="BodyText"/>
              <w:rPr>
                <w:sz w:val="20"/>
                <w:lang w:val="es-MX"/>
              </w:rPr>
            </w:pPr>
            <w:r w:rsidRPr="003618E2">
              <w:rPr>
                <w:sz w:val="20"/>
                <w:lang w:val="es-MX"/>
              </w:rPr>
              <w:t>Si</w:t>
            </w:r>
          </w:p>
        </w:tc>
      </w:tr>
      <w:tr w:rsidR="006D362C" w:rsidRPr="003618E2" w14:paraId="62C25013" w14:textId="77777777" w:rsidTr="00D136BB">
        <w:trPr>
          <w:trHeight w:val="510"/>
          <w:jc w:val="center"/>
        </w:trPr>
        <w:tc>
          <w:tcPr>
            <w:tcW w:w="1272" w:type="dxa"/>
            <w:vMerge w:val="restart"/>
            <w:tcBorders>
              <w:top w:val="double" w:sz="4" w:space="0" w:color="auto"/>
              <w:left w:val="double" w:sz="4" w:space="0" w:color="auto"/>
              <w:right w:val="single" w:sz="4" w:space="0" w:color="auto"/>
            </w:tcBorders>
            <w:shd w:val="clear" w:color="auto" w:fill="FF81AB"/>
            <w:vAlign w:val="center"/>
            <w:hideMark/>
          </w:tcPr>
          <w:p w14:paraId="6BF77221" w14:textId="77777777" w:rsidR="006D362C" w:rsidRPr="003618E2" w:rsidRDefault="006D362C" w:rsidP="00D136BB">
            <w:pPr>
              <w:pStyle w:val="BodyText"/>
              <w:rPr>
                <w:b/>
                <w:sz w:val="20"/>
                <w:lang w:val="es-ES"/>
              </w:rPr>
            </w:pPr>
            <w:r w:rsidRPr="003618E2">
              <w:rPr>
                <w:b/>
                <w:sz w:val="20"/>
                <w:lang w:val="es-ES"/>
              </w:rPr>
              <w:t>Perú</w:t>
            </w:r>
          </w:p>
        </w:tc>
        <w:tc>
          <w:tcPr>
            <w:tcW w:w="1701" w:type="dxa"/>
            <w:tcBorders>
              <w:top w:val="double" w:sz="4" w:space="0" w:color="auto"/>
              <w:left w:val="single" w:sz="4" w:space="0" w:color="auto"/>
              <w:bottom w:val="single" w:sz="4" w:space="0" w:color="auto"/>
              <w:right w:val="single" w:sz="4" w:space="0" w:color="auto"/>
            </w:tcBorders>
            <w:vAlign w:val="center"/>
            <w:hideMark/>
          </w:tcPr>
          <w:p w14:paraId="0EE2421E" w14:textId="4F856DCD" w:rsidR="006D362C" w:rsidRPr="003618E2" w:rsidRDefault="006D362C" w:rsidP="00D136BB">
            <w:pPr>
              <w:pStyle w:val="BodyText"/>
              <w:rPr>
                <w:sz w:val="20"/>
                <w:lang w:val="es-MX"/>
              </w:rPr>
            </w:pPr>
            <w:r w:rsidRPr="003618E2">
              <w:rPr>
                <w:sz w:val="20"/>
                <w:lang w:val="es-MX"/>
              </w:rPr>
              <w:t>Gammacell</w:t>
            </w:r>
            <w:r w:rsidR="00D136BB">
              <w:rPr>
                <w:sz w:val="20"/>
                <w:lang w:val="es-MX"/>
              </w:rPr>
              <w:t xml:space="preserve"> </w:t>
            </w:r>
            <w:r w:rsidRPr="003618E2">
              <w:rPr>
                <w:sz w:val="20"/>
                <w:lang w:val="es-MX"/>
              </w:rPr>
              <w:t>220</w:t>
            </w:r>
            <w:r w:rsidR="00D136BB">
              <w:rPr>
                <w:sz w:val="20"/>
                <w:lang w:val="es-MX"/>
              </w:rPr>
              <w:t xml:space="preserve"> </w:t>
            </w:r>
            <w:r w:rsidRPr="003618E2">
              <w:rPr>
                <w:sz w:val="20"/>
                <w:lang w:val="es-MX"/>
              </w:rPr>
              <w:t>Excel</w:t>
            </w:r>
            <w:r w:rsidR="00D136BB">
              <w:rPr>
                <w:sz w:val="20"/>
                <w:lang w:val="es-MX"/>
              </w:rPr>
              <w:t xml:space="preserve"> </w:t>
            </w:r>
            <w:r w:rsidRPr="003618E2">
              <w:rPr>
                <w:sz w:val="20"/>
                <w:lang w:val="es-MX"/>
              </w:rPr>
              <w:t>220</w:t>
            </w:r>
            <w:r w:rsidR="00D136BB">
              <w:rPr>
                <w:sz w:val="20"/>
                <w:lang w:val="es-MX"/>
              </w:rPr>
              <w:t xml:space="preserve"> </w:t>
            </w:r>
            <w:r w:rsidRPr="003618E2">
              <w:rPr>
                <w:sz w:val="20"/>
                <w:lang w:val="es-MX"/>
              </w:rPr>
              <w:t>IPEN</w:t>
            </w:r>
            <w:r w:rsidR="00D136BB">
              <w:rPr>
                <w:sz w:val="20"/>
                <w:lang w:val="es-MX"/>
              </w:rPr>
              <w:t xml:space="preserve"> </w:t>
            </w:r>
            <w:r w:rsidRPr="003618E2">
              <w:rPr>
                <w:sz w:val="20"/>
                <w:lang w:val="es-MX"/>
              </w:rPr>
              <w:t>11.4</w:t>
            </w:r>
            <w:r w:rsidR="00D136BB">
              <w:rPr>
                <w:sz w:val="20"/>
                <w:lang w:val="es-MX"/>
              </w:rPr>
              <w:t xml:space="preserve"> </w:t>
            </w:r>
            <w:r w:rsidRPr="003618E2">
              <w:rPr>
                <w:sz w:val="20"/>
                <w:lang w:val="es-MX"/>
              </w:rPr>
              <w:t>kCi</w:t>
            </w:r>
          </w:p>
        </w:tc>
        <w:tc>
          <w:tcPr>
            <w:tcW w:w="1418" w:type="dxa"/>
            <w:tcBorders>
              <w:top w:val="double" w:sz="4" w:space="0" w:color="auto"/>
              <w:left w:val="nil"/>
              <w:bottom w:val="single" w:sz="4" w:space="0" w:color="auto"/>
              <w:right w:val="single" w:sz="4" w:space="0" w:color="auto"/>
            </w:tcBorders>
            <w:vAlign w:val="center"/>
            <w:hideMark/>
          </w:tcPr>
          <w:p w14:paraId="190F428E"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double" w:sz="4" w:space="0" w:color="auto"/>
              <w:left w:val="nil"/>
              <w:bottom w:val="single" w:sz="4" w:space="0" w:color="auto"/>
              <w:right w:val="single" w:sz="4" w:space="0" w:color="auto"/>
            </w:tcBorders>
            <w:vAlign w:val="center"/>
            <w:hideMark/>
          </w:tcPr>
          <w:p w14:paraId="79790A43" w14:textId="5FA1D920" w:rsidR="006D362C" w:rsidRPr="003618E2" w:rsidRDefault="006D362C" w:rsidP="00D136BB">
            <w:pPr>
              <w:pStyle w:val="BodyText"/>
              <w:rPr>
                <w:sz w:val="20"/>
                <w:lang w:val="es-MX"/>
              </w:rPr>
            </w:pPr>
            <w:r w:rsidRPr="003618E2">
              <w:rPr>
                <w:sz w:val="20"/>
                <w:lang w:val="es-MX"/>
              </w:rPr>
              <w:t>Etanol</w:t>
            </w:r>
            <w:r w:rsidR="00D136BB">
              <w:rPr>
                <w:sz w:val="20"/>
                <w:lang w:val="es-MX"/>
              </w:rPr>
              <w:t xml:space="preserve"> </w:t>
            </w:r>
            <w:r w:rsidRPr="003618E2">
              <w:rPr>
                <w:sz w:val="20"/>
                <w:lang w:val="es-MX"/>
              </w:rPr>
              <w:t>cloro</w:t>
            </w:r>
            <w:r w:rsidR="00D136BB">
              <w:rPr>
                <w:sz w:val="20"/>
                <w:lang w:val="es-MX"/>
              </w:rPr>
              <w:t xml:space="preserve"> </w:t>
            </w:r>
            <w:r w:rsidRPr="003618E2">
              <w:rPr>
                <w:sz w:val="20"/>
                <w:lang w:val="es-MX"/>
              </w:rPr>
              <w:t>benceno,</w:t>
            </w:r>
            <w:r w:rsidR="00D136BB">
              <w:rPr>
                <w:sz w:val="20"/>
                <w:lang w:val="es-MX"/>
              </w:rPr>
              <w:t xml:space="preserve"> </w:t>
            </w:r>
            <w:r w:rsidRPr="003618E2">
              <w:rPr>
                <w:sz w:val="20"/>
                <w:lang w:val="es-MX"/>
              </w:rPr>
              <w:t>Fricke</w:t>
            </w:r>
          </w:p>
        </w:tc>
        <w:tc>
          <w:tcPr>
            <w:tcW w:w="1137" w:type="dxa"/>
            <w:tcBorders>
              <w:top w:val="double" w:sz="4" w:space="0" w:color="auto"/>
              <w:left w:val="nil"/>
              <w:bottom w:val="single" w:sz="4" w:space="0" w:color="auto"/>
              <w:right w:val="single" w:sz="4" w:space="0" w:color="auto"/>
            </w:tcBorders>
            <w:vAlign w:val="center"/>
            <w:hideMark/>
          </w:tcPr>
          <w:p w14:paraId="338BB3E3" w14:textId="77777777" w:rsidR="006D362C" w:rsidRPr="003618E2" w:rsidRDefault="006D362C" w:rsidP="00D136BB">
            <w:pPr>
              <w:pStyle w:val="BodyText"/>
              <w:rPr>
                <w:sz w:val="20"/>
                <w:lang w:val="es-MX"/>
              </w:rPr>
            </w:pPr>
            <w:r w:rsidRPr="003618E2">
              <w:rPr>
                <w:sz w:val="20"/>
                <w:lang w:val="es-MX"/>
              </w:rPr>
              <w:t>Fricke</w:t>
            </w:r>
          </w:p>
        </w:tc>
        <w:tc>
          <w:tcPr>
            <w:tcW w:w="1134" w:type="dxa"/>
            <w:tcBorders>
              <w:top w:val="double" w:sz="4" w:space="0" w:color="auto"/>
              <w:left w:val="nil"/>
              <w:bottom w:val="single" w:sz="4" w:space="0" w:color="auto"/>
              <w:right w:val="single" w:sz="4" w:space="0" w:color="auto"/>
            </w:tcBorders>
            <w:vAlign w:val="center"/>
            <w:hideMark/>
          </w:tcPr>
          <w:p w14:paraId="1180D592"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single" w:sz="4" w:space="0" w:color="auto"/>
              <w:right w:val="double" w:sz="4" w:space="0" w:color="auto"/>
            </w:tcBorders>
            <w:vAlign w:val="center"/>
            <w:hideMark/>
          </w:tcPr>
          <w:p w14:paraId="168E0E2B" w14:textId="77777777" w:rsidR="006D362C" w:rsidRPr="003618E2" w:rsidRDefault="006D362C" w:rsidP="00D136BB">
            <w:pPr>
              <w:pStyle w:val="BodyText"/>
              <w:rPr>
                <w:sz w:val="20"/>
                <w:lang w:val="es-MX"/>
              </w:rPr>
            </w:pPr>
            <w:r w:rsidRPr="003618E2">
              <w:rPr>
                <w:sz w:val="20"/>
                <w:lang w:val="es-MX"/>
              </w:rPr>
              <w:t>No</w:t>
            </w:r>
          </w:p>
        </w:tc>
      </w:tr>
      <w:tr w:rsidR="006D362C" w:rsidRPr="003618E2" w14:paraId="15EE18A3" w14:textId="77777777" w:rsidTr="00D136BB">
        <w:trPr>
          <w:trHeight w:val="765"/>
          <w:jc w:val="center"/>
        </w:trPr>
        <w:tc>
          <w:tcPr>
            <w:tcW w:w="1272" w:type="dxa"/>
            <w:vMerge/>
            <w:tcBorders>
              <w:left w:val="double" w:sz="4" w:space="0" w:color="auto"/>
              <w:right w:val="single" w:sz="4" w:space="0" w:color="auto"/>
            </w:tcBorders>
            <w:shd w:val="clear" w:color="auto" w:fill="FF81AB"/>
            <w:noWrap/>
            <w:vAlign w:val="center"/>
            <w:hideMark/>
          </w:tcPr>
          <w:p w14:paraId="5386DB8B"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A139E3" w14:textId="5CB844C8" w:rsidR="006D362C" w:rsidRPr="003618E2" w:rsidRDefault="006D362C" w:rsidP="00D136BB">
            <w:pPr>
              <w:pStyle w:val="BodyText"/>
              <w:rPr>
                <w:sz w:val="20"/>
                <w:lang w:val="es-MX"/>
              </w:rPr>
            </w:pPr>
            <w:r w:rsidRPr="003618E2">
              <w:rPr>
                <w:sz w:val="20"/>
                <w:lang w:val="es-MX"/>
              </w:rPr>
              <w:t>Planta</w:t>
            </w:r>
            <w:r w:rsidR="00D136BB">
              <w:rPr>
                <w:sz w:val="20"/>
                <w:lang w:val="es-MX"/>
              </w:rPr>
              <w:t xml:space="preserve"> </w:t>
            </w:r>
            <w:r w:rsidRPr="003618E2">
              <w:rPr>
                <w:sz w:val="20"/>
                <w:lang w:val="es-MX"/>
              </w:rPr>
              <w:t>multiuso</w:t>
            </w:r>
            <w:r w:rsidR="00D136BB">
              <w:rPr>
                <w:sz w:val="20"/>
                <w:lang w:val="es-MX"/>
              </w:rPr>
              <w:t xml:space="preserve">  </w:t>
            </w:r>
            <w:r w:rsidRPr="003618E2">
              <w:rPr>
                <w:sz w:val="20"/>
                <w:lang w:val="es-MX"/>
              </w:rPr>
              <w:t>Co</w:t>
            </w:r>
            <w:r w:rsidR="00D136BB">
              <w:rPr>
                <w:sz w:val="20"/>
                <w:lang w:val="es-MX"/>
              </w:rPr>
              <w:t xml:space="preserve"> </w:t>
            </w:r>
            <w:r w:rsidRPr="003618E2">
              <w:rPr>
                <w:sz w:val="20"/>
                <w:lang w:val="es-MX"/>
              </w:rPr>
              <w:t>-</w:t>
            </w:r>
            <w:r w:rsidR="00D136BB">
              <w:rPr>
                <w:sz w:val="20"/>
                <w:lang w:val="es-MX"/>
              </w:rPr>
              <w:t xml:space="preserve"> </w:t>
            </w:r>
            <w:r w:rsidRPr="003618E2">
              <w:rPr>
                <w:sz w:val="20"/>
                <w:lang w:val="es-MX"/>
              </w:rPr>
              <w:t>60</w:t>
            </w:r>
            <w:r w:rsidR="00D136BB">
              <w:rPr>
                <w:sz w:val="20"/>
                <w:lang w:val="es-MX"/>
              </w:rPr>
              <w:t xml:space="preserve"> </w:t>
            </w:r>
            <w:r w:rsidRPr="003618E2">
              <w:rPr>
                <w:sz w:val="20"/>
                <w:lang w:val="es-MX"/>
              </w:rPr>
              <w:t>PIMU</w:t>
            </w:r>
            <w:r w:rsidR="00D136BB">
              <w:rPr>
                <w:sz w:val="20"/>
                <w:lang w:val="es-MX"/>
              </w:rPr>
              <w:t xml:space="preserve"> </w:t>
            </w:r>
            <w:r w:rsidRPr="003618E2">
              <w:rPr>
                <w:sz w:val="20"/>
                <w:lang w:val="es-MX"/>
              </w:rPr>
              <w:t>18.7</w:t>
            </w:r>
            <w:r w:rsidR="00D136BB">
              <w:rPr>
                <w:sz w:val="20"/>
                <w:lang w:val="es-MX"/>
              </w:rPr>
              <w:t xml:space="preserve"> </w:t>
            </w:r>
            <w:r w:rsidRPr="003618E2">
              <w:rPr>
                <w:sz w:val="20"/>
                <w:lang w:val="es-MX"/>
              </w:rPr>
              <w:t>kCi</w:t>
            </w:r>
          </w:p>
        </w:tc>
        <w:tc>
          <w:tcPr>
            <w:tcW w:w="1418" w:type="dxa"/>
            <w:tcBorders>
              <w:top w:val="single" w:sz="4" w:space="0" w:color="auto"/>
              <w:left w:val="nil"/>
              <w:bottom w:val="single" w:sz="4" w:space="0" w:color="auto"/>
              <w:right w:val="single" w:sz="4" w:space="0" w:color="auto"/>
            </w:tcBorders>
            <w:noWrap/>
            <w:vAlign w:val="center"/>
            <w:hideMark/>
          </w:tcPr>
          <w:p w14:paraId="7F36A3DC"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single" w:sz="4" w:space="0" w:color="auto"/>
              <w:left w:val="nil"/>
              <w:bottom w:val="single" w:sz="4" w:space="0" w:color="auto"/>
              <w:right w:val="single" w:sz="4" w:space="0" w:color="auto"/>
            </w:tcBorders>
            <w:vAlign w:val="center"/>
            <w:hideMark/>
          </w:tcPr>
          <w:p w14:paraId="6E392C6D" w14:textId="2A13275D" w:rsidR="006D362C" w:rsidRPr="003618E2" w:rsidRDefault="006D362C" w:rsidP="00D136BB">
            <w:pPr>
              <w:pStyle w:val="BodyText"/>
              <w:rPr>
                <w:sz w:val="20"/>
                <w:lang w:val="es-MX"/>
              </w:rPr>
            </w:pPr>
            <w:r w:rsidRPr="003618E2">
              <w:rPr>
                <w:sz w:val="20"/>
                <w:lang w:val="es-MX"/>
              </w:rPr>
              <w:t>Etanol</w:t>
            </w:r>
            <w:r w:rsidR="00D136BB">
              <w:rPr>
                <w:sz w:val="20"/>
                <w:lang w:val="es-MX"/>
              </w:rPr>
              <w:t xml:space="preserve"> </w:t>
            </w:r>
            <w:r w:rsidRPr="003618E2">
              <w:rPr>
                <w:sz w:val="20"/>
                <w:lang w:val="es-MX"/>
              </w:rPr>
              <w:t>cloro</w:t>
            </w:r>
            <w:r w:rsidR="00D136BB">
              <w:rPr>
                <w:sz w:val="20"/>
                <w:lang w:val="es-MX"/>
              </w:rPr>
              <w:t xml:space="preserve"> </w:t>
            </w:r>
            <w:r w:rsidRPr="003618E2">
              <w:rPr>
                <w:sz w:val="20"/>
                <w:lang w:val="es-MX"/>
              </w:rPr>
              <w:t>benceno,</w:t>
            </w:r>
            <w:r w:rsidR="00D136BB">
              <w:rPr>
                <w:sz w:val="20"/>
                <w:lang w:val="es-MX"/>
              </w:rPr>
              <w:t xml:space="preserve">  </w:t>
            </w:r>
            <w:r w:rsidRPr="003618E2">
              <w:rPr>
                <w:sz w:val="20"/>
                <w:lang w:val="es-MX"/>
              </w:rPr>
              <w:t>GEX</w:t>
            </w:r>
            <w:r w:rsidR="00D136BB">
              <w:rPr>
                <w:sz w:val="20"/>
                <w:lang w:val="es-MX"/>
              </w:rPr>
              <w:t xml:space="preserve"> </w:t>
            </w:r>
            <w:r w:rsidRPr="003618E2">
              <w:rPr>
                <w:sz w:val="20"/>
                <w:lang w:val="es-MX"/>
              </w:rPr>
              <w:t>FILM</w:t>
            </w:r>
          </w:p>
        </w:tc>
        <w:tc>
          <w:tcPr>
            <w:tcW w:w="1137" w:type="dxa"/>
            <w:tcBorders>
              <w:top w:val="single" w:sz="4" w:space="0" w:color="auto"/>
              <w:left w:val="nil"/>
              <w:bottom w:val="single" w:sz="4" w:space="0" w:color="auto"/>
              <w:right w:val="single" w:sz="4" w:space="0" w:color="auto"/>
            </w:tcBorders>
            <w:vAlign w:val="center"/>
            <w:hideMark/>
          </w:tcPr>
          <w:p w14:paraId="226A3508" w14:textId="77777777" w:rsidR="006D362C" w:rsidRPr="003618E2" w:rsidRDefault="006D362C" w:rsidP="00D136BB">
            <w:pPr>
              <w:pStyle w:val="BodyText"/>
              <w:rPr>
                <w:sz w:val="20"/>
                <w:lang w:val="es-MX"/>
              </w:rPr>
            </w:pPr>
            <w:r w:rsidRPr="003618E2">
              <w:rPr>
                <w:sz w:val="20"/>
                <w:lang w:val="es-MX"/>
              </w:rPr>
              <w:t>Fricke</w:t>
            </w:r>
          </w:p>
        </w:tc>
        <w:tc>
          <w:tcPr>
            <w:tcW w:w="1134" w:type="dxa"/>
            <w:tcBorders>
              <w:top w:val="single" w:sz="4" w:space="0" w:color="auto"/>
              <w:left w:val="nil"/>
              <w:bottom w:val="single" w:sz="4" w:space="0" w:color="auto"/>
              <w:right w:val="single" w:sz="4" w:space="0" w:color="auto"/>
            </w:tcBorders>
            <w:vAlign w:val="center"/>
            <w:hideMark/>
          </w:tcPr>
          <w:p w14:paraId="5F8128E1"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noWrap/>
            <w:vAlign w:val="center"/>
            <w:hideMark/>
          </w:tcPr>
          <w:p w14:paraId="790A29AF" w14:textId="77777777" w:rsidR="006D362C" w:rsidRPr="003618E2" w:rsidRDefault="006D362C" w:rsidP="00D136BB">
            <w:pPr>
              <w:pStyle w:val="BodyText"/>
              <w:rPr>
                <w:sz w:val="20"/>
                <w:lang w:val="es-MX"/>
              </w:rPr>
            </w:pPr>
            <w:r w:rsidRPr="003618E2">
              <w:rPr>
                <w:sz w:val="20"/>
                <w:lang w:val="es-MX"/>
              </w:rPr>
              <w:t>No</w:t>
            </w:r>
          </w:p>
        </w:tc>
      </w:tr>
      <w:tr w:rsidR="006D362C" w:rsidRPr="003618E2" w14:paraId="6C411913" w14:textId="77777777" w:rsidTr="00D136BB">
        <w:trPr>
          <w:trHeight w:val="765"/>
          <w:jc w:val="center"/>
        </w:trPr>
        <w:tc>
          <w:tcPr>
            <w:tcW w:w="1272" w:type="dxa"/>
            <w:vMerge/>
            <w:tcBorders>
              <w:left w:val="double" w:sz="4" w:space="0" w:color="auto"/>
              <w:right w:val="single" w:sz="4" w:space="0" w:color="auto"/>
            </w:tcBorders>
            <w:shd w:val="clear" w:color="auto" w:fill="FF81AB"/>
            <w:noWrap/>
            <w:vAlign w:val="center"/>
            <w:hideMark/>
          </w:tcPr>
          <w:p w14:paraId="6A33D4A4"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17196F4" w14:textId="3ED07CAB" w:rsidR="006D362C" w:rsidRPr="003618E2" w:rsidRDefault="006D362C" w:rsidP="00D136BB">
            <w:pPr>
              <w:pStyle w:val="BodyText"/>
              <w:rPr>
                <w:sz w:val="20"/>
              </w:rPr>
            </w:pPr>
            <w:r w:rsidRPr="003618E2">
              <w:rPr>
                <w:sz w:val="20"/>
              </w:rPr>
              <w:t>Gamma</w:t>
            </w:r>
            <w:r w:rsidR="00D136BB">
              <w:rPr>
                <w:sz w:val="20"/>
              </w:rPr>
              <w:t xml:space="preserve"> </w:t>
            </w:r>
            <w:r w:rsidRPr="003618E2">
              <w:rPr>
                <w:sz w:val="20"/>
              </w:rPr>
              <w:t>Beam</w:t>
            </w:r>
            <w:r w:rsidR="00D136BB">
              <w:rPr>
                <w:sz w:val="20"/>
              </w:rPr>
              <w:t xml:space="preserve"> </w:t>
            </w:r>
            <w:r w:rsidRPr="003618E2">
              <w:rPr>
                <w:sz w:val="20"/>
              </w:rPr>
              <w:t>127</w:t>
            </w:r>
            <w:r w:rsidR="00D136BB">
              <w:rPr>
                <w:sz w:val="20"/>
              </w:rPr>
              <w:t xml:space="preserve"> </w:t>
            </w:r>
            <w:r w:rsidRPr="003618E2">
              <w:rPr>
                <w:sz w:val="20"/>
              </w:rPr>
              <w:t>Nordion.</w:t>
            </w:r>
            <w:r w:rsidR="00D136BB">
              <w:rPr>
                <w:sz w:val="20"/>
              </w:rPr>
              <w:t xml:space="preserve"> </w:t>
            </w:r>
            <w:r w:rsidRPr="003618E2">
              <w:rPr>
                <w:sz w:val="20"/>
              </w:rPr>
              <w:t>Actual</w:t>
            </w:r>
            <w:r w:rsidR="00D136BB">
              <w:rPr>
                <w:sz w:val="20"/>
              </w:rPr>
              <w:t xml:space="preserve"> </w:t>
            </w:r>
            <w:r w:rsidRPr="003618E2">
              <w:rPr>
                <w:sz w:val="20"/>
              </w:rPr>
              <w:t>11</w:t>
            </w:r>
            <w:r w:rsidR="00D136BB">
              <w:rPr>
                <w:sz w:val="20"/>
              </w:rPr>
              <w:t xml:space="preserve"> </w:t>
            </w:r>
            <w:r w:rsidRPr="003618E2">
              <w:rPr>
                <w:sz w:val="20"/>
              </w:rPr>
              <w:t>kCi</w:t>
            </w:r>
            <w:r w:rsidR="00D136BB">
              <w:rPr>
                <w:sz w:val="20"/>
              </w:rPr>
              <w:t xml:space="preserve"> </w:t>
            </w:r>
            <w:r w:rsidRPr="003618E2">
              <w:rPr>
                <w:sz w:val="20"/>
              </w:rPr>
              <w:t>SENASA</w:t>
            </w:r>
          </w:p>
        </w:tc>
        <w:tc>
          <w:tcPr>
            <w:tcW w:w="1418" w:type="dxa"/>
            <w:tcBorders>
              <w:top w:val="single" w:sz="4" w:space="0" w:color="auto"/>
              <w:left w:val="nil"/>
              <w:bottom w:val="single" w:sz="4" w:space="0" w:color="auto"/>
              <w:right w:val="single" w:sz="4" w:space="0" w:color="auto"/>
            </w:tcBorders>
            <w:vAlign w:val="center"/>
            <w:hideMark/>
          </w:tcPr>
          <w:p w14:paraId="5DB906C0" w14:textId="2E2A8985" w:rsidR="006D362C" w:rsidRPr="003618E2" w:rsidRDefault="006D362C" w:rsidP="00D136BB">
            <w:pPr>
              <w:pStyle w:val="BodyText"/>
              <w:rPr>
                <w:sz w:val="20"/>
                <w:lang w:val="es-MX"/>
              </w:rPr>
            </w:pPr>
            <w:r w:rsidRPr="003618E2">
              <w:rPr>
                <w:sz w:val="20"/>
                <w:lang w:val="es-MX"/>
              </w:rPr>
              <w:t>Moscas</w:t>
            </w:r>
            <w:r w:rsidR="00D136BB">
              <w:rPr>
                <w:sz w:val="20"/>
                <w:lang w:val="es-MX"/>
              </w:rPr>
              <w:t xml:space="preserve"> </w:t>
            </w:r>
            <w:r w:rsidRPr="003618E2">
              <w:rPr>
                <w:sz w:val="20"/>
                <w:lang w:val="es-MX"/>
              </w:rPr>
              <w:t>y</w:t>
            </w:r>
            <w:r w:rsidR="00D136BB">
              <w:rPr>
                <w:sz w:val="20"/>
                <w:lang w:val="es-MX"/>
              </w:rPr>
              <w:t xml:space="preserve"> </w:t>
            </w:r>
            <w:r w:rsidRPr="003618E2">
              <w:rPr>
                <w:sz w:val="20"/>
                <w:lang w:val="es-MX"/>
              </w:rPr>
              <w:t>servicios</w:t>
            </w:r>
          </w:p>
        </w:tc>
        <w:tc>
          <w:tcPr>
            <w:tcW w:w="1561" w:type="dxa"/>
            <w:tcBorders>
              <w:top w:val="single" w:sz="4" w:space="0" w:color="auto"/>
              <w:left w:val="nil"/>
              <w:bottom w:val="single" w:sz="4" w:space="0" w:color="auto"/>
              <w:right w:val="single" w:sz="4" w:space="0" w:color="auto"/>
            </w:tcBorders>
            <w:noWrap/>
            <w:vAlign w:val="center"/>
            <w:hideMark/>
          </w:tcPr>
          <w:p w14:paraId="1E44D41C" w14:textId="2D3F56DB" w:rsidR="006D362C" w:rsidRPr="003618E2" w:rsidRDefault="006D362C" w:rsidP="00D136BB">
            <w:pPr>
              <w:pStyle w:val="BodyText"/>
              <w:rPr>
                <w:sz w:val="20"/>
                <w:lang w:val="es-MX"/>
              </w:rPr>
            </w:pPr>
            <w:r w:rsidRPr="003618E2">
              <w:rPr>
                <w:sz w:val="20"/>
                <w:lang w:val="es-MX"/>
              </w:rPr>
              <w:t>Gafchromic,</w:t>
            </w:r>
            <w:r w:rsidR="00D136BB">
              <w:rPr>
                <w:sz w:val="20"/>
                <w:lang w:val="es-MX"/>
              </w:rPr>
              <w:t xml:space="preserve"> </w:t>
            </w:r>
            <w:r w:rsidRPr="003618E2">
              <w:rPr>
                <w:sz w:val="20"/>
                <w:lang w:val="es-MX"/>
              </w:rPr>
              <w:t>Fricke</w:t>
            </w:r>
          </w:p>
        </w:tc>
        <w:tc>
          <w:tcPr>
            <w:tcW w:w="1137" w:type="dxa"/>
            <w:tcBorders>
              <w:top w:val="single" w:sz="4" w:space="0" w:color="auto"/>
              <w:left w:val="nil"/>
              <w:bottom w:val="single" w:sz="4" w:space="0" w:color="auto"/>
              <w:right w:val="single" w:sz="4" w:space="0" w:color="auto"/>
            </w:tcBorders>
            <w:vAlign w:val="center"/>
            <w:hideMark/>
          </w:tcPr>
          <w:p w14:paraId="518A0046" w14:textId="77777777" w:rsidR="006D362C" w:rsidRPr="003618E2" w:rsidRDefault="006D362C" w:rsidP="00D136BB">
            <w:pPr>
              <w:pStyle w:val="BodyText"/>
              <w:rPr>
                <w:sz w:val="20"/>
                <w:lang w:val="es-MX"/>
              </w:rPr>
            </w:pPr>
            <w:r w:rsidRPr="003618E2">
              <w:rPr>
                <w:sz w:val="20"/>
                <w:lang w:val="es-MX"/>
              </w:rPr>
              <w:t>Fricke</w:t>
            </w:r>
          </w:p>
        </w:tc>
        <w:tc>
          <w:tcPr>
            <w:tcW w:w="1134" w:type="dxa"/>
            <w:tcBorders>
              <w:top w:val="single" w:sz="4" w:space="0" w:color="auto"/>
              <w:left w:val="nil"/>
              <w:bottom w:val="single" w:sz="4" w:space="0" w:color="auto"/>
              <w:right w:val="single" w:sz="4" w:space="0" w:color="auto"/>
            </w:tcBorders>
            <w:vAlign w:val="center"/>
            <w:hideMark/>
          </w:tcPr>
          <w:p w14:paraId="36396FEC"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noWrap/>
            <w:vAlign w:val="center"/>
            <w:hideMark/>
          </w:tcPr>
          <w:p w14:paraId="54877930" w14:textId="77777777" w:rsidR="006D362C" w:rsidRPr="003618E2" w:rsidRDefault="006D362C" w:rsidP="00D136BB">
            <w:pPr>
              <w:pStyle w:val="BodyText"/>
              <w:rPr>
                <w:sz w:val="20"/>
                <w:lang w:val="es-MX"/>
              </w:rPr>
            </w:pPr>
            <w:r w:rsidRPr="003618E2">
              <w:rPr>
                <w:sz w:val="20"/>
                <w:lang w:val="es-MX"/>
              </w:rPr>
              <w:t>No</w:t>
            </w:r>
          </w:p>
        </w:tc>
      </w:tr>
      <w:tr w:rsidR="006D362C" w:rsidRPr="003618E2" w14:paraId="64958C3E" w14:textId="77777777" w:rsidTr="00D136BB">
        <w:trPr>
          <w:trHeight w:val="808"/>
          <w:jc w:val="center"/>
        </w:trPr>
        <w:tc>
          <w:tcPr>
            <w:tcW w:w="1272" w:type="dxa"/>
            <w:vMerge/>
            <w:tcBorders>
              <w:left w:val="double" w:sz="4" w:space="0" w:color="auto"/>
              <w:right w:val="single" w:sz="4" w:space="0" w:color="auto"/>
            </w:tcBorders>
            <w:shd w:val="clear" w:color="auto" w:fill="FF81AB"/>
            <w:noWrap/>
            <w:vAlign w:val="center"/>
            <w:hideMark/>
          </w:tcPr>
          <w:p w14:paraId="186BEAA9"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F161980" w14:textId="5FE24C46" w:rsidR="006D362C" w:rsidRPr="003618E2" w:rsidRDefault="006D362C" w:rsidP="00D136BB">
            <w:pPr>
              <w:pStyle w:val="BodyText"/>
              <w:rPr>
                <w:sz w:val="20"/>
                <w:lang w:val="es-MX"/>
              </w:rPr>
            </w:pPr>
            <w:r w:rsidRPr="003618E2">
              <w:rPr>
                <w:sz w:val="20"/>
                <w:lang w:val="es-MX"/>
              </w:rPr>
              <w:t>Shepherd</w:t>
            </w:r>
            <w:r w:rsidR="00D136BB">
              <w:rPr>
                <w:sz w:val="20"/>
                <w:lang w:val="es-MX"/>
              </w:rPr>
              <w:t xml:space="preserve"> </w:t>
            </w:r>
            <w:r w:rsidRPr="003618E2">
              <w:rPr>
                <w:sz w:val="20"/>
                <w:lang w:val="es-MX"/>
              </w:rPr>
              <w:t>&amp;</w:t>
            </w:r>
            <w:r w:rsidR="00D136BB">
              <w:rPr>
                <w:sz w:val="20"/>
                <w:lang w:val="es-MX"/>
              </w:rPr>
              <w:t xml:space="preserve"> </w:t>
            </w:r>
            <w:r w:rsidRPr="003618E2">
              <w:rPr>
                <w:sz w:val="20"/>
                <w:lang w:val="es-MX"/>
              </w:rPr>
              <w:t>Associates</w:t>
            </w:r>
            <w:r w:rsidR="00D136BB">
              <w:rPr>
                <w:sz w:val="20"/>
                <w:lang w:val="es-MX"/>
              </w:rPr>
              <w:t xml:space="preserve"> </w:t>
            </w:r>
            <w:r w:rsidRPr="003618E2">
              <w:rPr>
                <w:sz w:val="20"/>
                <w:lang w:val="es-MX"/>
              </w:rPr>
              <w:t>Mod</w:t>
            </w:r>
            <w:r w:rsidR="00D136BB">
              <w:rPr>
                <w:sz w:val="20"/>
                <w:lang w:val="es-MX"/>
              </w:rPr>
              <w:t xml:space="preserve"> </w:t>
            </w:r>
            <w:r w:rsidRPr="003618E2">
              <w:rPr>
                <w:sz w:val="20"/>
                <w:lang w:val="es-MX"/>
              </w:rPr>
              <w:t>109-68,</w:t>
            </w:r>
            <w:r w:rsidR="00D136BB">
              <w:rPr>
                <w:sz w:val="20"/>
                <w:lang w:val="es-MX"/>
              </w:rPr>
              <w:t xml:space="preserve"> </w:t>
            </w:r>
            <w:r w:rsidRPr="003618E2">
              <w:rPr>
                <w:sz w:val="20"/>
                <w:lang w:val="es-MX"/>
              </w:rPr>
              <w:t>5.2</w:t>
            </w:r>
            <w:r w:rsidR="00D136BB">
              <w:rPr>
                <w:sz w:val="20"/>
                <w:lang w:val="es-MX"/>
              </w:rPr>
              <w:t xml:space="preserve"> </w:t>
            </w:r>
            <w:r w:rsidRPr="003618E2">
              <w:rPr>
                <w:sz w:val="20"/>
                <w:lang w:val="es-MX"/>
              </w:rPr>
              <w:t>kCi</w:t>
            </w:r>
          </w:p>
        </w:tc>
        <w:tc>
          <w:tcPr>
            <w:tcW w:w="1418" w:type="dxa"/>
            <w:tcBorders>
              <w:top w:val="single" w:sz="4" w:space="0" w:color="auto"/>
              <w:left w:val="nil"/>
              <w:bottom w:val="single" w:sz="4" w:space="0" w:color="auto"/>
              <w:right w:val="single" w:sz="4" w:space="0" w:color="auto"/>
            </w:tcBorders>
            <w:noWrap/>
            <w:vAlign w:val="center"/>
            <w:hideMark/>
          </w:tcPr>
          <w:p w14:paraId="0DDD47FA" w14:textId="77777777" w:rsidR="006D362C" w:rsidRPr="003618E2" w:rsidRDefault="006D362C" w:rsidP="00D136BB">
            <w:pPr>
              <w:pStyle w:val="BodyText"/>
              <w:rPr>
                <w:sz w:val="20"/>
                <w:lang w:val="es-MX"/>
              </w:rPr>
            </w:pPr>
            <w:r w:rsidRPr="003618E2">
              <w:rPr>
                <w:sz w:val="20"/>
                <w:lang w:val="es-MX"/>
              </w:rPr>
              <w:t>Moscas</w:t>
            </w:r>
          </w:p>
        </w:tc>
        <w:tc>
          <w:tcPr>
            <w:tcW w:w="1561" w:type="dxa"/>
            <w:tcBorders>
              <w:top w:val="single" w:sz="4" w:space="0" w:color="auto"/>
              <w:left w:val="nil"/>
              <w:bottom w:val="single" w:sz="4" w:space="0" w:color="auto"/>
              <w:right w:val="single" w:sz="4" w:space="0" w:color="auto"/>
            </w:tcBorders>
            <w:noWrap/>
            <w:vAlign w:val="center"/>
            <w:hideMark/>
          </w:tcPr>
          <w:p w14:paraId="7D1EFAB0" w14:textId="7B112F88" w:rsidR="006D362C" w:rsidRPr="003618E2" w:rsidRDefault="006D362C" w:rsidP="00D136BB">
            <w:pPr>
              <w:pStyle w:val="BodyText"/>
              <w:rPr>
                <w:sz w:val="20"/>
                <w:lang w:val="es-MX"/>
              </w:rPr>
            </w:pPr>
            <w:r w:rsidRPr="003618E2">
              <w:rPr>
                <w:sz w:val="20"/>
                <w:lang w:val="es-MX"/>
              </w:rPr>
              <w:t>Gafchromic,</w:t>
            </w:r>
            <w:r w:rsidR="00D136BB">
              <w:rPr>
                <w:sz w:val="20"/>
                <w:lang w:val="es-MX"/>
              </w:rPr>
              <w:t xml:space="preserve"> </w:t>
            </w:r>
            <w:r w:rsidRPr="003618E2">
              <w:rPr>
                <w:sz w:val="20"/>
                <w:lang w:val="es-MX"/>
              </w:rPr>
              <w:t>Fricke</w:t>
            </w:r>
          </w:p>
        </w:tc>
        <w:tc>
          <w:tcPr>
            <w:tcW w:w="1137" w:type="dxa"/>
            <w:tcBorders>
              <w:top w:val="single" w:sz="4" w:space="0" w:color="auto"/>
              <w:left w:val="nil"/>
              <w:bottom w:val="single" w:sz="4" w:space="0" w:color="auto"/>
              <w:right w:val="single" w:sz="4" w:space="0" w:color="auto"/>
            </w:tcBorders>
            <w:vAlign w:val="center"/>
            <w:hideMark/>
          </w:tcPr>
          <w:p w14:paraId="28842CF9" w14:textId="77777777" w:rsidR="006D362C" w:rsidRPr="003618E2" w:rsidRDefault="006D362C" w:rsidP="00D136BB">
            <w:pPr>
              <w:pStyle w:val="BodyText"/>
              <w:rPr>
                <w:sz w:val="20"/>
                <w:lang w:val="es-MX"/>
              </w:rPr>
            </w:pPr>
            <w:r w:rsidRPr="003618E2">
              <w:rPr>
                <w:sz w:val="20"/>
                <w:lang w:val="es-MX"/>
              </w:rPr>
              <w:t>Fricke</w:t>
            </w:r>
          </w:p>
        </w:tc>
        <w:tc>
          <w:tcPr>
            <w:tcW w:w="1134" w:type="dxa"/>
            <w:tcBorders>
              <w:top w:val="single" w:sz="4" w:space="0" w:color="auto"/>
              <w:left w:val="nil"/>
              <w:bottom w:val="single" w:sz="4" w:space="0" w:color="auto"/>
              <w:right w:val="single" w:sz="4" w:space="0" w:color="auto"/>
            </w:tcBorders>
            <w:vAlign w:val="center"/>
            <w:hideMark/>
          </w:tcPr>
          <w:p w14:paraId="71BE09D2"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noWrap/>
            <w:vAlign w:val="center"/>
            <w:hideMark/>
          </w:tcPr>
          <w:p w14:paraId="228BB46D" w14:textId="77777777" w:rsidR="006D362C" w:rsidRPr="003618E2" w:rsidRDefault="006D362C" w:rsidP="00D136BB">
            <w:pPr>
              <w:pStyle w:val="BodyText"/>
              <w:rPr>
                <w:sz w:val="20"/>
                <w:lang w:val="es-MX"/>
              </w:rPr>
            </w:pPr>
            <w:r w:rsidRPr="003618E2">
              <w:rPr>
                <w:sz w:val="20"/>
                <w:lang w:val="es-MX"/>
              </w:rPr>
              <w:t>No</w:t>
            </w:r>
          </w:p>
        </w:tc>
      </w:tr>
      <w:tr w:rsidR="006D362C" w:rsidRPr="003618E2" w14:paraId="139CD146" w14:textId="77777777" w:rsidTr="00D136BB">
        <w:trPr>
          <w:trHeight w:val="510"/>
          <w:jc w:val="center"/>
        </w:trPr>
        <w:tc>
          <w:tcPr>
            <w:tcW w:w="1272" w:type="dxa"/>
            <w:vMerge/>
            <w:tcBorders>
              <w:left w:val="double" w:sz="4" w:space="0" w:color="auto"/>
              <w:right w:val="single" w:sz="4" w:space="0" w:color="auto"/>
            </w:tcBorders>
            <w:shd w:val="clear" w:color="auto" w:fill="FF81AB"/>
            <w:noWrap/>
            <w:vAlign w:val="center"/>
            <w:hideMark/>
          </w:tcPr>
          <w:p w14:paraId="58320DC6"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3474A50" w14:textId="331A0616" w:rsidR="006D362C" w:rsidRPr="003618E2" w:rsidRDefault="006D362C" w:rsidP="00D136BB">
            <w:pPr>
              <w:pStyle w:val="BodyText"/>
              <w:rPr>
                <w:sz w:val="20"/>
                <w:lang w:val="es-MX"/>
              </w:rPr>
            </w:pPr>
            <w:r w:rsidRPr="003618E2">
              <w:rPr>
                <w:sz w:val="20"/>
                <w:lang w:val="es-MX"/>
              </w:rPr>
              <w:t>Shepherd</w:t>
            </w:r>
            <w:r w:rsidR="00D136BB">
              <w:rPr>
                <w:sz w:val="20"/>
                <w:lang w:val="es-MX"/>
              </w:rPr>
              <w:t xml:space="preserve"> </w:t>
            </w:r>
            <w:r w:rsidRPr="003618E2">
              <w:rPr>
                <w:sz w:val="20"/>
                <w:lang w:val="es-MX"/>
              </w:rPr>
              <w:t>&amp;</w:t>
            </w:r>
            <w:r w:rsidR="00D136BB">
              <w:rPr>
                <w:sz w:val="20"/>
                <w:lang w:val="es-MX"/>
              </w:rPr>
              <w:t xml:space="preserve"> </w:t>
            </w:r>
            <w:r w:rsidRPr="003618E2">
              <w:rPr>
                <w:sz w:val="20"/>
                <w:lang w:val="es-MX"/>
              </w:rPr>
              <w:t>Asociates</w:t>
            </w:r>
            <w:r w:rsidR="00D136BB">
              <w:rPr>
                <w:sz w:val="20"/>
                <w:lang w:val="es-MX"/>
              </w:rPr>
              <w:t xml:space="preserve"> </w:t>
            </w:r>
            <w:r w:rsidRPr="003618E2">
              <w:rPr>
                <w:sz w:val="20"/>
                <w:lang w:val="es-MX"/>
              </w:rPr>
              <w:t>Mod</w:t>
            </w:r>
            <w:r w:rsidR="00D136BB">
              <w:rPr>
                <w:sz w:val="20"/>
                <w:lang w:val="es-MX"/>
              </w:rPr>
              <w:t xml:space="preserve"> </w:t>
            </w:r>
            <w:r w:rsidRPr="003618E2">
              <w:rPr>
                <w:sz w:val="20"/>
                <w:lang w:val="es-MX"/>
              </w:rPr>
              <w:t>109-68,</w:t>
            </w:r>
            <w:r w:rsidR="00D136BB">
              <w:rPr>
                <w:sz w:val="20"/>
                <w:lang w:val="es-MX"/>
              </w:rPr>
              <w:t xml:space="preserve"> </w:t>
            </w:r>
            <w:r w:rsidRPr="003618E2">
              <w:rPr>
                <w:sz w:val="20"/>
                <w:lang w:val="es-MX"/>
              </w:rPr>
              <w:t>4.4</w:t>
            </w:r>
            <w:r w:rsidR="00D136BB">
              <w:rPr>
                <w:sz w:val="20"/>
                <w:lang w:val="es-MX"/>
              </w:rPr>
              <w:t xml:space="preserve"> </w:t>
            </w:r>
            <w:r w:rsidRPr="003618E2">
              <w:rPr>
                <w:sz w:val="20"/>
                <w:lang w:val="es-MX"/>
              </w:rPr>
              <w:t>kCi</w:t>
            </w:r>
          </w:p>
        </w:tc>
        <w:tc>
          <w:tcPr>
            <w:tcW w:w="1418" w:type="dxa"/>
            <w:tcBorders>
              <w:top w:val="single" w:sz="4" w:space="0" w:color="auto"/>
              <w:left w:val="nil"/>
              <w:bottom w:val="single" w:sz="4" w:space="0" w:color="auto"/>
              <w:right w:val="single" w:sz="4" w:space="0" w:color="auto"/>
            </w:tcBorders>
            <w:noWrap/>
            <w:vAlign w:val="center"/>
            <w:hideMark/>
          </w:tcPr>
          <w:p w14:paraId="30FA8953" w14:textId="77777777" w:rsidR="006D362C" w:rsidRPr="003618E2" w:rsidRDefault="006D362C" w:rsidP="00D136BB">
            <w:pPr>
              <w:pStyle w:val="BodyText"/>
              <w:rPr>
                <w:sz w:val="20"/>
                <w:lang w:val="es-MX"/>
              </w:rPr>
            </w:pPr>
            <w:r w:rsidRPr="003618E2">
              <w:rPr>
                <w:sz w:val="20"/>
                <w:lang w:val="es-MX"/>
              </w:rPr>
              <w:t>Moscas</w:t>
            </w:r>
          </w:p>
        </w:tc>
        <w:tc>
          <w:tcPr>
            <w:tcW w:w="1561" w:type="dxa"/>
            <w:tcBorders>
              <w:top w:val="single" w:sz="4" w:space="0" w:color="auto"/>
              <w:left w:val="nil"/>
              <w:bottom w:val="single" w:sz="4" w:space="0" w:color="auto"/>
              <w:right w:val="single" w:sz="4" w:space="0" w:color="auto"/>
            </w:tcBorders>
            <w:noWrap/>
            <w:vAlign w:val="center"/>
            <w:hideMark/>
          </w:tcPr>
          <w:p w14:paraId="1672F9B7" w14:textId="221D89D1" w:rsidR="006D362C" w:rsidRPr="003618E2" w:rsidRDefault="006D362C" w:rsidP="00D136BB">
            <w:pPr>
              <w:pStyle w:val="BodyText"/>
              <w:rPr>
                <w:sz w:val="20"/>
                <w:lang w:val="es-MX"/>
              </w:rPr>
            </w:pPr>
            <w:r w:rsidRPr="003618E2">
              <w:rPr>
                <w:sz w:val="20"/>
                <w:lang w:val="es-MX"/>
              </w:rPr>
              <w:t>Gafchromic,</w:t>
            </w:r>
            <w:r w:rsidR="00D136BB">
              <w:rPr>
                <w:sz w:val="20"/>
                <w:lang w:val="es-MX"/>
              </w:rPr>
              <w:t xml:space="preserve"> </w:t>
            </w:r>
            <w:r w:rsidRPr="003618E2">
              <w:rPr>
                <w:sz w:val="20"/>
                <w:lang w:val="es-MX"/>
              </w:rPr>
              <w:t>Fricke</w:t>
            </w:r>
          </w:p>
        </w:tc>
        <w:tc>
          <w:tcPr>
            <w:tcW w:w="1137" w:type="dxa"/>
            <w:tcBorders>
              <w:top w:val="single" w:sz="4" w:space="0" w:color="auto"/>
              <w:left w:val="nil"/>
              <w:bottom w:val="single" w:sz="4" w:space="0" w:color="auto"/>
              <w:right w:val="single" w:sz="4" w:space="0" w:color="auto"/>
            </w:tcBorders>
            <w:vAlign w:val="center"/>
            <w:hideMark/>
          </w:tcPr>
          <w:p w14:paraId="53E29CAC" w14:textId="77777777" w:rsidR="006D362C" w:rsidRPr="003618E2" w:rsidRDefault="006D362C" w:rsidP="00D136BB">
            <w:pPr>
              <w:pStyle w:val="BodyText"/>
              <w:rPr>
                <w:sz w:val="20"/>
                <w:lang w:val="es-MX"/>
              </w:rPr>
            </w:pPr>
            <w:r w:rsidRPr="003618E2">
              <w:rPr>
                <w:sz w:val="20"/>
                <w:lang w:val="es-MX"/>
              </w:rPr>
              <w:t>Fricke</w:t>
            </w:r>
          </w:p>
        </w:tc>
        <w:tc>
          <w:tcPr>
            <w:tcW w:w="1134" w:type="dxa"/>
            <w:tcBorders>
              <w:top w:val="single" w:sz="4" w:space="0" w:color="auto"/>
              <w:left w:val="nil"/>
              <w:bottom w:val="single" w:sz="4" w:space="0" w:color="auto"/>
              <w:right w:val="single" w:sz="4" w:space="0" w:color="auto"/>
            </w:tcBorders>
            <w:vAlign w:val="center"/>
            <w:hideMark/>
          </w:tcPr>
          <w:p w14:paraId="37A15F5B"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single" w:sz="4" w:space="0" w:color="auto"/>
              <w:right w:val="double" w:sz="4" w:space="0" w:color="auto"/>
            </w:tcBorders>
            <w:noWrap/>
            <w:vAlign w:val="center"/>
            <w:hideMark/>
          </w:tcPr>
          <w:p w14:paraId="44D3FCFA" w14:textId="77777777" w:rsidR="006D362C" w:rsidRPr="003618E2" w:rsidRDefault="006D362C" w:rsidP="00D136BB">
            <w:pPr>
              <w:pStyle w:val="BodyText"/>
              <w:rPr>
                <w:sz w:val="20"/>
                <w:lang w:val="es-MX"/>
              </w:rPr>
            </w:pPr>
            <w:r w:rsidRPr="003618E2">
              <w:rPr>
                <w:sz w:val="20"/>
                <w:lang w:val="es-MX"/>
              </w:rPr>
              <w:t>No</w:t>
            </w:r>
          </w:p>
        </w:tc>
      </w:tr>
      <w:tr w:rsidR="006D362C" w:rsidRPr="003618E2" w14:paraId="630A940D" w14:textId="77777777" w:rsidTr="00D136BB">
        <w:trPr>
          <w:trHeight w:val="389"/>
          <w:jc w:val="center"/>
        </w:trPr>
        <w:tc>
          <w:tcPr>
            <w:tcW w:w="1272" w:type="dxa"/>
            <w:vMerge/>
            <w:tcBorders>
              <w:left w:val="double" w:sz="4" w:space="0" w:color="auto"/>
              <w:bottom w:val="double" w:sz="4" w:space="0" w:color="auto"/>
              <w:right w:val="single" w:sz="4" w:space="0" w:color="auto"/>
            </w:tcBorders>
            <w:shd w:val="clear" w:color="auto" w:fill="FF81AB"/>
            <w:noWrap/>
            <w:vAlign w:val="center"/>
            <w:hideMark/>
          </w:tcPr>
          <w:p w14:paraId="021524BA"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double" w:sz="4" w:space="0" w:color="auto"/>
              <w:right w:val="single" w:sz="4" w:space="0" w:color="auto"/>
            </w:tcBorders>
            <w:vAlign w:val="center"/>
            <w:hideMark/>
          </w:tcPr>
          <w:p w14:paraId="002EB330" w14:textId="25FC8B56" w:rsidR="006D362C" w:rsidRPr="003618E2" w:rsidRDefault="006D362C" w:rsidP="00D136BB">
            <w:pPr>
              <w:pStyle w:val="BodyText"/>
              <w:rPr>
                <w:sz w:val="20"/>
                <w:lang w:val="es-MX"/>
              </w:rPr>
            </w:pPr>
            <w:r w:rsidRPr="003618E2">
              <w:rPr>
                <w:sz w:val="20"/>
                <w:lang w:val="es-MX"/>
              </w:rPr>
              <w:t>Cs</w:t>
            </w:r>
            <w:r w:rsidR="00D136BB">
              <w:rPr>
                <w:sz w:val="20"/>
                <w:lang w:val="es-MX"/>
              </w:rPr>
              <w:t xml:space="preserve"> </w:t>
            </w:r>
            <w:r w:rsidRPr="003618E2">
              <w:rPr>
                <w:sz w:val="20"/>
                <w:lang w:val="es-MX"/>
              </w:rPr>
              <w:t>137,</w:t>
            </w:r>
            <w:r w:rsidR="00D136BB">
              <w:rPr>
                <w:sz w:val="20"/>
                <w:lang w:val="es-MX"/>
              </w:rPr>
              <w:t xml:space="preserve"> </w:t>
            </w:r>
            <w:r w:rsidRPr="003618E2">
              <w:rPr>
                <w:sz w:val="20"/>
                <w:lang w:val="es-MX"/>
              </w:rPr>
              <w:t>9.6</w:t>
            </w:r>
            <w:r w:rsidR="00D136BB">
              <w:rPr>
                <w:sz w:val="20"/>
                <w:lang w:val="es-MX"/>
              </w:rPr>
              <w:t xml:space="preserve"> </w:t>
            </w:r>
            <w:r w:rsidRPr="003618E2">
              <w:rPr>
                <w:sz w:val="20"/>
                <w:lang w:val="es-MX"/>
              </w:rPr>
              <w:t>kCi</w:t>
            </w:r>
          </w:p>
        </w:tc>
        <w:tc>
          <w:tcPr>
            <w:tcW w:w="1418" w:type="dxa"/>
            <w:tcBorders>
              <w:top w:val="single" w:sz="4" w:space="0" w:color="auto"/>
              <w:left w:val="nil"/>
              <w:bottom w:val="double" w:sz="4" w:space="0" w:color="auto"/>
              <w:right w:val="single" w:sz="4" w:space="0" w:color="auto"/>
            </w:tcBorders>
            <w:noWrap/>
            <w:vAlign w:val="center"/>
            <w:hideMark/>
          </w:tcPr>
          <w:p w14:paraId="1A9CF416" w14:textId="77777777" w:rsidR="006D362C" w:rsidRPr="003618E2" w:rsidRDefault="006D362C" w:rsidP="00D136BB">
            <w:pPr>
              <w:pStyle w:val="BodyText"/>
              <w:rPr>
                <w:sz w:val="20"/>
                <w:lang w:val="es-MX"/>
              </w:rPr>
            </w:pPr>
            <w:r w:rsidRPr="003618E2">
              <w:rPr>
                <w:sz w:val="20"/>
                <w:lang w:val="es-MX"/>
              </w:rPr>
              <w:t>Moscas</w:t>
            </w:r>
          </w:p>
        </w:tc>
        <w:tc>
          <w:tcPr>
            <w:tcW w:w="1561" w:type="dxa"/>
            <w:tcBorders>
              <w:top w:val="single" w:sz="4" w:space="0" w:color="auto"/>
              <w:left w:val="nil"/>
              <w:bottom w:val="double" w:sz="4" w:space="0" w:color="auto"/>
              <w:right w:val="single" w:sz="4" w:space="0" w:color="auto"/>
            </w:tcBorders>
            <w:noWrap/>
            <w:vAlign w:val="center"/>
            <w:hideMark/>
          </w:tcPr>
          <w:p w14:paraId="124CAA95" w14:textId="77777777" w:rsidR="006D362C" w:rsidRPr="003618E2" w:rsidRDefault="006D362C" w:rsidP="00D136BB">
            <w:pPr>
              <w:pStyle w:val="BodyText"/>
              <w:rPr>
                <w:sz w:val="20"/>
                <w:lang w:val="es-MX"/>
              </w:rPr>
            </w:pPr>
          </w:p>
        </w:tc>
        <w:tc>
          <w:tcPr>
            <w:tcW w:w="1137" w:type="dxa"/>
            <w:tcBorders>
              <w:top w:val="single" w:sz="4" w:space="0" w:color="auto"/>
              <w:left w:val="nil"/>
              <w:bottom w:val="double" w:sz="4" w:space="0" w:color="auto"/>
              <w:right w:val="single" w:sz="4" w:space="0" w:color="auto"/>
            </w:tcBorders>
            <w:vAlign w:val="center"/>
            <w:hideMark/>
          </w:tcPr>
          <w:p w14:paraId="2238E15C" w14:textId="77777777" w:rsidR="006D362C" w:rsidRPr="003618E2" w:rsidRDefault="006D362C" w:rsidP="00D136BB">
            <w:pPr>
              <w:pStyle w:val="BodyText"/>
              <w:rPr>
                <w:sz w:val="20"/>
                <w:lang w:val="es-MX"/>
              </w:rPr>
            </w:pPr>
            <w:r w:rsidRPr="003618E2">
              <w:rPr>
                <w:sz w:val="20"/>
                <w:lang w:val="es-MX"/>
              </w:rPr>
              <w:t>Fricke</w:t>
            </w:r>
          </w:p>
        </w:tc>
        <w:tc>
          <w:tcPr>
            <w:tcW w:w="1134" w:type="dxa"/>
            <w:tcBorders>
              <w:top w:val="single" w:sz="4" w:space="0" w:color="auto"/>
              <w:left w:val="nil"/>
              <w:bottom w:val="double" w:sz="4" w:space="0" w:color="auto"/>
              <w:right w:val="single" w:sz="4" w:space="0" w:color="auto"/>
            </w:tcBorders>
            <w:vAlign w:val="center"/>
            <w:hideMark/>
          </w:tcPr>
          <w:p w14:paraId="7B2A47FB" w14:textId="77777777" w:rsidR="006D362C" w:rsidRPr="003618E2" w:rsidRDefault="006D362C" w:rsidP="00D136BB">
            <w:pPr>
              <w:pStyle w:val="BodyText"/>
              <w:rPr>
                <w:sz w:val="20"/>
                <w:lang w:val="es-MX"/>
              </w:rPr>
            </w:pPr>
            <w:r w:rsidRPr="003618E2">
              <w:rPr>
                <w:sz w:val="20"/>
                <w:lang w:val="es-MX"/>
              </w:rPr>
              <w:t>No</w:t>
            </w:r>
          </w:p>
        </w:tc>
        <w:tc>
          <w:tcPr>
            <w:tcW w:w="1134" w:type="dxa"/>
            <w:tcBorders>
              <w:top w:val="single" w:sz="4" w:space="0" w:color="auto"/>
              <w:left w:val="nil"/>
              <w:bottom w:val="double" w:sz="4" w:space="0" w:color="auto"/>
              <w:right w:val="double" w:sz="4" w:space="0" w:color="auto"/>
            </w:tcBorders>
            <w:noWrap/>
            <w:vAlign w:val="center"/>
            <w:hideMark/>
          </w:tcPr>
          <w:p w14:paraId="201865EA" w14:textId="77777777" w:rsidR="006D362C" w:rsidRPr="003618E2" w:rsidRDefault="006D362C" w:rsidP="00D136BB">
            <w:pPr>
              <w:pStyle w:val="BodyText"/>
              <w:rPr>
                <w:sz w:val="20"/>
                <w:lang w:val="es-MX"/>
              </w:rPr>
            </w:pPr>
            <w:r w:rsidRPr="003618E2">
              <w:rPr>
                <w:sz w:val="20"/>
                <w:lang w:val="es-MX"/>
              </w:rPr>
              <w:t>No</w:t>
            </w:r>
          </w:p>
        </w:tc>
      </w:tr>
      <w:tr w:rsidR="006D362C" w:rsidRPr="003618E2" w14:paraId="3AEC64CB" w14:textId="77777777" w:rsidTr="00D136BB">
        <w:trPr>
          <w:trHeight w:val="765"/>
          <w:jc w:val="center"/>
        </w:trPr>
        <w:tc>
          <w:tcPr>
            <w:tcW w:w="1272" w:type="dxa"/>
            <w:vMerge w:val="restart"/>
            <w:tcBorders>
              <w:top w:val="double" w:sz="4" w:space="0" w:color="auto"/>
              <w:left w:val="double" w:sz="4" w:space="0" w:color="auto"/>
              <w:right w:val="single" w:sz="4" w:space="0" w:color="auto"/>
            </w:tcBorders>
            <w:shd w:val="clear" w:color="auto" w:fill="FF81AB"/>
            <w:noWrap/>
            <w:vAlign w:val="center"/>
            <w:hideMark/>
          </w:tcPr>
          <w:p w14:paraId="27DEB2F5" w14:textId="77777777" w:rsidR="006D362C" w:rsidRPr="003618E2" w:rsidRDefault="006D362C" w:rsidP="00D136BB">
            <w:pPr>
              <w:pStyle w:val="BodyText"/>
              <w:rPr>
                <w:b/>
                <w:sz w:val="20"/>
                <w:lang w:val="es-ES"/>
              </w:rPr>
            </w:pPr>
            <w:r w:rsidRPr="003618E2">
              <w:rPr>
                <w:b/>
                <w:sz w:val="20"/>
                <w:lang w:val="es-ES"/>
              </w:rPr>
              <w:t>Uruguay</w:t>
            </w:r>
          </w:p>
        </w:tc>
        <w:tc>
          <w:tcPr>
            <w:tcW w:w="1701" w:type="dxa"/>
            <w:tcBorders>
              <w:top w:val="double" w:sz="4" w:space="0" w:color="auto"/>
              <w:left w:val="single" w:sz="4" w:space="0" w:color="auto"/>
              <w:bottom w:val="single" w:sz="4" w:space="0" w:color="auto"/>
              <w:right w:val="single" w:sz="4" w:space="0" w:color="auto"/>
            </w:tcBorders>
            <w:vAlign w:val="center"/>
            <w:hideMark/>
          </w:tcPr>
          <w:p w14:paraId="25841AA0" w14:textId="3B648919" w:rsidR="006D362C" w:rsidRPr="003618E2" w:rsidRDefault="006D362C" w:rsidP="00D136BB">
            <w:pPr>
              <w:pStyle w:val="BodyText"/>
              <w:rPr>
                <w:sz w:val="20"/>
                <w:lang w:val="es-MX"/>
              </w:rPr>
            </w:pPr>
            <w:r w:rsidRPr="003618E2">
              <w:rPr>
                <w:sz w:val="20"/>
                <w:lang w:val="es-MX"/>
              </w:rPr>
              <w:t>Equipo</w:t>
            </w:r>
            <w:r w:rsidR="00D136BB">
              <w:rPr>
                <w:sz w:val="20"/>
                <w:lang w:val="es-MX"/>
              </w:rPr>
              <w:t xml:space="preserve"> </w:t>
            </w:r>
            <w:r w:rsidRPr="003618E2">
              <w:rPr>
                <w:sz w:val="20"/>
                <w:lang w:val="es-MX"/>
              </w:rPr>
              <w:t>Co</w:t>
            </w:r>
            <w:r w:rsidR="00D136BB">
              <w:rPr>
                <w:sz w:val="20"/>
                <w:lang w:val="es-MX"/>
              </w:rPr>
              <w:t xml:space="preserve"> </w:t>
            </w:r>
            <w:r w:rsidRPr="003618E2">
              <w:rPr>
                <w:sz w:val="20"/>
                <w:lang w:val="es-MX"/>
              </w:rPr>
              <w:t>-60</w:t>
            </w:r>
            <w:r w:rsidR="00D136BB">
              <w:rPr>
                <w:sz w:val="20"/>
                <w:lang w:val="es-MX"/>
              </w:rPr>
              <w:t xml:space="preserve"> </w:t>
            </w:r>
            <w:r w:rsidRPr="003618E2">
              <w:rPr>
                <w:sz w:val="20"/>
                <w:lang w:val="es-MX"/>
              </w:rPr>
              <w:t>Experimental</w:t>
            </w:r>
            <w:r w:rsidR="00D136BB">
              <w:rPr>
                <w:sz w:val="20"/>
                <w:lang w:val="es-MX"/>
              </w:rPr>
              <w:t xml:space="preserve"> </w:t>
            </w:r>
            <w:r w:rsidRPr="003618E2">
              <w:rPr>
                <w:sz w:val="20"/>
                <w:lang w:val="es-MX"/>
              </w:rPr>
              <w:t>EMI</w:t>
            </w:r>
            <w:r w:rsidR="00D136BB">
              <w:rPr>
                <w:sz w:val="20"/>
                <w:lang w:val="es-MX"/>
              </w:rPr>
              <w:t xml:space="preserve"> </w:t>
            </w:r>
            <w:r w:rsidRPr="003618E2">
              <w:rPr>
                <w:sz w:val="20"/>
                <w:lang w:val="es-MX"/>
              </w:rPr>
              <w:t>9,</w:t>
            </w:r>
            <w:r w:rsidR="00D136BB">
              <w:rPr>
                <w:sz w:val="20"/>
                <w:lang w:val="es-MX"/>
              </w:rPr>
              <w:t xml:space="preserve"> </w:t>
            </w:r>
            <w:r w:rsidRPr="003618E2">
              <w:rPr>
                <w:sz w:val="20"/>
                <w:lang w:val="es-MX"/>
              </w:rPr>
              <w:t>80</w:t>
            </w:r>
            <w:r w:rsidR="00D136BB">
              <w:rPr>
                <w:sz w:val="20"/>
                <w:lang w:val="es-MX"/>
              </w:rPr>
              <w:t xml:space="preserve"> </w:t>
            </w:r>
            <w:r w:rsidRPr="003618E2">
              <w:rPr>
                <w:sz w:val="20"/>
                <w:lang w:val="es-MX"/>
              </w:rPr>
              <w:t>kCi</w:t>
            </w:r>
          </w:p>
        </w:tc>
        <w:tc>
          <w:tcPr>
            <w:tcW w:w="1418" w:type="dxa"/>
            <w:tcBorders>
              <w:top w:val="double" w:sz="4" w:space="0" w:color="auto"/>
              <w:left w:val="nil"/>
              <w:bottom w:val="single" w:sz="4" w:space="0" w:color="auto"/>
              <w:right w:val="single" w:sz="4" w:space="0" w:color="auto"/>
            </w:tcBorders>
            <w:vAlign w:val="center"/>
            <w:hideMark/>
          </w:tcPr>
          <w:p w14:paraId="57FE39C0" w14:textId="72E28BD3" w:rsidR="006D362C" w:rsidRPr="003618E2" w:rsidRDefault="006D362C" w:rsidP="00D136BB">
            <w:pPr>
              <w:pStyle w:val="BodyText"/>
              <w:rPr>
                <w:sz w:val="20"/>
                <w:lang w:val="es-MX"/>
              </w:rPr>
            </w:pPr>
            <w:r w:rsidRPr="003618E2">
              <w:rPr>
                <w:sz w:val="20"/>
                <w:lang w:val="es-MX"/>
              </w:rPr>
              <w:t>Puesta</w:t>
            </w:r>
            <w:r w:rsidR="00D136BB">
              <w:rPr>
                <w:sz w:val="20"/>
                <w:lang w:val="es-MX"/>
              </w:rPr>
              <w:t xml:space="preserve"> </w:t>
            </w:r>
            <w:r w:rsidRPr="003618E2">
              <w:rPr>
                <w:sz w:val="20"/>
                <w:lang w:val="es-MX"/>
              </w:rPr>
              <w:t>en</w:t>
            </w:r>
            <w:r w:rsidR="00D136BB">
              <w:rPr>
                <w:sz w:val="20"/>
                <w:lang w:val="es-MX"/>
              </w:rPr>
              <w:t xml:space="preserve"> </w:t>
            </w:r>
            <w:r w:rsidRPr="003618E2">
              <w:rPr>
                <w:sz w:val="20"/>
                <w:lang w:val="es-MX"/>
              </w:rPr>
              <w:t>marcha</w:t>
            </w:r>
            <w:r w:rsidR="00D136BB">
              <w:rPr>
                <w:sz w:val="20"/>
                <w:lang w:val="es-MX"/>
              </w:rPr>
              <w:t xml:space="preserve"> </w:t>
            </w:r>
            <w:r w:rsidRPr="003618E2">
              <w:rPr>
                <w:sz w:val="20"/>
                <w:lang w:val="es-MX"/>
              </w:rPr>
              <w:t>en</w:t>
            </w:r>
            <w:r w:rsidR="00D136BB">
              <w:rPr>
                <w:sz w:val="20"/>
                <w:lang w:val="es-MX"/>
              </w:rPr>
              <w:t xml:space="preserve"> </w:t>
            </w:r>
            <w:r w:rsidRPr="003618E2">
              <w:rPr>
                <w:sz w:val="20"/>
                <w:lang w:val="es-MX"/>
              </w:rPr>
              <w:t>julio</w:t>
            </w:r>
            <w:r w:rsidR="00D136BB">
              <w:rPr>
                <w:sz w:val="20"/>
                <w:lang w:val="es-MX"/>
              </w:rPr>
              <w:t xml:space="preserve"> </w:t>
            </w:r>
            <w:r w:rsidRPr="003618E2">
              <w:rPr>
                <w:sz w:val="20"/>
                <w:lang w:val="es-MX"/>
              </w:rPr>
              <w:t>2009</w:t>
            </w:r>
          </w:p>
        </w:tc>
        <w:tc>
          <w:tcPr>
            <w:tcW w:w="1561" w:type="dxa"/>
            <w:tcBorders>
              <w:top w:val="double" w:sz="4" w:space="0" w:color="auto"/>
              <w:left w:val="nil"/>
              <w:bottom w:val="single" w:sz="4" w:space="0" w:color="auto"/>
              <w:right w:val="single" w:sz="4" w:space="0" w:color="auto"/>
            </w:tcBorders>
            <w:noWrap/>
            <w:vAlign w:val="center"/>
            <w:hideMark/>
          </w:tcPr>
          <w:p w14:paraId="4EFA5B7B" w14:textId="3F0B293F" w:rsidR="006D362C" w:rsidRPr="003618E2" w:rsidRDefault="006D362C" w:rsidP="00D136BB">
            <w:pPr>
              <w:pStyle w:val="BodyText"/>
              <w:rPr>
                <w:sz w:val="20"/>
                <w:lang w:val="es-MX"/>
              </w:rPr>
            </w:pPr>
            <w:r w:rsidRPr="003618E2">
              <w:rPr>
                <w:sz w:val="20"/>
                <w:lang w:val="es-MX"/>
              </w:rPr>
              <w:t>Red</w:t>
            </w:r>
            <w:r w:rsidR="00D136BB">
              <w:rPr>
                <w:sz w:val="20"/>
                <w:lang w:val="es-MX"/>
              </w:rPr>
              <w:t xml:space="preserve"> </w:t>
            </w:r>
            <w:r w:rsidRPr="003618E2">
              <w:rPr>
                <w:sz w:val="20"/>
                <w:lang w:val="es-MX"/>
              </w:rPr>
              <w:t>Perspex</w:t>
            </w:r>
          </w:p>
        </w:tc>
        <w:tc>
          <w:tcPr>
            <w:tcW w:w="1137" w:type="dxa"/>
            <w:tcBorders>
              <w:top w:val="double" w:sz="4" w:space="0" w:color="auto"/>
              <w:left w:val="nil"/>
              <w:bottom w:val="single" w:sz="4" w:space="0" w:color="auto"/>
              <w:right w:val="single" w:sz="4" w:space="0" w:color="auto"/>
            </w:tcBorders>
            <w:noWrap/>
            <w:vAlign w:val="center"/>
            <w:hideMark/>
          </w:tcPr>
          <w:p w14:paraId="75946AA0"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single" w:sz="4" w:space="0" w:color="auto"/>
              <w:right w:val="single" w:sz="4" w:space="0" w:color="auto"/>
            </w:tcBorders>
            <w:noWrap/>
            <w:vAlign w:val="center"/>
            <w:hideMark/>
          </w:tcPr>
          <w:p w14:paraId="59CB805F"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single" w:sz="4" w:space="0" w:color="auto"/>
              <w:right w:val="double" w:sz="4" w:space="0" w:color="auto"/>
            </w:tcBorders>
            <w:noWrap/>
            <w:vAlign w:val="center"/>
            <w:hideMark/>
          </w:tcPr>
          <w:p w14:paraId="6F08AD47" w14:textId="77777777" w:rsidR="006D362C" w:rsidRPr="003618E2" w:rsidRDefault="006D362C" w:rsidP="00D136BB">
            <w:pPr>
              <w:pStyle w:val="BodyText"/>
              <w:rPr>
                <w:sz w:val="20"/>
                <w:lang w:val="es-MX"/>
              </w:rPr>
            </w:pPr>
            <w:r w:rsidRPr="003618E2">
              <w:rPr>
                <w:sz w:val="20"/>
                <w:lang w:val="es-MX"/>
              </w:rPr>
              <w:t>No</w:t>
            </w:r>
          </w:p>
        </w:tc>
      </w:tr>
      <w:tr w:rsidR="006D362C" w:rsidRPr="003618E2" w14:paraId="1EB357EA" w14:textId="77777777" w:rsidTr="00D136BB">
        <w:trPr>
          <w:trHeight w:val="309"/>
          <w:jc w:val="center"/>
        </w:trPr>
        <w:tc>
          <w:tcPr>
            <w:tcW w:w="1272" w:type="dxa"/>
            <w:vMerge/>
            <w:tcBorders>
              <w:left w:val="double" w:sz="4" w:space="0" w:color="auto"/>
              <w:right w:val="single" w:sz="4" w:space="0" w:color="auto"/>
            </w:tcBorders>
            <w:shd w:val="clear" w:color="auto" w:fill="FF81AB"/>
            <w:noWrap/>
            <w:vAlign w:val="center"/>
            <w:hideMark/>
          </w:tcPr>
          <w:p w14:paraId="19E39E15"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C345967" w14:textId="164E3859" w:rsidR="006D362C" w:rsidRPr="003618E2" w:rsidRDefault="006D362C" w:rsidP="00D136BB">
            <w:pPr>
              <w:pStyle w:val="BodyText"/>
              <w:rPr>
                <w:sz w:val="20"/>
                <w:lang w:val="es-MX"/>
              </w:rPr>
            </w:pPr>
            <w:r w:rsidRPr="003618E2">
              <w:rPr>
                <w:sz w:val="20"/>
                <w:lang w:val="es-MX"/>
              </w:rPr>
              <w:t>Gammacell</w:t>
            </w:r>
            <w:r w:rsidR="00D136BB">
              <w:rPr>
                <w:sz w:val="20"/>
                <w:lang w:val="es-MX"/>
              </w:rPr>
              <w:t xml:space="preserve"> </w:t>
            </w:r>
            <w:r w:rsidRPr="003618E2">
              <w:rPr>
                <w:sz w:val="20"/>
                <w:lang w:val="es-MX"/>
              </w:rPr>
              <w:t>220</w:t>
            </w:r>
          </w:p>
        </w:tc>
        <w:tc>
          <w:tcPr>
            <w:tcW w:w="1418" w:type="dxa"/>
            <w:tcBorders>
              <w:top w:val="single" w:sz="4" w:space="0" w:color="auto"/>
              <w:left w:val="nil"/>
              <w:bottom w:val="single" w:sz="4" w:space="0" w:color="auto"/>
              <w:right w:val="single" w:sz="4" w:space="0" w:color="auto"/>
            </w:tcBorders>
            <w:noWrap/>
            <w:vAlign w:val="center"/>
            <w:hideMark/>
          </w:tcPr>
          <w:p w14:paraId="0F56B317" w14:textId="5C544CE3" w:rsidR="006D362C" w:rsidRPr="003618E2" w:rsidRDefault="006D362C" w:rsidP="00D136BB">
            <w:pPr>
              <w:pStyle w:val="BodyText"/>
              <w:rPr>
                <w:sz w:val="20"/>
                <w:lang w:val="es-MX"/>
              </w:rPr>
            </w:pPr>
            <w:r w:rsidRPr="003618E2">
              <w:rPr>
                <w:sz w:val="20"/>
                <w:lang w:val="es-MX"/>
              </w:rPr>
              <w:t>Banco</w:t>
            </w:r>
            <w:r w:rsidR="00D136BB">
              <w:rPr>
                <w:sz w:val="20"/>
                <w:lang w:val="es-MX"/>
              </w:rPr>
              <w:t xml:space="preserve"> </w:t>
            </w:r>
            <w:r w:rsidRPr="003618E2">
              <w:rPr>
                <w:sz w:val="20"/>
                <w:lang w:val="es-MX"/>
              </w:rPr>
              <w:t>tejidos</w:t>
            </w:r>
          </w:p>
        </w:tc>
        <w:tc>
          <w:tcPr>
            <w:tcW w:w="1561" w:type="dxa"/>
            <w:tcBorders>
              <w:top w:val="single" w:sz="4" w:space="0" w:color="auto"/>
              <w:left w:val="nil"/>
              <w:bottom w:val="single" w:sz="4" w:space="0" w:color="auto"/>
              <w:right w:val="single" w:sz="4" w:space="0" w:color="auto"/>
            </w:tcBorders>
            <w:noWrap/>
            <w:vAlign w:val="center"/>
            <w:hideMark/>
          </w:tcPr>
          <w:p w14:paraId="0C2137B3" w14:textId="5F72C797" w:rsidR="006D362C" w:rsidRPr="003618E2" w:rsidRDefault="006D362C" w:rsidP="00D136BB">
            <w:pPr>
              <w:pStyle w:val="BodyText"/>
              <w:rPr>
                <w:sz w:val="20"/>
                <w:lang w:val="es-MX"/>
              </w:rPr>
            </w:pPr>
            <w:r w:rsidRPr="003618E2">
              <w:rPr>
                <w:sz w:val="20"/>
                <w:lang w:val="es-MX"/>
              </w:rPr>
              <w:t>Ambar</w:t>
            </w:r>
            <w:r w:rsidR="00D136BB">
              <w:rPr>
                <w:sz w:val="20"/>
                <w:lang w:val="es-MX"/>
              </w:rPr>
              <w:t xml:space="preserve"> </w:t>
            </w:r>
            <w:r w:rsidRPr="003618E2">
              <w:rPr>
                <w:sz w:val="20"/>
                <w:lang w:val="es-MX"/>
              </w:rPr>
              <w:t>Perspex</w:t>
            </w:r>
          </w:p>
        </w:tc>
        <w:tc>
          <w:tcPr>
            <w:tcW w:w="1137" w:type="dxa"/>
            <w:tcBorders>
              <w:top w:val="single" w:sz="4" w:space="0" w:color="auto"/>
              <w:left w:val="nil"/>
              <w:bottom w:val="single" w:sz="4" w:space="0" w:color="auto"/>
              <w:right w:val="single" w:sz="4" w:space="0" w:color="auto"/>
            </w:tcBorders>
            <w:noWrap/>
            <w:vAlign w:val="center"/>
            <w:hideMark/>
          </w:tcPr>
          <w:p w14:paraId="7162864C" w14:textId="77777777" w:rsidR="006D362C" w:rsidRPr="003618E2" w:rsidRDefault="006D362C" w:rsidP="00D136BB">
            <w:pPr>
              <w:pStyle w:val="BodyText"/>
              <w:rPr>
                <w:sz w:val="20"/>
                <w:lang w:val="es-MX"/>
              </w:rPr>
            </w:pPr>
          </w:p>
        </w:tc>
        <w:tc>
          <w:tcPr>
            <w:tcW w:w="1134" w:type="dxa"/>
            <w:tcBorders>
              <w:top w:val="single" w:sz="4" w:space="0" w:color="auto"/>
              <w:left w:val="nil"/>
              <w:bottom w:val="single" w:sz="4" w:space="0" w:color="auto"/>
              <w:right w:val="single" w:sz="4" w:space="0" w:color="auto"/>
            </w:tcBorders>
            <w:noWrap/>
            <w:vAlign w:val="center"/>
            <w:hideMark/>
          </w:tcPr>
          <w:p w14:paraId="6BC6FB42" w14:textId="77777777" w:rsidR="006D362C" w:rsidRPr="003618E2" w:rsidRDefault="006D362C" w:rsidP="00D136BB">
            <w:pPr>
              <w:pStyle w:val="BodyText"/>
              <w:rPr>
                <w:sz w:val="20"/>
                <w:lang w:val="es-MX"/>
              </w:rPr>
            </w:pPr>
          </w:p>
        </w:tc>
        <w:tc>
          <w:tcPr>
            <w:tcW w:w="1134" w:type="dxa"/>
            <w:tcBorders>
              <w:top w:val="single" w:sz="4" w:space="0" w:color="auto"/>
              <w:left w:val="nil"/>
              <w:bottom w:val="single" w:sz="4" w:space="0" w:color="auto"/>
              <w:right w:val="double" w:sz="4" w:space="0" w:color="auto"/>
            </w:tcBorders>
            <w:noWrap/>
            <w:vAlign w:val="center"/>
            <w:hideMark/>
          </w:tcPr>
          <w:p w14:paraId="4BA1F150" w14:textId="77777777" w:rsidR="006D362C" w:rsidRPr="003618E2" w:rsidRDefault="006D362C" w:rsidP="00D136BB">
            <w:pPr>
              <w:pStyle w:val="BodyText"/>
              <w:rPr>
                <w:sz w:val="20"/>
                <w:lang w:val="es-MX"/>
              </w:rPr>
            </w:pPr>
          </w:p>
        </w:tc>
      </w:tr>
      <w:tr w:rsidR="006D362C" w:rsidRPr="003618E2" w14:paraId="07EB0F61" w14:textId="77777777" w:rsidTr="00D136BB">
        <w:trPr>
          <w:trHeight w:val="568"/>
          <w:jc w:val="center"/>
        </w:trPr>
        <w:tc>
          <w:tcPr>
            <w:tcW w:w="1272" w:type="dxa"/>
            <w:vMerge/>
            <w:tcBorders>
              <w:left w:val="double" w:sz="4" w:space="0" w:color="auto"/>
              <w:bottom w:val="double" w:sz="4" w:space="0" w:color="auto"/>
              <w:right w:val="single" w:sz="4" w:space="0" w:color="auto"/>
            </w:tcBorders>
            <w:shd w:val="clear" w:color="auto" w:fill="FF81AB"/>
            <w:noWrap/>
            <w:vAlign w:val="center"/>
            <w:hideMark/>
          </w:tcPr>
          <w:p w14:paraId="61407B48" w14:textId="77777777" w:rsidR="006D362C" w:rsidRPr="003618E2" w:rsidRDefault="006D362C" w:rsidP="00D136BB">
            <w:pPr>
              <w:pStyle w:val="BodyText"/>
              <w:rPr>
                <w:b/>
                <w:sz w:val="20"/>
                <w:lang w:val="es-ES"/>
              </w:rPr>
            </w:pPr>
          </w:p>
        </w:tc>
        <w:tc>
          <w:tcPr>
            <w:tcW w:w="1701" w:type="dxa"/>
            <w:tcBorders>
              <w:top w:val="single" w:sz="4" w:space="0" w:color="auto"/>
              <w:left w:val="single" w:sz="4" w:space="0" w:color="auto"/>
              <w:bottom w:val="double" w:sz="4" w:space="0" w:color="auto"/>
              <w:right w:val="single" w:sz="4" w:space="0" w:color="auto"/>
            </w:tcBorders>
            <w:vAlign w:val="center"/>
            <w:hideMark/>
          </w:tcPr>
          <w:p w14:paraId="01C659BE" w14:textId="6612A296" w:rsidR="006D362C" w:rsidRPr="003618E2" w:rsidRDefault="006D362C" w:rsidP="00D136BB">
            <w:pPr>
              <w:pStyle w:val="BodyText"/>
              <w:rPr>
                <w:sz w:val="20"/>
                <w:lang w:val="es-MX"/>
              </w:rPr>
            </w:pPr>
            <w:r w:rsidRPr="003618E2">
              <w:rPr>
                <w:sz w:val="20"/>
                <w:lang w:val="es-MX"/>
              </w:rPr>
              <w:t>Gammacell</w:t>
            </w:r>
            <w:r w:rsidR="00D136BB">
              <w:rPr>
                <w:sz w:val="20"/>
                <w:lang w:val="es-MX"/>
              </w:rPr>
              <w:t xml:space="preserve"> </w:t>
            </w:r>
            <w:r w:rsidRPr="003618E2">
              <w:rPr>
                <w:sz w:val="20"/>
                <w:lang w:val="es-MX"/>
              </w:rPr>
              <w:t>UDELAR</w:t>
            </w:r>
          </w:p>
        </w:tc>
        <w:tc>
          <w:tcPr>
            <w:tcW w:w="1418" w:type="dxa"/>
            <w:tcBorders>
              <w:top w:val="single" w:sz="4" w:space="0" w:color="auto"/>
              <w:left w:val="nil"/>
              <w:bottom w:val="double" w:sz="4" w:space="0" w:color="auto"/>
              <w:right w:val="nil"/>
            </w:tcBorders>
            <w:noWrap/>
            <w:vAlign w:val="center"/>
            <w:hideMark/>
          </w:tcPr>
          <w:p w14:paraId="316D86AC" w14:textId="7E598E3B" w:rsidR="006D362C" w:rsidRPr="003618E2" w:rsidRDefault="006D362C" w:rsidP="00D136BB">
            <w:pPr>
              <w:pStyle w:val="BodyText"/>
              <w:rPr>
                <w:sz w:val="20"/>
                <w:lang w:val="es-MX"/>
              </w:rPr>
            </w:pPr>
            <w:r w:rsidRPr="003618E2">
              <w:rPr>
                <w:sz w:val="20"/>
                <w:lang w:val="es-MX"/>
              </w:rPr>
              <w:t>En</w:t>
            </w:r>
            <w:r w:rsidR="00D136BB">
              <w:rPr>
                <w:sz w:val="20"/>
                <w:lang w:val="es-MX"/>
              </w:rPr>
              <w:t xml:space="preserve"> </w:t>
            </w:r>
            <w:r w:rsidRPr="003618E2">
              <w:rPr>
                <w:sz w:val="20"/>
                <w:lang w:val="es-MX"/>
              </w:rPr>
              <w:t>desuso</w:t>
            </w:r>
          </w:p>
        </w:tc>
        <w:tc>
          <w:tcPr>
            <w:tcW w:w="1561" w:type="dxa"/>
            <w:tcBorders>
              <w:top w:val="single" w:sz="4" w:space="0" w:color="auto"/>
              <w:left w:val="single" w:sz="4" w:space="0" w:color="auto"/>
              <w:bottom w:val="double" w:sz="4" w:space="0" w:color="auto"/>
              <w:right w:val="single" w:sz="4" w:space="0" w:color="auto"/>
            </w:tcBorders>
            <w:vAlign w:val="center"/>
            <w:hideMark/>
          </w:tcPr>
          <w:p w14:paraId="51D43440" w14:textId="77777777" w:rsidR="006D362C" w:rsidRPr="003618E2" w:rsidRDefault="006D362C" w:rsidP="00D136BB">
            <w:pPr>
              <w:pStyle w:val="BodyText"/>
              <w:rPr>
                <w:sz w:val="20"/>
                <w:lang w:val="es-MX"/>
              </w:rPr>
            </w:pPr>
          </w:p>
        </w:tc>
        <w:tc>
          <w:tcPr>
            <w:tcW w:w="1137" w:type="dxa"/>
            <w:tcBorders>
              <w:top w:val="single" w:sz="4" w:space="0" w:color="auto"/>
              <w:left w:val="nil"/>
              <w:bottom w:val="double" w:sz="4" w:space="0" w:color="auto"/>
              <w:right w:val="single" w:sz="4" w:space="0" w:color="auto"/>
            </w:tcBorders>
            <w:noWrap/>
            <w:vAlign w:val="center"/>
            <w:hideMark/>
          </w:tcPr>
          <w:p w14:paraId="54E55BD5" w14:textId="77777777" w:rsidR="006D362C" w:rsidRPr="003618E2" w:rsidRDefault="006D362C" w:rsidP="00D136BB">
            <w:pPr>
              <w:pStyle w:val="BodyText"/>
              <w:rPr>
                <w:sz w:val="20"/>
                <w:lang w:val="es-MX"/>
              </w:rPr>
            </w:pPr>
          </w:p>
        </w:tc>
        <w:tc>
          <w:tcPr>
            <w:tcW w:w="1134" w:type="dxa"/>
            <w:tcBorders>
              <w:top w:val="single" w:sz="4" w:space="0" w:color="auto"/>
              <w:left w:val="nil"/>
              <w:bottom w:val="double" w:sz="4" w:space="0" w:color="auto"/>
              <w:right w:val="single" w:sz="4" w:space="0" w:color="auto"/>
            </w:tcBorders>
            <w:noWrap/>
            <w:vAlign w:val="center"/>
            <w:hideMark/>
          </w:tcPr>
          <w:p w14:paraId="7E00D962" w14:textId="77777777" w:rsidR="006D362C" w:rsidRPr="003618E2" w:rsidRDefault="006D362C" w:rsidP="00D136BB">
            <w:pPr>
              <w:pStyle w:val="BodyText"/>
              <w:rPr>
                <w:sz w:val="20"/>
                <w:lang w:val="es-MX"/>
              </w:rPr>
            </w:pPr>
          </w:p>
        </w:tc>
        <w:tc>
          <w:tcPr>
            <w:tcW w:w="1134" w:type="dxa"/>
            <w:tcBorders>
              <w:top w:val="single" w:sz="4" w:space="0" w:color="auto"/>
              <w:left w:val="nil"/>
              <w:bottom w:val="double" w:sz="4" w:space="0" w:color="auto"/>
              <w:right w:val="double" w:sz="4" w:space="0" w:color="auto"/>
            </w:tcBorders>
            <w:noWrap/>
            <w:vAlign w:val="center"/>
            <w:hideMark/>
          </w:tcPr>
          <w:p w14:paraId="01A09119" w14:textId="77777777" w:rsidR="006D362C" w:rsidRPr="003618E2" w:rsidRDefault="006D362C" w:rsidP="00D136BB">
            <w:pPr>
              <w:pStyle w:val="BodyText"/>
              <w:rPr>
                <w:sz w:val="20"/>
                <w:lang w:val="es-MX"/>
              </w:rPr>
            </w:pPr>
          </w:p>
        </w:tc>
      </w:tr>
      <w:tr w:rsidR="006D362C" w:rsidRPr="003618E2" w14:paraId="78069A0F" w14:textId="77777777" w:rsidTr="00D136BB">
        <w:trPr>
          <w:trHeight w:val="1020"/>
          <w:jc w:val="center"/>
        </w:trPr>
        <w:tc>
          <w:tcPr>
            <w:tcW w:w="1272" w:type="dxa"/>
            <w:tcBorders>
              <w:top w:val="double" w:sz="4" w:space="0" w:color="auto"/>
              <w:left w:val="double" w:sz="4" w:space="0" w:color="auto"/>
              <w:bottom w:val="single" w:sz="4" w:space="0" w:color="auto"/>
              <w:right w:val="single" w:sz="4" w:space="0" w:color="auto"/>
            </w:tcBorders>
            <w:shd w:val="clear" w:color="auto" w:fill="FF81AB"/>
            <w:noWrap/>
            <w:vAlign w:val="center"/>
            <w:hideMark/>
          </w:tcPr>
          <w:p w14:paraId="5FB99E8E" w14:textId="77777777" w:rsidR="006D362C" w:rsidRPr="003618E2" w:rsidRDefault="006D362C" w:rsidP="00D136BB">
            <w:pPr>
              <w:pStyle w:val="BodyText"/>
              <w:rPr>
                <w:b/>
                <w:sz w:val="20"/>
                <w:lang w:val="es-ES"/>
              </w:rPr>
            </w:pPr>
            <w:r w:rsidRPr="003618E2">
              <w:rPr>
                <w:b/>
                <w:sz w:val="20"/>
                <w:lang w:val="es-ES"/>
              </w:rPr>
              <w:t>Venezuela</w:t>
            </w:r>
          </w:p>
        </w:tc>
        <w:tc>
          <w:tcPr>
            <w:tcW w:w="1701" w:type="dxa"/>
            <w:tcBorders>
              <w:top w:val="double" w:sz="4" w:space="0" w:color="auto"/>
              <w:left w:val="single" w:sz="4" w:space="0" w:color="auto"/>
              <w:bottom w:val="single" w:sz="4" w:space="0" w:color="auto"/>
              <w:right w:val="single" w:sz="4" w:space="0" w:color="auto"/>
            </w:tcBorders>
            <w:vAlign w:val="center"/>
            <w:hideMark/>
          </w:tcPr>
          <w:p w14:paraId="6F049A44" w14:textId="3BC1288F" w:rsidR="006D362C" w:rsidRPr="003618E2" w:rsidRDefault="006D362C" w:rsidP="00D136BB">
            <w:pPr>
              <w:pStyle w:val="BodyText"/>
              <w:rPr>
                <w:sz w:val="20"/>
                <w:lang w:val="es-MX"/>
              </w:rPr>
            </w:pPr>
            <w:r w:rsidRPr="003618E2">
              <w:rPr>
                <w:sz w:val="20"/>
                <w:lang w:val="es-MX"/>
              </w:rPr>
              <w:t>Irradiador</w:t>
            </w:r>
            <w:r w:rsidR="00D136BB">
              <w:rPr>
                <w:sz w:val="20"/>
                <w:lang w:val="es-MX"/>
              </w:rPr>
              <w:t xml:space="preserve"> </w:t>
            </w:r>
            <w:r w:rsidRPr="003618E2">
              <w:rPr>
                <w:sz w:val="20"/>
                <w:lang w:val="es-MX"/>
              </w:rPr>
              <w:t>IR</w:t>
            </w:r>
            <w:r w:rsidR="00D136BB">
              <w:rPr>
                <w:sz w:val="20"/>
                <w:lang w:val="es-MX"/>
              </w:rPr>
              <w:t xml:space="preserve"> </w:t>
            </w:r>
            <w:r w:rsidRPr="003618E2">
              <w:rPr>
                <w:sz w:val="20"/>
                <w:lang w:val="es-MX"/>
              </w:rPr>
              <w:t>216</w:t>
            </w:r>
            <w:r w:rsidR="00D136BB">
              <w:rPr>
                <w:sz w:val="20"/>
                <w:lang w:val="es-MX"/>
              </w:rPr>
              <w:t xml:space="preserve"> </w:t>
            </w:r>
            <w:r w:rsidRPr="003618E2">
              <w:rPr>
                <w:sz w:val="20"/>
                <w:lang w:val="es-MX"/>
              </w:rPr>
              <w:t>PEGAMMA</w:t>
            </w:r>
            <w:r w:rsidR="00D136BB">
              <w:rPr>
                <w:sz w:val="20"/>
                <w:lang w:val="es-MX"/>
              </w:rPr>
              <w:t xml:space="preserve"> </w:t>
            </w:r>
            <w:r w:rsidRPr="003618E2">
              <w:rPr>
                <w:sz w:val="20"/>
                <w:lang w:val="es-MX"/>
              </w:rPr>
              <w:t>Co</w:t>
            </w:r>
            <w:r w:rsidR="00D136BB">
              <w:rPr>
                <w:sz w:val="20"/>
                <w:lang w:val="es-MX"/>
              </w:rPr>
              <w:t xml:space="preserve"> </w:t>
            </w:r>
            <w:r w:rsidRPr="003618E2">
              <w:rPr>
                <w:sz w:val="20"/>
                <w:lang w:val="es-MX"/>
              </w:rPr>
              <w:t>-</w:t>
            </w:r>
            <w:r w:rsidR="00D136BB">
              <w:rPr>
                <w:sz w:val="20"/>
                <w:lang w:val="es-MX"/>
              </w:rPr>
              <w:t xml:space="preserve"> </w:t>
            </w:r>
            <w:r w:rsidRPr="003618E2">
              <w:rPr>
                <w:sz w:val="20"/>
                <w:lang w:val="es-MX"/>
              </w:rPr>
              <w:t>60</w:t>
            </w:r>
            <w:r w:rsidR="00D136BB">
              <w:rPr>
                <w:sz w:val="20"/>
                <w:lang w:val="es-MX"/>
              </w:rPr>
              <w:t xml:space="preserve"> </w:t>
            </w:r>
            <w:r w:rsidRPr="003618E2">
              <w:rPr>
                <w:sz w:val="20"/>
                <w:lang w:val="es-MX"/>
              </w:rPr>
              <w:t>diseño</w:t>
            </w:r>
            <w:r w:rsidR="00D136BB">
              <w:rPr>
                <w:sz w:val="20"/>
                <w:lang w:val="es-MX"/>
              </w:rPr>
              <w:t xml:space="preserve"> </w:t>
            </w:r>
            <w:r w:rsidRPr="003618E2">
              <w:rPr>
                <w:sz w:val="20"/>
                <w:lang w:val="es-MX"/>
              </w:rPr>
              <w:t>1000</w:t>
            </w:r>
            <w:r w:rsidR="00D136BB">
              <w:rPr>
                <w:sz w:val="20"/>
                <w:lang w:val="es-MX"/>
              </w:rPr>
              <w:t xml:space="preserve"> </w:t>
            </w:r>
            <w:r w:rsidRPr="003618E2">
              <w:rPr>
                <w:sz w:val="20"/>
                <w:lang w:val="es-MX"/>
              </w:rPr>
              <w:t>kCi.</w:t>
            </w:r>
            <w:r w:rsidR="00D136BB">
              <w:rPr>
                <w:sz w:val="20"/>
                <w:lang w:val="es-MX"/>
              </w:rPr>
              <w:t xml:space="preserve"> </w:t>
            </w:r>
            <w:r w:rsidRPr="003618E2">
              <w:rPr>
                <w:sz w:val="20"/>
                <w:lang w:val="es-MX"/>
              </w:rPr>
              <w:t>Actual</w:t>
            </w:r>
            <w:r w:rsidR="00D136BB">
              <w:rPr>
                <w:sz w:val="20"/>
                <w:lang w:val="es-MX"/>
              </w:rPr>
              <w:t xml:space="preserve"> </w:t>
            </w:r>
            <w:r w:rsidRPr="003618E2">
              <w:rPr>
                <w:sz w:val="20"/>
                <w:lang w:val="es-MX"/>
              </w:rPr>
              <w:t>85</w:t>
            </w:r>
            <w:r w:rsidR="00D136BB">
              <w:rPr>
                <w:sz w:val="20"/>
                <w:lang w:val="es-MX"/>
              </w:rPr>
              <w:t xml:space="preserve"> </w:t>
            </w:r>
            <w:r w:rsidRPr="003618E2">
              <w:rPr>
                <w:sz w:val="20"/>
                <w:lang w:val="es-MX"/>
              </w:rPr>
              <w:t>kCi</w:t>
            </w:r>
          </w:p>
        </w:tc>
        <w:tc>
          <w:tcPr>
            <w:tcW w:w="1418" w:type="dxa"/>
            <w:tcBorders>
              <w:top w:val="double" w:sz="4" w:space="0" w:color="auto"/>
              <w:left w:val="nil"/>
              <w:bottom w:val="single" w:sz="4" w:space="0" w:color="auto"/>
              <w:right w:val="single" w:sz="4" w:space="0" w:color="auto"/>
            </w:tcBorders>
            <w:noWrap/>
            <w:vAlign w:val="center"/>
            <w:hideMark/>
          </w:tcPr>
          <w:p w14:paraId="1E9F21C9" w14:textId="77777777" w:rsidR="006D362C" w:rsidRPr="003618E2" w:rsidRDefault="006D362C" w:rsidP="00D136BB">
            <w:pPr>
              <w:pStyle w:val="BodyText"/>
              <w:rPr>
                <w:sz w:val="20"/>
                <w:lang w:val="es-MX"/>
              </w:rPr>
            </w:pPr>
            <w:r w:rsidRPr="003618E2">
              <w:rPr>
                <w:sz w:val="20"/>
                <w:lang w:val="es-MX"/>
              </w:rPr>
              <w:t>Servicio</w:t>
            </w:r>
          </w:p>
        </w:tc>
        <w:tc>
          <w:tcPr>
            <w:tcW w:w="1561" w:type="dxa"/>
            <w:tcBorders>
              <w:top w:val="double" w:sz="4" w:space="0" w:color="auto"/>
              <w:left w:val="nil"/>
              <w:bottom w:val="single" w:sz="4" w:space="0" w:color="auto"/>
              <w:right w:val="single" w:sz="4" w:space="0" w:color="auto"/>
            </w:tcBorders>
            <w:vAlign w:val="center"/>
            <w:hideMark/>
          </w:tcPr>
          <w:p w14:paraId="59DFD1E4" w14:textId="014A4DDE" w:rsidR="006D362C" w:rsidRPr="003618E2" w:rsidRDefault="006D362C" w:rsidP="00D136BB">
            <w:pPr>
              <w:pStyle w:val="BodyText"/>
              <w:rPr>
                <w:sz w:val="20"/>
                <w:lang w:val="es-MX"/>
              </w:rPr>
            </w:pPr>
            <w:r w:rsidRPr="003618E2">
              <w:rPr>
                <w:sz w:val="20"/>
                <w:lang w:val="es-MX"/>
              </w:rPr>
              <w:t>Red</w:t>
            </w:r>
            <w:r w:rsidR="00D136BB">
              <w:rPr>
                <w:sz w:val="20"/>
                <w:lang w:val="es-MX"/>
              </w:rPr>
              <w:t xml:space="preserve"> </w:t>
            </w:r>
            <w:r w:rsidRPr="003618E2">
              <w:rPr>
                <w:sz w:val="20"/>
                <w:lang w:val="es-MX"/>
              </w:rPr>
              <w:t>Perspex,</w:t>
            </w:r>
            <w:r w:rsidR="00D136BB">
              <w:rPr>
                <w:sz w:val="20"/>
                <w:lang w:val="es-MX"/>
              </w:rPr>
              <w:t xml:space="preserve"> </w:t>
            </w:r>
            <w:r w:rsidRPr="003618E2">
              <w:rPr>
                <w:sz w:val="20"/>
                <w:lang w:val="es-MX"/>
              </w:rPr>
              <w:t>Fricke</w:t>
            </w:r>
          </w:p>
        </w:tc>
        <w:tc>
          <w:tcPr>
            <w:tcW w:w="1137" w:type="dxa"/>
            <w:tcBorders>
              <w:top w:val="double" w:sz="4" w:space="0" w:color="auto"/>
              <w:left w:val="nil"/>
              <w:bottom w:val="single" w:sz="4" w:space="0" w:color="auto"/>
              <w:right w:val="single" w:sz="4" w:space="0" w:color="auto"/>
            </w:tcBorders>
            <w:noWrap/>
            <w:vAlign w:val="center"/>
            <w:hideMark/>
          </w:tcPr>
          <w:p w14:paraId="7A8408AB"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single" w:sz="4" w:space="0" w:color="auto"/>
              <w:right w:val="single" w:sz="4" w:space="0" w:color="auto"/>
            </w:tcBorders>
            <w:noWrap/>
            <w:vAlign w:val="center"/>
            <w:hideMark/>
          </w:tcPr>
          <w:p w14:paraId="364D7717" w14:textId="77777777" w:rsidR="006D362C" w:rsidRPr="003618E2" w:rsidRDefault="006D362C" w:rsidP="00D136BB">
            <w:pPr>
              <w:pStyle w:val="BodyText"/>
              <w:rPr>
                <w:sz w:val="20"/>
                <w:lang w:val="es-MX"/>
              </w:rPr>
            </w:pPr>
            <w:r w:rsidRPr="003618E2">
              <w:rPr>
                <w:sz w:val="20"/>
                <w:lang w:val="es-MX"/>
              </w:rPr>
              <w:t>No</w:t>
            </w:r>
          </w:p>
        </w:tc>
        <w:tc>
          <w:tcPr>
            <w:tcW w:w="1134" w:type="dxa"/>
            <w:tcBorders>
              <w:top w:val="double" w:sz="4" w:space="0" w:color="auto"/>
              <w:left w:val="nil"/>
              <w:bottom w:val="single" w:sz="4" w:space="0" w:color="auto"/>
              <w:right w:val="double" w:sz="4" w:space="0" w:color="auto"/>
            </w:tcBorders>
            <w:noWrap/>
            <w:vAlign w:val="center"/>
            <w:hideMark/>
          </w:tcPr>
          <w:p w14:paraId="54DE87A5" w14:textId="77777777" w:rsidR="006D362C" w:rsidRPr="003618E2" w:rsidRDefault="006D362C" w:rsidP="00D136BB">
            <w:pPr>
              <w:pStyle w:val="BodyText"/>
              <w:rPr>
                <w:sz w:val="20"/>
                <w:lang w:val="es-MX"/>
              </w:rPr>
            </w:pPr>
            <w:r w:rsidRPr="003618E2">
              <w:rPr>
                <w:sz w:val="20"/>
                <w:lang w:val="es-MX"/>
              </w:rPr>
              <w:t>No</w:t>
            </w:r>
          </w:p>
        </w:tc>
      </w:tr>
    </w:tbl>
    <w:p w14:paraId="3051187A" w14:textId="77777777" w:rsidR="006D362C" w:rsidRPr="003618E2" w:rsidRDefault="006D362C" w:rsidP="006D362C">
      <w:pPr>
        <w:pStyle w:val="BodyText"/>
        <w:rPr>
          <w:lang w:val="es-ES"/>
        </w:rPr>
      </w:pPr>
    </w:p>
    <w:p w14:paraId="3224D0DF" w14:textId="77777777" w:rsidR="006D362C" w:rsidRPr="003618E2" w:rsidRDefault="006D362C" w:rsidP="006D362C">
      <w:pPr>
        <w:pStyle w:val="BodyText"/>
        <w:rPr>
          <w:lang w:val="es-ES"/>
        </w:rPr>
      </w:pPr>
    </w:p>
    <w:p w14:paraId="496DB89A" w14:textId="2DADBF71" w:rsidR="006D362C" w:rsidRPr="003618E2" w:rsidRDefault="006D362C" w:rsidP="006D362C">
      <w:pPr>
        <w:pStyle w:val="BodyText"/>
        <w:rPr>
          <w:lang w:val="es-ES"/>
        </w:rPr>
      </w:pPr>
      <w:r w:rsidRPr="003618E2">
        <w:rPr>
          <w:lang w:val="es-ES"/>
        </w:rPr>
        <w:t>Las</w:t>
      </w:r>
      <w:r w:rsidR="00D136BB">
        <w:rPr>
          <w:lang w:val="es-ES"/>
        </w:rPr>
        <w:t xml:space="preserve"> </w:t>
      </w:r>
      <w:r w:rsidRPr="003618E2">
        <w:rPr>
          <w:lang w:val="es-ES"/>
        </w:rPr>
        <w:t>aplicaciones</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están</w:t>
      </w:r>
      <w:r w:rsidR="00D136BB">
        <w:rPr>
          <w:lang w:val="es-ES"/>
        </w:rPr>
        <w:t xml:space="preserve"> </w:t>
      </w:r>
      <w:r w:rsidRPr="003618E2">
        <w:rPr>
          <w:lang w:val="es-ES"/>
        </w:rPr>
        <w:t>en</w:t>
      </w:r>
      <w:r w:rsidR="00D136BB">
        <w:rPr>
          <w:lang w:val="es-ES"/>
        </w:rPr>
        <w:t xml:space="preserve"> </w:t>
      </w:r>
      <w:r w:rsidRPr="003618E2">
        <w:rPr>
          <w:lang w:val="es-ES"/>
        </w:rPr>
        <w:t>aumento</w:t>
      </w:r>
      <w:r w:rsidR="00D136BB">
        <w:rPr>
          <w:lang w:val="es-ES"/>
        </w:rPr>
        <w:t xml:space="preserve"> </w:t>
      </w:r>
      <w:r w:rsidRPr="003618E2">
        <w:rPr>
          <w:lang w:val="es-ES"/>
        </w:rPr>
        <w:t>constante</w:t>
      </w:r>
      <w:r w:rsidR="00D136BB">
        <w:rPr>
          <w:lang w:val="es-ES"/>
        </w:rPr>
        <w:t xml:space="preserve"> </w:t>
      </w:r>
      <w:r w:rsidRPr="003618E2">
        <w:rPr>
          <w:lang w:val="es-ES"/>
        </w:rPr>
        <w:t>y</w:t>
      </w:r>
      <w:r w:rsidR="00D136BB">
        <w:rPr>
          <w:lang w:val="es-ES"/>
        </w:rPr>
        <w:t xml:space="preserve"> </w:t>
      </w:r>
      <w:r w:rsidRPr="003618E2">
        <w:rPr>
          <w:lang w:val="es-ES"/>
        </w:rPr>
        <w:t>evolucionando</w:t>
      </w:r>
      <w:r w:rsidR="00D136BB">
        <w:rPr>
          <w:lang w:val="es-ES"/>
        </w:rPr>
        <w:t xml:space="preserve"> </w:t>
      </w:r>
      <w:r w:rsidRPr="003618E2">
        <w:rPr>
          <w:lang w:val="es-ES"/>
        </w:rPr>
        <w:t>a</w:t>
      </w:r>
      <w:r w:rsidR="00D136BB">
        <w:rPr>
          <w:lang w:val="es-ES"/>
        </w:rPr>
        <w:t xml:space="preserve"> </w:t>
      </w:r>
      <w:r w:rsidRPr="003618E2">
        <w:rPr>
          <w:lang w:val="es-ES"/>
        </w:rPr>
        <w:t>áreas</w:t>
      </w:r>
      <w:r w:rsidR="00D136BB">
        <w:rPr>
          <w:lang w:val="es-ES"/>
        </w:rPr>
        <w:t xml:space="preserve"> </w:t>
      </w:r>
      <w:r w:rsidRPr="003618E2">
        <w:rPr>
          <w:lang w:val="es-ES"/>
        </w:rPr>
        <w:t>como</w:t>
      </w:r>
      <w:r w:rsidR="00D136BB">
        <w:rPr>
          <w:lang w:val="es-ES"/>
        </w:rPr>
        <w:t xml:space="preserve"> </w:t>
      </w:r>
      <w:r w:rsidRPr="003618E2">
        <w:rPr>
          <w:lang w:val="es-ES"/>
        </w:rPr>
        <w:t>la</w:t>
      </w:r>
      <w:r w:rsidR="00D136BB">
        <w:rPr>
          <w:lang w:val="es-ES"/>
        </w:rPr>
        <w:t xml:space="preserve"> </w:t>
      </w:r>
      <w:r w:rsidRPr="003618E2">
        <w:rPr>
          <w:lang w:val="es-ES"/>
        </w:rPr>
        <w:t>exploración</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eficiente</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recursos</w:t>
      </w:r>
      <w:r w:rsidR="00D136BB">
        <w:rPr>
          <w:lang w:val="es-ES"/>
        </w:rPr>
        <w:t xml:space="preserve"> </w:t>
      </w:r>
      <w:r w:rsidRPr="003618E2">
        <w:rPr>
          <w:lang w:val="es-ES"/>
        </w:rPr>
        <w:t>naturales,</w:t>
      </w:r>
      <w:r w:rsidR="00D136BB">
        <w:rPr>
          <w:lang w:val="es-ES"/>
        </w:rPr>
        <w:t xml:space="preserve"> </w:t>
      </w:r>
      <w:r w:rsidRPr="003618E2">
        <w:rPr>
          <w:lang w:val="es-ES"/>
        </w:rPr>
        <w:t>la</w:t>
      </w:r>
      <w:r w:rsidR="00D136BB">
        <w:rPr>
          <w:lang w:val="es-ES"/>
        </w:rPr>
        <w:t xml:space="preserve"> </w:t>
      </w:r>
      <w:r w:rsidRPr="003618E2">
        <w:rPr>
          <w:lang w:val="es-ES"/>
        </w:rPr>
        <w:t>minería,</w:t>
      </w:r>
      <w:r w:rsidR="00D136BB">
        <w:rPr>
          <w:lang w:val="es-ES"/>
        </w:rPr>
        <w:t xml:space="preserve"> </w:t>
      </w:r>
      <w:r w:rsidRPr="003618E2">
        <w:rPr>
          <w:lang w:val="es-ES"/>
        </w:rPr>
        <w:t>la</w:t>
      </w:r>
      <w:r w:rsidR="00D136BB">
        <w:rPr>
          <w:lang w:val="es-ES"/>
        </w:rPr>
        <w:t xml:space="preserve"> </w:t>
      </w:r>
      <w:r w:rsidRPr="003618E2">
        <w:rPr>
          <w:lang w:val="es-ES"/>
        </w:rPr>
        <w:t>industria</w:t>
      </w:r>
      <w:r w:rsidR="00D136BB">
        <w:rPr>
          <w:lang w:val="es-ES"/>
        </w:rPr>
        <w:t xml:space="preserve"> </w:t>
      </w:r>
      <w:r w:rsidRPr="003618E2">
        <w:rPr>
          <w:lang w:val="es-ES"/>
        </w:rPr>
        <w:t>de</w:t>
      </w:r>
      <w:r w:rsidR="00D136BB">
        <w:rPr>
          <w:lang w:val="es-ES"/>
        </w:rPr>
        <w:t xml:space="preserve"> </w:t>
      </w:r>
      <w:r w:rsidRPr="003618E2">
        <w:rPr>
          <w:lang w:val="es-ES"/>
        </w:rPr>
        <w:t>procesamiento</w:t>
      </w:r>
      <w:r w:rsidR="00D136BB">
        <w:rPr>
          <w:lang w:val="es-ES"/>
        </w:rPr>
        <w:t xml:space="preserve"> </w:t>
      </w:r>
      <w:r w:rsidRPr="003618E2">
        <w:rPr>
          <w:lang w:val="es-ES"/>
        </w:rPr>
        <w:t>de</w:t>
      </w:r>
      <w:r w:rsidR="00D136BB">
        <w:rPr>
          <w:lang w:val="es-ES"/>
        </w:rPr>
        <w:t xml:space="preserve"> </w:t>
      </w:r>
      <w:r w:rsidRPr="003618E2">
        <w:rPr>
          <w:lang w:val="es-ES"/>
        </w:rPr>
        <w:t>minerales,</w:t>
      </w:r>
      <w:r w:rsidR="00D136BB">
        <w:rPr>
          <w:lang w:val="es-ES"/>
        </w:rPr>
        <w:t xml:space="preserve"> </w:t>
      </w:r>
      <w:r w:rsidRPr="003618E2">
        <w:rPr>
          <w:lang w:val="es-ES"/>
        </w:rPr>
        <w:t>la</w:t>
      </w:r>
      <w:r w:rsidR="00D136BB">
        <w:rPr>
          <w:lang w:val="es-ES"/>
        </w:rPr>
        <w:t xml:space="preserve"> </w:t>
      </w:r>
      <w:r w:rsidRPr="003618E2">
        <w:rPr>
          <w:lang w:val="es-ES"/>
        </w:rPr>
        <w:t>metalurgia,</w:t>
      </w:r>
      <w:r w:rsidR="00D136BB">
        <w:rPr>
          <w:lang w:val="es-ES"/>
        </w:rPr>
        <w:t xml:space="preserve"> </w:t>
      </w:r>
      <w:r w:rsidRPr="003618E2">
        <w:rPr>
          <w:lang w:val="es-ES"/>
        </w:rPr>
        <w:t>el</w:t>
      </w:r>
      <w:r w:rsidR="00D136BB">
        <w:rPr>
          <w:lang w:val="es-ES"/>
        </w:rPr>
        <w:t xml:space="preserve"> </w:t>
      </w:r>
      <w:r w:rsidRPr="003618E2">
        <w:rPr>
          <w:lang w:val="es-ES"/>
        </w:rPr>
        <w:t>desarrollo</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avanzados,</w:t>
      </w:r>
      <w:r w:rsidR="00D136BB">
        <w:rPr>
          <w:lang w:val="es-ES"/>
        </w:rPr>
        <w:t xml:space="preserve"> </w:t>
      </w:r>
      <w:r w:rsidRPr="003618E2">
        <w:rPr>
          <w:lang w:val="es-ES"/>
        </w:rPr>
        <w:t>la</w:t>
      </w:r>
      <w:r w:rsidR="00D136BB">
        <w:rPr>
          <w:lang w:val="es-ES"/>
        </w:rPr>
        <w:t xml:space="preserve"> </w:t>
      </w:r>
      <w:r w:rsidRPr="003618E2">
        <w:rPr>
          <w:lang w:val="es-ES"/>
        </w:rPr>
        <w:t>caracterización</w:t>
      </w:r>
      <w:r w:rsidR="00D136BB">
        <w:rPr>
          <w:lang w:val="es-ES"/>
        </w:rPr>
        <w:t xml:space="preserve"> </w:t>
      </w:r>
      <w:r w:rsidRPr="003618E2">
        <w:rPr>
          <w:lang w:val="es-ES"/>
        </w:rPr>
        <w:t>y</w:t>
      </w:r>
      <w:r w:rsidR="00D136BB">
        <w:rPr>
          <w:lang w:val="es-ES"/>
        </w:rPr>
        <w:t xml:space="preserve"> </w:t>
      </w:r>
      <w:r w:rsidRPr="003618E2">
        <w:rPr>
          <w:lang w:val="es-ES"/>
        </w:rPr>
        <w:t>preservación</w:t>
      </w:r>
      <w:r w:rsidR="00D136BB">
        <w:rPr>
          <w:lang w:val="es-ES"/>
        </w:rPr>
        <w:t xml:space="preserve"> </w:t>
      </w:r>
      <w:r w:rsidRPr="003618E2">
        <w:rPr>
          <w:lang w:val="es-ES"/>
        </w:rPr>
        <w:t>del</w:t>
      </w:r>
      <w:r w:rsidR="00D136BB">
        <w:rPr>
          <w:lang w:val="es-ES"/>
        </w:rPr>
        <w:t xml:space="preserve"> </w:t>
      </w:r>
      <w:r w:rsidRPr="003618E2">
        <w:rPr>
          <w:lang w:val="es-ES"/>
        </w:rPr>
        <w:t>patrimonio</w:t>
      </w:r>
      <w:r w:rsidR="00D136BB">
        <w:rPr>
          <w:lang w:val="es-ES"/>
        </w:rPr>
        <w:t xml:space="preserve"> </w:t>
      </w:r>
      <w:r w:rsidRPr="003618E2">
        <w:rPr>
          <w:lang w:val="es-ES"/>
        </w:rPr>
        <w:t>cultural</w:t>
      </w:r>
      <w:r w:rsidR="00D136BB">
        <w:rPr>
          <w:lang w:val="es-ES"/>
        </w:rPr>
        <w:t xml:space="preserve"> </w:t>
      </w:r>
      <w:r w:rsidRPr="003618E2">
        <w:rPr>
          <w:lang w:val="es-ES"/>
        </w:rPr>
        <w:t>y</w:t>
      </w:r>
      <w:r w:rsidR="00D136BB">
        <w:rPr>
          <w:lang w:val="es-ES"/>
        </w:rPr>
        <w:t xml:space="preserve"> </w:t>
      </w:r>
      <w:r w:rsidRPr="003618E2">
        <w:rPr>
          <w:lang w:val="es-ES"/>
        </w:rPr>
        <w:t>del</w:t>
      </w:r>
      <w:r w:rsidR="00D136BB">
        <w:rPr>
          <w:lang w:val="es-ES"/>
        </w:rPr>
        <w:t xml:space="preserve"> </w:t>
      </w:r>
      <w:r w:rsidRPr="003618E2">
        <w:rPr>
          <w:lang w:val="es-ES"/>
        </w:rPr>
        <w:t>medio</w:t>
      </w:r>
      <w:r w:rsidR="00D136BB">
        <w:rPr>
          <w:lang w:val="es-ES"/>
        </w:rPr>
        <w:t xml:space="preserve"> </w:t>
      </w:r>
      <w:r w:rsidRPr="003618E2">
        <w:rPr>
          <w:lang w:val="es-ES"/>
        </w:rPr>
        <w:t>ambiente,</w:t>
      </w:r>
      <w:r w:rsidR="00D136BB">
        <w:rPr>
          <w:lang w:val="es-ES"/>
        </w:rPr>
        <w:t xml:space="preserve"> </w:t>
      </w:r>
      <w:r w:rsidRPr="003618E2">
        <w:rPr>
          <w:lang w:val="es-ES"/>
        </w:rPr>
        <w:t>como</w:t>
      </w:r>
      <w:r w:rsidR="00D136BB">
        <w:rPr>
          <w:lang w:val="es-ES"/>
        </w:rPr>
        <w:t xml:space="preserve"> </w:t>
      </w:r>
      <w:r w:rsidRPr="003618E2">
        <w:rPr>
          <w:lang w:val="es-ES"/>
        </w:rPr>
        <w:t>la</w:t>
      </w:r>
      <w:r w:rsidR="00D136BB">
        <w:rPr>
          <w:lang w:val="es-ES"/>
        </w:rPr>
        <w:t xml:space="preserve"> </w:t>
      </w:r>
      <w:r w:rsidRPr="003618E2">
        <w:rPr>
          <w:lang w:val="es-ES"/>
        </w:rPr>
        <w:t>protección</w:t>
      </w:r>
      <w:r w:rsidR="00D136BB">
        <w:rPr>
          <w:lang w:val="es-ES"/>
        </w:rPr>
        <w:t xml:space="preserve"> </w:t>
      </w:r>
      <w:r w:rsidRPr="003618E2">
        <w:rPr>
          <w:lang w:val="es-ES"/>
        </w:rPr>
        <w:t>costera</w:t>
      </w:r>
      <w:r w:rsidR="00D136BB">
        <w:rPr>
          <w:lang w:val="es-ES"/>
        </w:rPr>
        <w:t xml:space="preserve"> </w:t>
      </w:r>
      <w:r w:rsidRPr="003618E2">
        <w:rPr>
          <w:lang w:val="es-ES"/>
        </w:rPr>
        <w:t>contra</w:t>
      </w:r>
      <w:r w:rsidR="00D136BB">
        <w:rPr>
          <w:lang w:val="es-ES"/>
        </w:rPr>
        <w:t xml:space="preserve"> </w:t>
      </w:r>
      <w:r w:rsidRPr="003618E2">
        <w:rPr>
          <w:lang w:val="es-ES"/>
        </w:rPr>
        <w:t>la</w:t>
      </w:r>
      <w:r w:rsidR="00D136BB">
        <w:rPr>
          <w:lang w:val="es-ES"/>
        </w:rPr>
        <w:t xml:space="preserve"> </w:t>
      </w:r>
      <w:r w:rsidRPr="003618E2">
        <w:rPr>
          <w:lang w:val="es-ES"/>
        </w:rPr>
        <w:t>erosión.</w:t>
      </w:r>
    </w:p>
    <w:p w14:paraId="114FD1A0" w14:textId="1D4CFA82" w:rsidR="006D362C" w:rsidRPr="003618E2" w:rsidRDefault="006D362C" w:rsidP="006D362C">
      <w:pPr>
        <w:pStyle w:val="BodyText"/>
        <w:rPr>
          <w:lang w:val="es-ES"/>
        </w:rPr>
      </w:pPr>
      <w:r w:rsidRPr="003618E2">
        <w:rPr>
          <w:lang w:val="es-ES"/>
        </w:rPr>
        <w:t>Con</w:t>
      </w:r>
      <w:r w:rsidR="00D136BB">
        <w:rPr>
          <w:lang w:val="es-ES"/>
        </w:rPr>
        <w:t xml:space="preserve"> </w:t>
      </w:r>
      <w:r w:rsidRPr="003618E2">
        <w:rPr>
          <w:lang w:val="es-ES"/>
        </w:rPr>
        <w:t>el</w:t>
      </w:r>
      <w:r w:rsidR="00D136BB">
        <w:rPr>
          <w:lang w:val="es-ES"/>
        </w:rPr>
        <w:t xml:space="preserve"> </w:t>
      </w:r>
      <w:r w:rsidRPr="003618E2">
        <w:rPr>
          <w:lang w:val="es-ES"/>
        </w:rPr>
        <w:t>aumento</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experiencia</w:t>
      </w:r>
      <w:r w:rsidR="00D136BB">
        <w:rPr>
          <w:lang w:val="es-ES"/>
        </w:rPr>
        <w:t xml:space="preserve"> </w:t>
      </w:r>
      <w:r w:rsidRPr="003618E2">
        <w:rPr>
          <w:lang w:val="es-ES"/>
        </w:rPr>
        <w:t>y</w:t>
      </w:r>
      <w:r w:rsidR="00D136BB">
        <w:rPr>
          <w:lang w:val="es-ES"/>
        </w:rPr>
        <w:t xml:space="preserve"> </w:t>
      </w:r>
      <w:r w:rsidRPr="003618E2">
        <w:rPr>
          <w:lang w:val="es-ES"/>
        </w:rPr>
        <w:t>la</w:t>
      </w:r>
      <w:r w:rsidR="00D136BB">
        <w:rPr>
          <w:lang w:val="es-ES"/>
        </w:rPr>
        <w:t xml:space="preserve"> </w:t>
      </w:r>
      <w:r w:rsidRPr="003618E2">
        <w:rPr>
          <w:lang w:val="es-ES"/>
        </w:rPr>
        <w:t>confianza</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se</w:t>
      </w:r>
      <w:r w:rsidR="00D136BB">
        <w:rPr>
          <w:lang w:val="es-ES"/>
        </w:rPr>
        <w:t xml:space="preserve"> </w:t>
      </w:r>
      <w:r w:rsidRPr="003618E2">
        <w:rPr>
          <w:lang w:val="es-ES"/>
        </w:rPr>
        <w:t>encuentra</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umbral</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mejora</w:t>
      </w:r>
      <w:r w:rsidR="00D136BB">
        <w:rPr>
          <w:lang w:val="es-ES"/>
        </w:rPr>
        <w:t xml:space="preserve"> </w:t>
      </w:r>
      <w:r w:rsidRPr="003618E2">
        <w:rPr>
          <w:lang w:val="es-ES"/>
        </w:rPr>
        <w:t>considerable</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en</w:t>
      </w:r>
      <w:r w:rsidR="00D136BB">
        <w:rPr>
          <w:lang w:val="es-ES"/>
        </w:rPr>
        <w:t xml:space="preserve"> </w:t>
      </w:r>
      <w:r w:rsidRPr="003618E2">
        <w:rPr>
          <w:lang w:val="es-ES"/>
        </w:rPr>
        <w:t>prácticamente</w:t>
      </w:r>
      <w:r w:rsidR="00D136BB">
        <w:rPr>
          <w:lang w:val="es-ES"/>
        </w:rPr>
        <w:t xml:space="preserve"> </w:t>
      </w:r>
      <w:r w:rsidRPr="003618E2">
        <w:rPr>
          <w:lang w:val="es-ES"/>
        </w:rPr>
        <w:t>todos</w:t>
      </w:r>
      <w:r w:rsidR="00D136BB">
        <w:rPr>
          <w:lang w:val="es-ES"/>
        </w:rPr>
        <w:t xml:space="preserve"> </w:t>
      </w:r>
      <w:r w:rsidRPr="003618E2">
        <w:rPr>
          <w:lang w:val="es-ES"/>
        </w:rPr>
        <w:t>los</w:t>
      </w:r>
      <w:r w:rsidR="00D136BB">
        <w:rPr>
          <w:lang w:val="es-ES"/>
        </w:rPr>
        <w:t xml:space="preserve"> </w:t>
      </w:r>
      <w:r w:rsidRPr="003618E2">
        <w:rPr>
          <w:lang w:val="es-ES"/>
        </w:rPr>
        <w:t>países</w:t>
      </w:r>
      <w:r w:rsidR="00D136BB">
        <w:rPr>
          <w:lang w:val="es-ES"/>
        </w:rPr>
        <w:t xml:space="preserve"> </w:t>
      </w:r>
      <w:r w:rsidRPr="003618E2">
        <w:rPr>
          <w:lang w:val="es-ES"/>
        </w:rPr>
        <w:t>y</w:t>
      </w:r>
      <w:r w:rsidR="00D136BB">
        <w:rPr>
          <w:lang w:val="es-ES"/>
        </w:rPr>
        <w:t xml:space="preserve"> </w:t>
      </w:r>
      <w:r w:rsidRPr="003618E2">
        <w:rPr>
          <w:lang w:val="es-ES"/>
        </w:rPr>
        <w:t>para</w:t>
      </w:r>
      <w:r w:rsidR="00D136BB">
        <w:rPr>
          <w:lang w:val="es-ES"/>
        </w:rPr>
        <w:t xml:space="preserve"> </w:t>
      </w:r>
      <w:r w:rsidRPr="003618E2">
        <w:rPr>
          <w:lang w:val="es-ES"/>
        </w:rPr>
        <w:t>emerger</w:t>
      </w:r>
      <w:r w:rsidR="00D136BB">
        <w:rPr>
          <w:lang w:val="es-ES"/>
        </w:rPr>
        <w:t xml:space="preserve"> </w:t>
      </w:r>
      <w:r w:rsidRPr="003618E2">
        <w:rPr>
          <w:lang w:val="es-ES"/>
        </w:rPr>
        <w:t>como</w:t>
      </w:r>
      <w:r w:rsidR="00D136BB">
        <w:rPr>
          <w:lang w:val="es-ES"/>
        </w:rPr>
        <w:t xml:space="preserve"> </w:t>
      </w:r>
      <w:r w:rsidRPr="003618E2">
        <w:rPr>
          <w:lang w:val="es-ES"/>
        </w:rPr>
        <w:t>un</w:t>
      </w:r>
      <w:r w:rsidR="00D136BB">
        <w:rPr>
          <w:lang w:val="es-ES"/>
        </w:rPr>
        <w:t xml:space="preserve"> </w:t>
      </w:r>
      <w:r w:rsidRPr="003618E2">
        <w:rPr>
          <w:lang w:val="es-ES"/>
        </w:rPr>
        <w:t>importante</w:t>
      </w:r>
      <w:r w:rsidR="00D136BB">
        <w:rPr>
          <w:lang w:val="es-ES"/>
        </w:rPr>
        <w:t xml:space="preserve"> </w:t>
      </w:r>
      <w:r w:rsidRPr="003618E2">
        <w:rPr>
          <w:lang w:val="es-ES"/>
        </w:rPr>
        <w:t>contribuyente</w:t>
      </w:r>
      <w:r w:rsidR="00D136BB">
        <w:rPr>
          <w:lang w:val="es-ES"/>
        </w:rPr>
        <w:t xml:space="preserve"> </w:t>
      </w:r>
      <w:r w:rsidRPr="003618E2">
        <w:rPr>
          <w:lang w:val="es-ES"/>
        </w:rPr>
        <w:t>a</w:t>
      </w:r>
      <w:r w:rsidR="00D136BB">
        <w:rPr>
          <w:lang w:val="es-ES"/>
        </w:rPr>
        <w:t xml:space="preserve"> </w:t>
      </w:r>
      <w:r w:rsidRPr="003618E2">
        <w:rPr>
          <w:lang w:val="es-ES"/>
        </w:rPr>
        <w:t>las</w:t>
      </w:r>
      <w:r w:rsidR="00D136BB">
        <w:rPr>
          <w:lang w:val="es-ES"/>
        </w:rPr>
        <w:t xml:space="preserve"> </w:t>
      </w:r>
      <w:r w:rsidRPr="003618E2">
        <w:rPr>
          <w:lang w:val="es-ES"/>
        </w:rPr>
        <w:t>economías</w:t>
      </w:r>
      <w:r w:rsidR="00D136BB">
        <w:rPr>
          <w:lang w:val="es-ES"/>
        </w:rPr>
        <w:t xml:space="preserve"> </w:t>
      </w:r>
      <w:r w:rsidRPr="003618E2">
        <w:rPr>
          <w:lang w:val="es-ES"/>
        </w:rPr>
        <w:t>nacionales.</w:t>
      </w:r>
      <w:r w:rsidR="00D136BB">
        <w:rPr>
          <w:lang w:val="es-ES"/>
        </w:rPr>
        <w:t xml:space="preserve"> </w:t>
      </w:r>
      <w:r w:rsidRPr="003618E2">
        <w:rPr>
          <w:lang w:val="es-ES"/>
        </w:rPr>
        <w:t>Teniendo</w:t>
      </w:r>
      <w:r w:rsidR="00D136BB">
        <w:rPr>
          <w:lang w:val="es-ES"/>
        </w:rPr>
        <w:t xml:space="preserve"> </w:t>
      </w:r>
      <w:r w:rsidRPr="003618E2">
        <w:rPr>
          <w:lang w:val="es-ES"/>
        </w:rPr>
        <w:t>en</w:t>
      </w:r>
      <w:r w:rsidR="00D136BB">
        <w:rPr>
          <w:lang w:val="es-ES"/>
        </w:rPr>
        <w:t xml:space="preserve"> </w:t>
      </w:r>
      <w:r w:rsidRPr="003618E2">
        <w:rPr>
          <w:lang w:val="es-ES"/>
        </w:rPr>
        <w:t>cuenta</w:t>
      </w:r>
      <w:r w:rsidR="00D136BB">
        <w:rPr>
          <w:lang w:val="es-ES"/>
        </w:rPr>
        <w:t xml:space="preserve"> </w:t>
      </w:r>
      <w:r w:rsidRPr="003618E2">
        <w:rPr>
          <w:lang w:val="es-ES"/>
        </w:rPr>
        <w:t>las</w:t>
      </w:r>
      <w:r w:rsidR="00D136BB">
        <w:rPr>
          <w:lang w:val="es-ES"/>
        </w:rPr>
        <w:t xml:space="preserve"> </w:t>
      </w:r>
      <w:r w:rsidRPr="003618E2">
        <w:rPr>
          <w:lang w:val="es-ES"/>
        </w:rPr>
        <w:t>necesidades,</w:t>
      </w:r>
      <w:r w:rsidR="00D136BB">
        <w:rPr>
          <w:lang w:val="es-ES"/>
        </w:rPr>
        <w:t xml:space="preserve"> </w:t>
      </w:r>
      <w:r w:rsidRPr="003618E2">
        <w:rPr>
          <w:lang w:val="es-ES"/>
        </w:rPr>
        <w:t>las</w:t>
      </w:r>
      <w:r w:rsidR="00D136BB">
        <w:rPr>
          <w:lang w:val="es-ES"/>
        </w:rPr>
        <w:t xml:space="preserve"> </w:t>
      </w:r>
      <w:r w:rsidRPr="003618E2">
        <w:rPr>
          <w:lang w:val="es-ES"/>
        </w:rPr>
        <w:t>posibilidades</w:t>
      </w:r>
      <w:r w:rsidR="00D136BB">
        <w:rPr>
          <w:lang w:val="es-ES"/>
        </w:rPr>
        <w:t xml:space="preserve"> </w:t>
      </w:r>
      <w:r w:rsidRPr="003618E2">
        <w:rPr>
          <w:lang w:val="es-ES"/>
        </w:rPr>
        <w:t>y</w:t>
      </w:r>
      <w:r w:rsidR="00D136BB">
        <w:rPr>
          <w:lang w:val="es-ES"/>
        </w:rPr>
        <w:t xml:space="preserve"> </w:t>
      </w:r>
      <w:r w:rsidRPr="003618E2">
        <w:rPr>
          <w:lang w:val="es-ES"/>
        </w:rPr>
        <w:t>capacidades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las</w:t>
      </w:r>
      <w:r w:rsidR="00D136BB">
        <w:rPr>
          <w:lang w:val="es-ES"/>
        </w:rPr>
        <w:t xml:space="preserve"> </w:t>
      </w:r>
      <w:r w:rsidRPr="003618E2">
        <w:rPr>
          <w:lang w:val="es-ES"/>
        </w:rPr>
        <w:t>siguientes</w:t>
      </w:r>
      <w:r w:rsidR="00D136BB">
        <w:rPr>
          <w:lang w:val="es-ES"/>
        </w:rPr>
        <w:t xml:space="preserve"> </w:t>
      </w:r>
      <w:r w:rsidRPr="003618E2">
        <w:rPr>
          <w:lang w:val="es-ES"/>
        </w:rPr>
        <w:t>áreas</w:t>
      </w:r>
      <w:r w:rsidR="00D136BB">
        <w:rPr>
          <w:lang w:val="es-ES"/>
        </w:rPr>
        <w:t xml:space="preserve"> </w:t>
      </w:r>
      <w:r w:rsidRPr="003618E2">
        <w:rPr>
          <w:lang w:val="es-ES"/>
        </w:rPr>
        <w:t>en</w:t>
      </w:r>
      <w:r w:rsidR="00D136BB">
        <w:rPr>
          <w:lang w:val="es-ES"/>
        </w:rPr>
        <w:t xml:space="preserve"> </w:t>
      </w:r>
      <w:r w:rsidRPr="003618E2">
        <w:rPr>
          <w:lang w:val="es-ES"/>
        </w:rPr>
        <w:t>las</w:t>
      </w:r>
      <w:r w:rsidR="00D136BB">
        <w:rPr>
          <w:lang w:val="es-ES"/>
        </w:rPr>
        <w:t xml:space="preserve"> </w:t>
      </w:r>
      <w:r w:rsidRPr="003618E2">
        <w:rPr>
          <w:lang w:val="es-ES"/>
        </w:rPr>
        <w:t>que</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pueden</w:t>
      </w:r>
      <w:r w:rsidR="00D136BB">
        <w:rPr>
          <w:lang w:val="es-ES"/>
        </w:rPr>
        <w:t xml:space="preserve"> </w:t>
      </w:r>
      <w:r w:rsidRPr="003618E2">
        <w:rPr>
          <w:lang w:val="es-ES"/>
        </w:rPr>
        <w:t>ser</w:t>
      </w:r>
      <w:r w:rsidR="00D136BB">
        <w:rPr>
          <w:lang w:val="es-ES"/>
        </w:rPr>
        <w:t xml:space="preserve"> </w:t>
      </w:r>
      <w:r w:rsidRPr="003618E2">
        <w:rPr>
          <w:lang w:val="es-ES"/>
        </w:rPr>
        <w:t>utilizadas</w:t>
      </w:r>
      <w:r w:rsidR="00D136BB">
        <w:rPr>
          <w:lang w:val="es-ES"/>
        </w:rPr>
        <w:t xml:space="preserve"> </w:t>
      </w:r>
      <w:r w:rsidRPr="003618E2">
        <w:rPr>
          <w:lang w:val="es-ES"/>
        </w:rPr>
        <w:t>benéficamente</w:t>
      </w:r>
      <w:r w:rsidR="00D136BB">
        <w:rPr>
          <w:lang w:val="es-ES"/>
        </w:rPr>
        <w:t xml:space="preserve"> </w:t>
      </w:r>
      <w:r w:rsidRPr="003618E2">
        <w:rPr>
          <w:lang w:val="es-ES"/>
        </w:rPr>
        <w:t>fueron</w:t>
      </w:r>
      <w:r w:rsidR="00D136BB">
        <w:rPr>
          <w:lang w:val="es-ES"/>
        </w:rPr>
        <w:t xml:space="preserve"> </w:t>
      </w:r>
      <w:r w:rsidRPr="003618E2">
        <w:rPr>
          <w:lang w:val="es-ES"/>
        </w:rPr>
        <w:t>identificadas</w:t>
      </w:r>
      <w:r w:rsidR="00D136BB">
        <w:rPr>
          <w:lang w:val="es-ES"/>
        </w:rPr>
        <w:t xml:space="preserve"> </w:t>
      </w:r>
      <w:r w:rsidRPr="003618E2">
        <w:rPr>
          <w:lang w:val="es-ES"/>
        </w:rPr>
        <w:t>por</w:t>
      </w:r>
      <w:r w:rsidR="00D136BB">
        <w:rPr>
          <w:lang w:val="es-ES"/>
        </w:rPr>
        <w:t xml:space="preserve"> </w:t>
      </w:r>
      <w:r w:rsidRPr="003618E2">
        <w:rPr>
          <w:lang w:val="es-ES"/>
        </w:rPr>
        <w:t>grupo.</w:t>
      </w:r>
    </w:p>
    <w:p w14:paraId="3E29AD42" w14:textId="77777777" w:rsidR="006D362C" w:rsidRPr="003618E2" w:rsidRDefault="006D362C" w:rsidP="006D362C">
      <w:pPr>
        <w:pStyle w:val="BodyText"/>
        <w:rPr>
          <w:lang w:val="es-ES"/>
        </w:rPr>
      </w:pPr>
    </w:p>
    <w:p w14:paraId="5FE8976A" w14:textId="19D3FDE0" w:rsidR="006D362C" w:rsidRPr="003618E2" w:rsidRDefault="006D362C" w:rsidP="006D362C">
      <w:pPr>
        <w:pStyle w:val="BodyText"/>
        <w:rPr>
          <w:b/>
          <w:bCs/>
          <w:lang w:val="es-ES"/>
        </w:rPr>
      </w:pPr>
      <w:r w:rsidRPr="003618E2">
        <w:rPr>
          <w:b/>
          <w:bCs/>
          <w:lang w:val="es-ES"/>
        </w:rPr>
        <w:t>Agua</w:t>
      </w:r>
      <w:r w:rsidR="00D136BB">
        <w:rPr>
          <w:b/>
          <w:bCs/>
          <w:lang w:val="es-ES"/>
        </w:rPr>
        <w:t xml:space="preserve"> </w:t>
      </w:r>
      <w:r w:rsidRPr="003618E2">
        <w:rPr>
          <w:b/>
          <w:bCs/>
          <w:lang w:val="es-ES"/>
        </w:rPr>
        <w:t>(tratamiento):</w:t>
      </w:r>
    </w:p>
    <w:p w14:paraId="7905A08F" w14:textId="223E2599" w:rsidR="006D362C" w:rsidRPr="003618E2" w:rsidRDefault="006D362C" w:rsidP="006D362C">
      <w:pPr>
        <w:pStyle w:val="BodyText"/>
        <w:numPr>
          <w:ilvl w:val="0"/>
          <w:numId w:val="20"/>
        </w:numPr>
        <w:rPr>
          <w:lang w:val="es-ES"/>
        </w:rPr>
      </w:pP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agua</w:t>
      </w:r>
      <w:r w:rsidR="00D136BB">
        <w:rPr>
          <w:lang w:val="es-ES"/>
        </w:rPr>
        <w:t xml:space="preserve"> </w:t>
      </w:r>
      <w:r w:rsidRPr="003618E2">
        <w:rPr>
          <w:lang w:val="es-ES"/>
        </w:rPr>
        <w:t>para</w:t>
      </w:r>
      <w:r w:rsidR="00D136BB">
        <w:rPr>
          <w:lang w:val="es-ES"/>
        </w:rPr>
        <w:t xml:space="preserve"> </w:t>
      </w:r>
      <w:r w:rsidRPr="003618E2">
        <w:rPr>
          <w:lang w:val="es-ES"/>
        </w:rPr>
        <w:t>reutilización</w:t>
      </w:r>
      <w:r w:rsidR="00D136BB">
        <w:rPr>
          <w:lang w:val="es-ES"/>
        </w:rPr>
        <w:t xml:space="preserve"> </w:t>
      </w:r>
      <w:r w:rsidRPr="003618E2">
        <w:rPr>
          <w:lang w:val="es-ES"/>
        </w:rPr>
        <w:t>o</w:t>
      </w:r>
      <w:r w:rsidR="00D136BB">
        <w:rPr>
          <w:lang w:val="es-ES"/>
        </w:rPr>
        <w:t xml:space="preserve"> </w:t>
      </w:r>
      <w:r w:rsidRPr="003618E2">
        <w:rPr>
          <w:lang w:val="es-ES"/>
        </w:rPr>
        <w:t>descarga</w:t>
      </w:r>
      <w:r w:rsidR="00D136BB">
        <w:rPr>
          <w:lang w:val="es-ES"/>
        </w:rPr>
        <w:t xml:space="preserve"> </w:t>
      </w:r>
      <w:r w:rsidRPr="003618E2">
        <w:rPr>
          <w:lang w:val="es-ES"/>
        </w:rPr>
        <w:t>(PR)</w:t>
      </w:r>
    </w:p>
    <w:p w14:paraId="67ED9318" w14:textId="15B2E9DB" w:rsidR="006D362C" w:rsidRPr="003618E2" w:rsidRDefault="006D362C" w:rsidP="006D362C">
      <w:pPr>
        <w:pStyle w:val="BodyText"/>
        <w:numPr>
          <w:ilvl w:val="0"/>
          <w:numId w:val="20"/>
        </w:numPr>
        <w:rPr>
          <w:lang w:val="es-ES"/>
        </w:rPr>
      </w:pP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lodos</w:t>
      </w:r>
      <w:r w:rsidR="00D136BB">
        <w:rPr>
          <w:lang w:val="es-ES"/>
        </w:rPr>
        <w:t xml:space="preserve"> </w:t>
      </w:r>
      <w:r w:rsidRPr="003618E2">
        <w:rPr>
          <w:lang w:val="es-ES"/>
        </w:rPr>
        <w:t>(PR)</w:t>
      </w:r>
    </w:p>
    <w:p w14:paraId="2030F762" w14:textId="5C8637A7" w:rsidR="006D362C" w:rsidRPr="003618E2" w:rsidRDefault="006D362C" w:rsidP="006D362C">
      <w:pPr>
        <w:pStyle w:val="BodyText"/>
        <w:numPr>
          <w:ilvl w:val="0"/>
          <w:numId w:val="20"/>
        </w:numPr>
        <w:rPr>
          <w:lang w:val="es-ES"/>
        </w:rPr>
      </w:pPr>
      <w:r w:rsidRPr="003618E2">
        <w:rPr>
          <w:lang w:val="es-ES"/>
        </w:rPr>
        <w:lastRenderedPageBreak/>
        <w:t>Optimización</w:t>
      </w:r>
      <w:r w:rsidR="00D136BB">
        <w:rPr>
          <w:lang w:val="es-ES"/>
        </w:rPr>
        <w:t xml:space="preserve"> </w:t>
      </w:r>
      <w:r w:rsidRPr="003618E2">
        <w:rPr>
          <w:lang w:val="es-ES"/>
        </w:rPr>
        <w:t>de</w:t>
      </w:r>
      <w:r w:rsidR="00D136BB">
        <w:rPr>
          <w:lang w:val="es-ES"/>
        </w:rPr>
        <w:t xml:space="preserve"> </w:t>
      </w:r>
      <w:r w:rsidRPr="003618E2">
        <w:rPr>
          <w:lang w:val="es-ES"/>
        </w:rPr>
        <w:t>procesos</w:t>
      </w:r>
      <w:r w:rsidR="00D136BB">
        <w:rPr>
          <w:lang w:val="es-ES"/>
        </w:rPr>
        <w:t xml:space="preserve"> </w:t>
      </w:r>
      <w:r w:rsidRPr="003618E2">
        <w:rPr>
          <w:lang w:val="es-ES"/>
        </w:rPr>
        <w:t>de</w:t>
      </w:r>
      <w:r w:rsidR="00D136BB">
        <w:rPr>
          <w:lang w:val="es-ES"/>
        </w:rPr>
        <w:t xml:space="preserve"> </w:t>
      </w: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agua</w:t>
      </w:r>
      <w:r w:rsidR="00D136BB">
        <w:rPr>
          <w:lang w:val="es-ES"/>
        </w:rPr>
        <w:t xml:space="preserve"> </w:t>
      </w:r>
      <w:r w:rsidRPr="003618E2">
        <w:rPr>
          <w:lang w:val="es-ES"/>
        </w:rPr>
        <w:t>(T)</w:t>
      </w:r>
    </w:p>
    <w:p w14:paraId="118F2127" w14:textId="66D4A317" w:rsidR="006D362C" w:rsidRPr="003618E2" w:rsidRDefault="006D362C" w:rsidP="006D362C">
      <w:pPr>
        <w:pStyle w:val="BodyText"/>
        <w:numPr>
          <w:ilvl w:val="0"/>
          <w:numId w:val="20"/>
        </w:numPr>
        <w:rPr>
          <w:lang w:val="es-ES"/>
        </w:rPr>
      </w:pPr>
      <w:r w:rsidRPr="003618E2">
        <w:rPr>
          <w:lang w:val="es-ES"/>
        </w:rPr>
        <w:t>Medición</w:t>
      </w:r>
      <w:r w:rsidR="00D136BB">
        <w:rPr>
          <w:lang w:val="es-ES"/>
        </w:rPr>
        <w:t xml:space="preserve"> </w:t>
      </w:r>
      <w:r w:rsidRPr="003618E2">
        <w:rPr>
          <w:lang w:val="es-ES"/>
        </w:rPr>
        <w:t>de</w:t>
      </w:r>
      <w:r w:rsidR="00D136BB">
        <w:rPr>
          <w:lang w:val="es-ES"/>
        </w:rPr>
        <w:t xml:space="preserve"> </w:t>
      </w:r>
      <w:r w:rsidRPr="003618E2">
        <w:rPr>
          <w:lang w:val="es-ES"/>
        </w:rPr>
        <w:t>precipitaciones</w:t>
      </w:r>
      <w:r w:rsidR="00D136BB">
        <w:rPr>
          <w:lang w:val="es-ES"/>
        </w:rPr>
        <w:t xml:space="preserve"> </w:t>
      </w:r>
      <w:r w:rsidRPr="003618E2">
        <w:rPr>
          <w:lang w:val="es-ES"/>
        </w:rPr>
        <w:t>(T)</w:t>
      </w:r>
    </w:p>
    <w:p w14:paraId="3AF791A3" w14:textId="5B980807" w:rsidR="006D362C" w:rsidRPr="003618E2" w:rsidRDefault="006D362C" w:rsidP="006D362C">
      <w:pPr>
        <w:pStyle w:val="BodyText"/>
        <w:numPr>
          <w:ilvl w:val="0"/>
          <w:numId w:val="20"/>
        </w:numPr>
        <w:rPr>
          <w:lang w:val="es-ES"/>
        </w:rPr>
      </w:pPr>
      <w:r w:rsidRPr="003618E2">
        <w:rPr>
          <w:lang w:val="es-ES"/>
        </w:rPr>
        <w:t>Las</w:t>
      </w:r>
      <w:r w:rsidR="00D136BB">
        <w:rPr>
          <w:lang w:val="es-ES"/>
        </w:rPr>
        <w:t xml:space="preserve"> </w:t>
      </w:r>
      <w:r w:rsidRPr="003618E2">
        <w:rPr>
          <w:lang w:val="es-ES"/>
        </w:rPr>
        <w:t>áreas</w:t>
      </w:r>
      <w:r w:rsidR="00D136BB">
        <w:rPr>
          <w:lang w:val="es-ES"/>
        </w:rPr>
        <w:t xml:space="preserve"> </w:t>
      </w:r>
      <w:r w:rsidRPr="003618E2">
        <w:rPr>
          <w:lang w:val="es-ES"/>
        </w:rPr>
        <w:t>de</w:t>
      </w:r>
      <w:r w:rsidR="00D136BB">
        <w:rPr>
          <w:lang w:val="es-ES"/>
        </w:rPr>
        <w:t xml:space="preserve"> </w:t>
      </w:r>
      <w:r w:rsidRPr="003618E2">
        <w:rPr>
          <w:lang w:val="es-ES"/>
        </w:rPr>
        <w:t>protección</w:t>
      </w:r>
      <w:r w:rsidR="00D136BB">
        <w:rPr>
          <w:lang w:val="es-ES"/>
        </w:rPr>
        <w:t xml:space="preserve"> </w:t>
      </w:r>
      <w:r w:rsidRPr="003618E2">
        <w:rPr>
          <w:lang w:val="es-ES"/>
        </w:rPr>
        <w:t>de</w:t>
      </w:r>
      <w:r w:rsidR="00D136BB">
        <w:rPr>
          <w:lang w:val="es-ES"/>
        </w:rPr>
        <w:t xml:space="preserve"> </w:t>
      </w:r>
      <w:r w:rsidRPr="003618E2">
        <w:rPr>
          <w:lang w:val="es-ES"/>
        </w:rPr>
        <w:t>cuencas</w:t>
      </w:r>
      <w:r w:rsidR="00D136BB">
        <w:rPr>
          <w:lang w:val="es-ES"/>
        </w:rPr>
        <w:t xml:space="preserve"> </w:t>
      </w:r>
      <w:r w:rsidRPr="003618E2">
        <w:rPr>
          <w:lang w:val="es-ES"/>
        </w:rPr>
        <w:t>hidrográficas</w:t>
      </w:r>
      <w:r w:rsidR="00D136BB">
        <w:rPr>
          <w:lang w:val="es-ES"/>
        </w:rPr>
        <w:t xml:space="preserve"> </w:t>
      </w:r>
      <w:r w:rsidRPr="003618E2">
        <w:rPr>
          <w:lang w:val="es-ES"/>
        </w:rPr>
        <w:t>(T)</w:t>
      </w:r>
    </w:p>
    <w:p w14:paraId="469AE418" w14:textId="20614DF7" w:rsidR="006D362C" w:rsidRPr="003618E2" w:rsidRDefault="006D362C" w:rsidP="006D362C">
      <w:pPr>
        <w:pStyle w:val="BodyText"/>
        <w:rPr>
          <w:b/>
          <w:bCs/>
          <w:lang w:val="es-ES"/>
        </w:rPr>
      </w:pPr>
      <w:r w:rsidRPr="003618E2">
        <w:rPr>
          <w:b/>
          <w:bCs/>
          <w:lang w:val="es-ES"/>
        </w:rPr>
        <w:t>Agricultura</w:t>
      </w:r>
      <w:r w:rsidR="00D136BB">
        <w:rPr>
          <w:b/>
          <w:bCs/>
          <w:lang w:val="es-ES"/>
        </w:rPr>
        <w:t xml:space="preserve"> </w:t>
      </w:r>
      <w:r w:rsidRPr="003618E2">
        <w:rPr>
          <w:b/>
          <w:bCs/>
          <w:lang w:val="es-ES"/>
        </w:rPr>
        <w:t>(tratamiento):</w:t>
      </w:r>
    </w:p>
    <w:p w14:paraId="3F2D4A4E" w14:textId="15BE81B9" w:rsidR="006D362C" w:rsidRPr="003618E2" w:rsidRDefault="006D362C" w:rsidP="006D362C">
      <w:pPr>
        <w:pStyle w:val="BodyText"/>
        <w:numPr>
          <w:ilvl w:val="1"/>
          <w:numId w:val="28"/>
        </w:numPr>
        <w:rPr>
          <w:lang w:val="es-ES"/>
        </w:rPr>
      </w:pPr>
      <w:r w:rsidRPr="003618E2">
        <w:rPr>
          <w:lang w:val="es-ES"/>
        </w:rPr>
        <w:t>Esterilización</w:t>
      </w:r>
      <w:r w:rsidR="00D136BB">
        <w:rPr>
          <w:lang w:val="es-ES"/>
        </w:rPr>
        <w:t xml:space="preserve"> </w:t>
      </w:r>
      <w:r w:rsidRPr="003618E2">
        <w:rPr>
          <w:lang w:val="es-ES"/>
        </w:rPr>
        <w:t>de</w:t>
      </w:r>
      <w:r w:rsidR="00D136BB">
        <w:rPr>
          <w:lang w:val="es-ES"/>
        </w:rPr>
        <w:t xml:space="preserve"> </w:t>
      </w:r>
      <w:r w:rsidRPr="003618E2">
        <w:rPr>
          <w:lang w:val="es-ES"/>
        </w:rPr>
        <w:t>suelos</w:t>
      </w:r>
      <w:r w:rsidR="00D136BB">
        <w:rPr>
          <w:lang w:val="es-ES"/>
        </w:rPr>
        <w:t xml:space="preserve"> </w:t>
      </w:r>
      <w:r w:rsidRPr="003618E2">
        <w:rPr>
          <w:lang w:val="es-ES"/>
        </w:rPr>
        <w:t>(PR)</w:t>
      </w:r>
    </w:p>
    <w:p w14:paraId="47886728" w14:textId="12B9E06B" w:rsidR="006D362C" w:rsidRPr="003618E2" w:rsidRDefault="006D362C" w:rsidP="006D362C">
      <w:pPr>
        <w:pStyle w:val="BodyText"/>
        <w:numPr>
          <w:ilvl w:val="1"/>
          <w:numId w:val="28"/>
        </w:numPr>
        <w:rPr>
          <w:lang w:val="es-ES"/>
        </w:rPr>
      </w:pPr>
      <w:r w:rsidRPr="003618E2">
        <w:rPr>
          <w:lang w:val="es-ES"/>
        </w:rPr>
        <w:t>Promotores</w:t>
      </w:r>
      <w:r w:rsidR="00D136BB">
        <w:rPr>
          <w:lang w:val="es-ES"/>
        </w:rPr>
        <w:t xml:space="preserve"> </w:t>
      </w:r>
      <w:r w:rsidRPr="003618E2">
        <w:rPr>
          <w:lang w:val="es-ES"/>
        </w:rPr>
        <w:t>de</w:t>
      </w:r>
      <w:r w:rsidR="00D136BB">
        <w:rPr>
          <w:lang w:val="es-ES"/>
        </w:rPr>
        <w:t xml:space="preserve"> </w:t>
      </w:r>
      <w:r w:rsidRPr="003618E2">
        <w:rPr>
          <w:lang w:val="es-ES"/>
        </w:rPr>
        <w:t>crecimiento</w:t>
      </w:r>
      <w:r w:rsidR="00D136BB">
        <w:rPr>
          <w:lang w:val="es-ES"/>
        </w:rPr>
        <w:t xml:space="preserve"> </w:t>
      </w:r>
      <w:r w:rsidRPr="003618E2">
        <w:rPr>
          <w:lang w:val="es-ES"/>
        </w:rPr>
        <w:t>de</w:t>
      </w:r>
      <w:r w:rsidR="00D136BB">
        <w:rPr>
          <w:lang w:val="es-ES"/>
        </w:rPr>
        <w:t xml:space="preserve"> </w:t>
      </w:r>
      <w:r w:rsidRPr="003618E2">
        <w:rPr>
          <w:lang w:val="es-ES"/>
        </w:rPr>
        <w:t>plantas</w:t>
      </w:r>
      <w:r w:rsidR="00D136BB">
        <w:rPr>
          <w:lang w:val="es-ES"/>
        </w:rPr>
        <w:t xml:space="preserve"> </w:t>
      </w:r>
      <w:r w:rsidRPr="003618E2">
        <w:rPr>
          <w:lang w:val="es-ES"/>
        </w:rPr>
        <w:t>(usando</w:t>
      </w:r>
      <w:r w:rsidR="00D136BB">
        <w:rPr>
          <w:lang w:val="es-ES"/>
        </w:rPr>
        <w:t xml:space="preserve"> </w:t>
      </w:r>
      <w:r w:rsidRPr="003618E2">
        <w:rPr>
          <w:lang w:val="es-ES"/>
        </w:rPr>
        <w:t>polímeros</w:t>
      </w:r>
      <w:r w:rsidR="00D136BB">
        <w:rPr>
          <w:lang w:val="es-ES"/>
        </w:rPr>
        <w:t xml:space="preserve"> </w:t>
      </w:r>
      <w:r w:rsidRPr="003618E2">
        <w:rPr>
          <w:lang w:val="es-ES"/>
        </w:rPr>
        <w:t>naturales)</w:t>
      </w:r>
      <w:r w:rsidR="00D136BB">
        <w:rPr>
          <w:lang w:val="es-ES"/>
        </w:rPr>
        <w:t xml:space="preserve"> </w:t>
      </w:r>
      <w:r w:rsidRPr="003618E2">
        <w:rPr>
          <w:lang w:val="es-ES"/>
        </w:rPr>
        <w:t>(PR)</w:t>
      </w:r>
    </w:p>
    <w:p w14:paraId="56EA34AF" w14:textId="15559D98" w:rsidR="006D362C" w:rsidRPr="003618E2" w:rsidRDefault="006D362C" w:rsidP="006D362C">
      <w:pPr>
        <w:pStyle w:val="BodyText"/>
        <w:numPr>
          <w:ilvl w:val="1"/>
          <w:numId w:val="28"/>
        </w:numPr>
        <w:rPr>
          <w:lang w:val="es-ES"/>
        </w:rPr>
      </w:pPr>
      <w:r w:rsidRPr="003618E2">
        <w:rPr>
          <w:lang w:val="es-ES"/>
        </w:rPr>
        <w:t>Super</w:t>
      </w:r>
      <w:r w:rsidR="00D136BB">
        <w:rPr>
          <w:lang w:val="es-ES"/>
        </w:rPr>
        <w:t xml:space="preserve"> </w:t>
      </w:r>
      <w:r w:rsidRPr="003618E2">
        <w:rPr>
          <w:lang w:val="es-ES"/>
        </w:rPr>
        <w:t>absorbedores</w:t>
      </w:r>
      <w:r w:rsidR="00D136BB">
        <w:rPr>
          <w:lang w:val="es-ES"/>
        </w:rPr>
        <w:t xml:space="preserve"> </w:t>
      </w:r>
      <w:r w:rsidRPr="003618E2">
        <w:rPr>
          <w:lang w:val="es-ES"/>
        </w:rPr>
        <w:t>de</w:t>
      </w:r>
      <w:r w:rsidR="00D136BB">
        <w:rPr>
          <w:lang w:val="es-ES"/>
        </w:rPr>
        <w:t xml:space="preserve"> </w:t>
      </w:r>
      <w:r w:rsidRPr="003618E2">
        <w:rPr>
          <w:lang w:val="es-ES"/>
        </w:rPr>
        <w:t>agua</w:t>
      </w:r>
      <w:r w:rsidR="00D136BB">
        <w:rPr>
          <w:lang w:val="es-ES"/>
        </w:rPr>
        <w:t xml:space="preserve"> </w:t>
      </w:r>
      <w:r w:rsidRPr="003618E2">
        <w:rPr>
          <w:lang w:val="es-ES"/>
        </w:rPr>
        <w:t>(usando</w:t>
      </w:r>
      <w:r w:rsidR="00D136BB">
        <w:rPr>
          <w:lang w:val="es-ES"/>
        </w:rPr>
        <w:t xml:space="preserve"> </w:t>
      </w:r>
      <w:r w:rsidRPr="003618E2">
        <w:rPr>
          <w:lang w:val="es-ES"/>
        </w:rPr>
        <w:t>polímeros</w:t>
      </w:r>
      <w:r w:rsidR="00D136BB">
        <w:rPr>
          <w:lang w:val="es-ES"/>
        </w:rPr>
        <w:t xml:space="preserve"> </w:t>
      </w:r>
      <w:r w:rsidRPr="003618E2">
        <w:rPr>
          <w:lang w:val="es-ES"/>
        </w:rPr>
        <w:t>naturales)</w:t>
      </w:r>
      <w:r w:rsidR="00D136BB">
        <w:rPr>
          <w:lang w:val="es-ES"/>
        </w:rPr>
        <w:t xml:space="preserve"> </w:t>
      </w:r>
      <w:r w:rsidRPr="003618E2">
        <w:rPr>
          <w:lang w:val="es-ES"/>
        </w:rPr>
        <w:t>(PR)</w:t>
      </w:r>
    </w:p>
    <w:p w14:paraId="71F3FE87" w14:textId="2B67E14C" w:rsidR="006D362C" w:rsidRPr="003618E2" w:rsidRDefault="006D362C" w:rsidP="006D362C">
      <w:pPr>
        <w:pStyle w:val="BodyText"/>
        <w:numPr>
          <w:ilvl w:val="1"/>
          <w:numId w:val="28"/>
        </w:numPr>
        <w:rPr>
          <w:lang w:val="pt-BR"/>
        </w:rPr>
      </w:pPr>
      <w:r w:rsidRPr="003618E2">
        <w:rPr>
          <w:lang w:val="pt-BR"/>
        </w:rPr>
        <w:t>Biocidas</w:t>
      </w:r>
      <w:r w:rsidR="00D136BB">
        <w:rPr>
          <w:lang w:val="pt-BR"/>
        </w:rPr>
        <w:t xml:space="preserve"> </w:t>
      </w:r>
      <w:r w:rsidRPr="003618E2">
        <w:rPr>
          <w:lang w:val="pt-BR"/>
        </w:rPr>
        <w:t>(usando</w:t>
      </w:r>
      <w:r w:rsidR="00D136BB">
        <w:rPr>
          <w:lang w:val="pt-BR"/>
        </w:rPr>
        <w:t xml:space="preserve"> </w:t>
      </w:r>
      <w:r w:rsidRPr="003618E2">
        <w:rPr>
          <w:lang w:val="pt-BR"/>
        </w:rPr>
        <w:t>polímeros</w:t>
      </w:r>
      <w:r w:rsidR="00D136BB">
        <w:rPr>
          <w:lang w:val="pt-BR"/>
        </w:rPr>
        <w:t xml:space="preserve"> </w:t>
      </w:r>
      <w:r w:rsidRPr="003618E2">
        <w:rPr>
          <w:lang w:val="pt-BR"/>
        </w:rPr>
        <w:t>naturales)</w:t>
      </w:r>
      <w:r w:rsidR="00D136BB">
        <w:rPr>
          <w:lang w:val="pt-BR"/>
        </w:rPr>
        <w:t xml:space="preserve"> </w:t>
      </w:r>
      <w:r w:rsidRPr="003618E2">
        <w:rPr>
          <w:lang w:val="pt-BR"/>
        </w:rPr>
        <w:t>(PR)</w:t>
      </w:r>
    </w:p>
    <w:p w14:paraId="387882E5" w14:textId="19509183" w:rsidR="006D362C" w:rsidRPr="003618E2" w:rsidRDefault="006D362C" w:rsidP="006D362C">
      <w:pPr>
        <w:pStyle w:val="BodyText"/>
        <w:numPr>
          <w:ilvl w:val="1"/>
          <w:numId w:val="28"/>
        </w:numPr>
        <w:rPr>
          <w:lang w:val="es-ES"/>
        </w:rPr>
      </w:pPr>
      <w:r w:rsidRPr="003618E2">
        <w:rPr>
          <w:lang w:val="es-ES"/>
        </w:rPr>
        <w:t>Estudios</w:t>
      </w:r>
      <w:r w:rsidR="00D136BB">
        <w:rPr>
          <w:lang w:val="es-ES"/>
        </w:rPr>
        <w:t xml:space="preserve"> </w:t>
      </w:r>
      <w:r w:rsidRPr="003618E2">
        <w:rPr>
          <w:lang w:val="es-ES"/>
        </w:rPr>
        <w:t>de</w:t>
      </w:r>
      <w:r w:rsidR="00D136BB">
        <w:rPr>
          <w:lang w:val="es-ES"/>
        </w:rPr>
        <w:t xml:space="preserve"> </w:t>
      </w:r>
      <w:r w:rsidRPr="003618E2">
        <w:rPr>
          <w:lang w:val="es-ES"/>
        </w:rPr>
        <w:t>erosión</w:t>
      </w:r>
      <w:r w:rsidR="00D136BB">
        <w:rPr>
          <w:lang w:val="es-ES"/>
        </w:rPr>
        <w:t xml:space="preserve"> </w:t>
      </w:r>
      <w:r w:rsidRPr="003618E2">
        <w:rPr>
          <w:lang w:val="es-ES"/>
        </w:rPr>
        <w:t>de</w:t>
      </w:r>
      <w:r w:rsidR="00D136BB">
        <w:rPr>
          <w:lang w:val="es-ES"/>
        </w:rPr>
        <w:t xml:space="preserve"> </w:t>
      </w:r>
      <w:r w:rsidRPr="003618E2">
        <w:rPr>
          <w:lang w:val="es-ES"/>
        </w:rPr>
        <w:t>suelos</w:t>
      </w:r>
      <w:r w:rsidR="00D136BB">
        <w:rPr>
          <w:lang w:val="es-ES"/>
        </w:rPr>
        <w:t xml:space="preserve"> </w:t>
      </w:r>
      <w:r w:rsidRPr="003618E2">
        <w:rPr>
          <w:lang w:val="es-ES"/>
        </w:rPr>
        <w:t>(T,</w:t>
      </w:r>
      <w:r w:rsidR="00D136BB">
        <w:rPr>
          <w:lang w:val="es-ES"/>
        </w:rPr>
        <w:t xml:space="preserve"> </w:t>
      </w:r>
      <w:r w:rsidRPr="003618E2">
        <w:rPr>
          <w:lang w:val="es-ES"/>
        </w:rPr>
        <w:t>TAN)</w:t>
      </w:r>
    </w:p>
    <w:p w14:paraId="02425CCB" w14:textId="5B8F6AF9" w:rsidR="006D362C" w:rsidRPr="003618E2" w:rsidRDefault="006D362C" w:rsidP="006D362C">
      <w:pPr>
        <w:pStyle w:val="BodyText"/>
        <w:numPr>
          <w:ilvl w:val="1"/>
          <w:numId w:val="28"/>
        </w:numPr>
        <w:rPr>
          <w:lang w:val="es-ES"/>
        </w:rPr>
      </w:pPr>
      <w:r w:rsidRPr="003618E2">
        <w:rPr>
          <w:lang w:val="es-ES"/>
        </w:rPr>
        <w:t>Estudios</w:t>
      </w:r>
      <w:r w:rsidR="00D136BB">
        <w:rPr>
          <w:lang w:val="es-ES"/>
        </w:rPr>
        <w:t xml:space="preserve"> </w:t>
      </w:r>
      <w:r w:rsidRPr="003618E2">
        <w:rPr>
          <w:lang w:val="es-ES"/>
        </w:rPr>
        <w:t>de</w:t>
      </w:r>
      <w:r w:rsidR="00D136BB">
        <w:rPr>
          <w:lang w:val="es-ES"/>
        </w:rPr>
        <w:t xml:space="preserve"> </w:t>
      </w:r>
      <w:r w:rsidRPr="003618E2">
        <w:rPr>
          <w:lang w:val="es-ES"/>
        </w:rPr>
        <w:t>transferencia</w:t>
      </w:r>
      <w:r w:rsidR="00D136BB">
        <w:rPr>
          <w:lang w:val="es-ES"/>
        </w:rPr>
        <w:t xml:space="preserve"> </w:t>
      </w:r>
      <w:r w:rsidRPr="003618E2">
        <w:rPr>
          <w:lang w:val="es-ES"/>
        </w:rPr>
        <w:t>de</w:t>
      </w:r>
      <w:r w:rsidR="00D136BB">
        <w:rPr>
          <w:lang w:val="es-ES"/>
        </w:rPr>
        <w:t xml:space="preserve"> </w:t>
      </w:r>
      <w:r w:rsidRPr="003618E2">
        <w:rPr>
          <w:lang w:val="es-ES"/>
        </w:rPr>
        <w:t>fertilizantes</w:t>
      </w:r>
      <w:r w:rsidR="00D136BB">
        <w:rPr>
          <w:lang w:val="es-ES"/>
        </w:rPr>
        <w:t xml:space="preserve"> </w:t>
      </w:r>
      <w:r w:rsidRPr="003618E2">
        <w:rPr>
          <w:lang w:val="es-ES"/>
        </w:rPr>
        <w:t>y</w:t>
      </w:r>
      <w:r w:rsidR="00D136BB">
        <w:rPr>
          <w:lang w:val="es-ES"/>
        </w:rPr>
        <w:t xml:space="preserve"> </w:t>
      </w:r>
      <w:r w:rsidRPr="003618E2">
        <w:rPr>
          <w:lang w:val="es-ES"/>
        </w:rPr>
        <w:t>contaminantes</w:t>
      </w:r>
      <w:r w:rsidR="00D136BB">
        <w:rPr>
          <w:lang w:val="es-ES"/>
        </w:rPr>
        <w:t xml:space="preserve"> </w:t>
      </w:r>
      <w:r w:rsidRPr="003618E2">
        <w:rPr>
          <w:lang w:val="es-ES"/>
        </w:rPr>
        <w:t>(RT,</w:t>
      </w:r>
      <w:r w:rsidR="00D136BB">
        <w:rPr>
          <w:lang w:val="es-ES"/>
        </w:rPr>
        <w:t xml:space="preserve"> </w:t>
      </w:r>
      <w:r w:rsidRPr="003618E2">
        <w:rPr>
          <w:lang w:val="es-ES"/>
        </w:rPr>
        <w:t>T)</w:t>
      </w:r>
    </w:p>
    <w:p w14:paraId="46EE83CE" w14:textId="451EA1F3" w:rsidR="006D362C" w:rsidRPr="003618E2" w:rsidRDefault="006D362C" w:rsidP="006D362C">
      <w:pPr>
        <w:pStyle w:val="BodyText"/>
        <w:numPr>
          <w:ilvl w:val="1"/>
          <w:numId w:val="28"/>
        </w:numPr>
        <w:rPr>
          <w:lang w:val="es-ES"/>
        </w:rPr>
      </w:pPr>
      <w:r w:rsidRPr="003618E2">
        <w:rPr>
          <w:lang w:val="es-ES"/>
        </w:rPr>
        <w:t>Sanitización</w:t>
      </w:r>
      <w:r w:rsidR="00D136BB">
        <w:rPr>
          <w:lang w:val="es-ES"/>
        </w:rPr>
        <w:t xml:space="preserve"> </w:t>
      </w:r>
      <w:r w:rsidRPr="003618E2">
        <w:rPr>
          <w:lang w:val="es-ES"/>
        </w:rPr>
        <w:t>de</w:t>
      </w:r>
      <w:r w:rsidR="00D136BB">
        <w:rPr>
          <w:lang w:val="es-ES"/>
        </w:rPr>
        <w:t xml:space="preserve"> </w:t>
      </w:r>
      <w:r w:rsidRPr="003618E2">
        <w:rPr>
          <w:lang w:val="es-ES"/>
        </w:rPr>
        <w:t>alimento</w:t>
      </w:r>
      <w:r w:rsidR="00D136BB">
        <w:rPr>
          <w:lang w:val="es-ES"/>
        </w:rPr>
        <w:t xml:space="preserve"> </w:t>
      </w:r>
      <w:r w:rsidRPr="003618E2">
        <w:rPr>
          <w:lang w:val="es-ES"/>
        </w:rPr>
        <w:t>de</w:t>
      </w:r>
      <w:r w:rsidR="00D136BB">
        <w:rPr>
          <w:lang w:val="es-ES"/>
        </w:rPr>
        <w:t xml:space="preserve"> </w:t>
      </w:r>
      <w:r w:rsidRPr="003618E2">
        <w:rPr>
          <w:lang w:val="es-ES"/>
        </w:rPr>
        <w:t>animales</w:t>
      </w:r>
      <w:r w:rsidR="00D136BB">
        <w:rPr>
          <w:lang w:val="es-ES"/>
        </w:rPr>
        <w:t xml:space="preserve"> </w:t>
      </w:r>
      <w:r w:rsidRPr="003618E2">
        <w:rPr>
          <w:lang w:val="es-ES"/>
        </w:rPr>
        <w:t>(PR)</w:t>
      </w:r>
    </w:p>
    <w:p w14:paraId="4743482F" w14:textId="4B768D29" w:rsidR="006D362C" w:rsidRPr="003618E2" w:rsidRDefault="006D362C" w:rsidP="006D362C">
      <w:pPr>
        <w:pStyle w:val="BodyText"/>
        <w:numPr>
          <w:ilvl w:val="1"/>
          <w:numId w:val="28"/>
        </w:numPr>
        <w:rPr>
          <w:lang w:val="es-ES"/>
        </w:rPr>
      </w:pPr>
      <w:r w:rsidRPr="003618E2">
        <w:rPr>
          <w:lang w:val="es-ES"/>
        </w:rPr>
        <w:t>Sanitización</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agrícolas</w:t>
      </w:r>
      <w:r w:rsidR="00D136BB">
        <w:rPr>
          <w:lang w:val="es-ES"/>
        </w:rPr>
        <w:t xml:space="preserve"> </w:t>
      </w:r>
      <w:r w:rsidRPr="003618E2">
        <w:rPr>
          <w:lang w:val="es-ES"/>
        </w:rPr>
        <w:t>(flores,</w:t>
      </w:r>
      <w:r w:rsidR="00D136BB">
        <w:rPr>
          <w:lang w:val="es-ES"/>
        </w:rPr>
        <w:t xml:space="preserve"> </w:t>
      </w:r>
      <w:r w:rsidRPr="003618E2">
        <w:rPr>
          <w:lang w:val="es-ES"/>
        </w:rPr>
        <w:t>madera,</w:t>
      </w:r>
      <w:r w:rsidR="00D136BB">
        <w:rPr>
          <w:lang w:val="es-ES"/>
        </w:rPr>
        <w:t xml:space="preserve"> </w:t>
      </w:r>
      <w:r w:rsidRPr="003618E2">
        <w:rPr>
          <w:lang w:val="es-ES"/>
        </w:rPr>
        <w:t>tabaco,</w:t>
      </w:r>
      <w:r w:rsidR="00D136BB">
        <w:rPr>
          <w:lang w:val="es-ES"/>
        </w:rPr>
        <w:t xml:space="preserve"> </w:t>
      </w:r>
      <w:r w:rsidRPr="003618E2">
        <w:rPr>
          <w:lang w:val="es-ES"/>
        </w:rPr>
        <w:t>semillas,</w:t>
      </w:r>
      <w:r w:rsidR="00D136BB">
        <w:rPr>
          <w:lang w:val="es-ES"/>
        </w:rPr>
        <w:t xml:space="preserve"> </w:t>
      </w:r>
      <w:r w:rsidRPr="003618E2">
        <w:rPr>
          <w:lang w:val="es-ES"/>
        </w:rPr>
        <w:t>etc.)</w:t>
      </w:r>
      <w:r w:rsidR="00D136BB">
        <w:rPr>
          <w:lang w:val="es-ES"/>
        </w:rPr>
        <w:t xml:space="preserve"> </w:t>
      </w:r>
      <w:r w:rsidRPr="003618E2">
        <w:rPr>
          <w:lang w:val="es-ES"/>
        </w:rPr>
        <w:t>(PR)</w:t>
      </w:r>
    </w:p>
    <w:p w14:paraId="7B351574" w14:textId="3CA610D2" w:rsidR="006D362C" w:rsidRPr="003618E2" w:rsidRDefault="006D362C" w:rsidP="006D362C">
      <w:pPr>
        <w:pStyle w:val="BodyText"/>
        <w:rPr>
          <w:b/>
          <w:bCs/>
          <w:lang w:val="es-ES"/>
        </w:rPr>
      </w:pPr>
      <w:r w:rsidRPr="003618E2">
        <w:rPr>
          <w:b/>
          <w:bCs/>
          <w:lang w:val="es-ES"/>
        </w:rPr>
        <w:t>Alimentos</w:t>
      </w:r>
      <w:r w:rsidR="00D136BB">
        <w:rPr>
          <w:b/>
          <w:bCs/>
          <w:lang w:val="es-ES"/>
        </w:rPr>
        <w:t xml:space="preserve"> </w:t>
      </w:r>
      <w:r w:rsidRPr="003618E2">
        <w:rPr>
          <w:b/>
          <w:bCs/>
          <w:lang w:val="es-ES"/>
        </w:rPr>
        <w:t>(tratamiento):</w:t>
      </w:r>
    </w:p>
    <w:p w14:paraId="3E84EFF0" w14:textId="197F7E0B" w:rsidR="006D362C" w:rsidRPr="003618E2" w:rsidRDefault="006D362C" w:rsidP="006D362C">
      <w:pPr>
        <w:pStyle w:val="BodyText"/>
        <w:numPr>
          <w:ilvl w:val="0"/>
          <w:numId w:val="27"/>
        </w:numPr>
        <w:rPr>
          <w:lang w:val="es-ES"/>
        </w:rPr>
      </w:pPr>
      <w:r w:rsidRPr="003618E2">
        <w:rPr>
          <w:lang w:val="es-ES"/>
        </w:rPr>
        <w:t>Tratamiento</w:t>
      </w:r>
      <w:r w:rsidR="00D136BB">
        <w:rPr>
          <w:lang w:val="es-ES"/>
        </w:rPr>
        <w:t xml:space="preserve"> </w:t>
      </w:r>
      <w:r w:rsidRPr="003618E2">
        <w:rPr>
          <w:lang w:val="es-ES"/>
        </w:rPr>
        <w:t>cuarentenario,</w:t>
      </w:r>
      <w:r w:rsidR="00D136BB">
        <w:rPr>
          <w:lang w:val="es-ES"/>
        </w:rPr>
        <w:t xml:space="preserve"> </w:t>
      </w:r>
      <w:r w:rsidRPr="003618E2">
        <w:rPr>
          <w:lang w:val="es-ES"/>
        </w:rPr>
        <w:t>fitosanitarios,</w:t>
      </w:r>
      <w:r w:rsidR="00D136BB">
        <w:rPr>
          <w:lang w:val="es-ES"/>
        </w:rPr>
        <w:t xml:space="preserve"> </w:t>
      </w:r>
      <w:r w:rsidRPr="003618E2">
        <w:rPr>
          <w:lang w:val="es-ES"/>
        </w:rPr>
        <w:t>sanitización,</w:t>
      </w:r>
      <w:r w:rsidR="00D136BB">
        <w:rPr>
          <w:lang w:val="es-ES"/>
        </w:rPr>
        <w:t xml:space="preserve"> </w:t>
      </w:r>
      <w:r w:rsidRPr="003618E2">
        <w:rPr>
          <w:lang w:val="es-ES"/>
        </w:rPr>
        <w:t>tiempo</w:t>
      </w:r>
      <w:r w:rsidR="00D136BB">
        <w:rPr>
          <w:lang w:val="es-ES"/>
        </w:rPr>
        <w:t xml:space="preserve"> </w:t>
      </w:r>
      <w:r w:rsidRPr="003618E2">
        <w:rPr>
          <w:lang w:val="es-ES"/>
        </w:rPr>
        <w:t>de</w:t>
      </w:r>
      <w:r w:rsidR="00D136BB">
        <w:rPr>
          <w:lang w:val="es-ES"/>
        </w:rPr>
        <w:t xml:space="preserve"> </w:t>
      </w:r>
      <w:r w:rsidRPr="003618E2">
        <w:rPr>
          <w:lang w:val="es-ES"/>
        </w:rPr>
        <w:t>maduración,</w:t>
      </w:r>
      <w:r w:rsidR="00D136BB">
        <w:rPr>
          <w:lang w:val="es-ES"/>
        </w:rPr>
        <w:t xml:space="preserve"> </w:t>
      </w:r>
      <w:r w:rsidRPr="003618E2">
        <w:rPr>
          <w:lang w:val="es-ES"/>
        </w:rPr>
        <w:t>extensión</w:t>
      </w:r>
      <w:r w:rsidR="00D136BB">
        <w:rPr>
          <w:lang w:val="es-ES"/>
        </w:rPr>
        <w:t xml:space="preserve"> </w:t>
      </w:r>
      <w:r w:rsidRPr="003618E2">
        <w:rPr>
          <w:lang w:val="es-ES"/>
        </w:rPr>
        <w:t>del</w:t>
      </w:r>
      <w:r w:rsidR="00D136BB">
        <w:rPr>
          <w:lang w:val="es-ES"/>
        </w:rPr>
        <w:t xml:space="preserve"> </w:t>
      </w:r>
      <w:r w:rsidRPr="003618E2">
        <w:rPr>
          <w:lang w:val="es-ES"/>
        </w:rPr>
        <w:t>tiempo</w:t>
      </w:r>
      <w:r w:rsidR="00D136BB">
        <w:rPr>
          <w:lang w:val="es-ES"/>
        </w:rPr>
        <w:t xml:space="preserve"> </w:t>
      </w:r>
      <w:r w:rsidRPr="003618E2">
        <w:rPr>
          <w:lang w:val="es-ES"/>
        </w:rPr>
        <w:t>de</w:t>
      </w:r>
      <w:r w:rsidR="00D136BB">
        <w:rPr>
          <w:lang w:val="es-ES"/>
        </w:rPr>
        <w:t xml:space="preserve"> </w:t>
      </w:r>
      <w:r w:rsidRPr="003618E2">
        <w:rPr>
          <w:lang w:val="es-ES"/>
        </w:rPr>
        <w:t>anaquel</w:t>
      </w:r>
      <w:r w:rsidR="00D136BB">
        <w:rPr>
          <w:lang w:val="es-ES"/>
        </w:rPr>
        <w:t xml:space="preserve"> </w:t>
      </w:r>
      <w:r w:rsidRPr="003618E2">
        <w:rPr>
          <w:lang w:val="es-ES"/>
        </w:rPr>
        <w:t>(PR)</w:t>
      </w:r>
    </w:p>
    <w:p w14:paraId="0CF59A24" w14:textId="544D24E8" w:rsidR="006D362C" w:rsidRPr="003618E2" w:rsidRDefault="006D362C" w:rsidP="006D362C">
      <w:pPr>
        <w:pStyle w:val="BodyText"/>
        <w:numPr>
          <w:ilvl w:val="0"/>
          <w:numId w:val="27"/>
        </w:numPr>
        <w:rPr>
          <w:lang w:val="es-ES"/>
        </w:rPr>
      </w:pP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(SCN)</w:t>
      </w:r>
    </w:p>
    <w:p w14:paraId="45270349" w14:textId="30A90A8F" w:rsidR="006D362C" w:rsidRPr="003618E2" w:rsidRDefault="006D362C" w:rsidP="006D362C">
      <w:pPr>
        <w:pStyle w:val="BodyText"/>
        <w:numPr>
          <w:ilvl w:val="0"/>
          <w:numId w:val="27"/>
        </w:numPr>
        <w:rPr>
          <w:lang w:val="es-ES"/>
        </w:rPr>
      </w:pPr>
      <w:r w:rsidRPr="003618E2">
        <w:rPr>
          <w:lang w:val="es-ES"/>
        </w:rPr>
        <w:t>Desarrollo</w:t>
      </w:r>
      <w:r w:rsidR="00D136BB">
        <w:rPr>
          <w:lang w:val="es-ES"/>
        </w:rPr>
        <w:t xml:space="preserve"> </w:t>
      </w:r>
      <w:r w:rsidRPr="003618E2">
        <w:rPr>
          <w:lang w:val="es-ES"/>
        </w:rPr>
        <w:t>de</w:t>
      </w:r>
      <w:r w:rsidR="00D136BB">
        <w:rPr>
          <w:lang w:val="es-ES"/>
        </w:rPr>
        <w:t xml:space="preserve"> </w:t>
      </w:r>
      <w:r w:rsidRPr="003618E2">
        <w:rPr>
          <w:lang w:val="es-ES"/>
        </w:rPr>
        <w:t>empaques</w:t>
      </w:r>
      <w:r w:rsidR="00D136BB">
        <w:rPr>
          <w:lang w:val="es-ES"/>
        </w:rPr>
        <w:t xml:space="preserve"> </w:t>
      </w:r>
      <w:r w:rsidRPr="003618E2">
        <w:rPr>
          <w:lang w:val="es-ES"/>
        </w:rPr>
        <w:t>usando</w:t>
      </w:r>
      <w:r w:rsidR="00D136BB">
        <w:rPr>
          <w:lang w:val="es-ES"/>
        </w:rPr>
        <w:t xml:space="preserve"> </w:t>
      </w:r>
      <w:r w:rsidRPr="003618E2">
        <w:rPr>
          <w:lang w:val="es-ES"/>
        </w:rPr>
        <w:t>polímeros</w:t>
      </w:r>
      <w:r w:rsidR="00D136BB">
        <w:rPr>
          <w:lang w:val="es-ES"/>
        </w:rPr>
        <w:t xml:space="preserve"> </w:t>
      </w:r>
      <w:r w:rsidRPr="003618E2">
        <w:rPr>
          <w:lang w:val="es-ES"/>
        </w:rPr>
        <w:t>naturales</w:t>
      </w:r>
      <w:r w:rsidR="00D136BB">
        <w:rPr>
          <w:lang w:val="es-ES"/>
        </w:rPr>
        <w:t xml:space="preserve"> </w:t>
      </w:r>
      <w:r w:rsidRPr="003618E2">
        <w:rPr>
          <w:lang w:val="es-ES"/>
        </w:rPr>
        <w:t>(PR)</w:t>
      </w:r>
    </w:p>
    <w:p w14:paraId="04B5E7CE" w14:textId="4B22B630" w:rsidR="006D362C" w:rsidRPr="003618E2" w:rsidRDefault="006D362C" w:rsidP="006D362C">
      <w:pPr>
        <w:pStyle w:val="BodyText"/>
        <w:numPr>
          <w:ilvl w:val="0"/>
          <w:numId w:val="27"/>
        </w:numPr>
        <w:rPr>
          <w:lang w:val="es-ES"/>
        </w:rPr>
      </w:pPr>
      <w:r w:rsidRPr="003618E2">
        <w:rPr>
          <w:lang w:val="es-ES"/>
        </w:rPr>
        <w:t>Optimización</w:t>
      </w:r>
      <w:r w:rsidR="00D136BB">
        <w:rPr>
          <w:lang w:val="es-ES"/>
        </w:rPr>
        <w:t xml:space="preserve"> </w:t>
      </w:r>
      <w:r w:rsidRPr="003618E2">
        <w:rPr>
          <w:lang w:val="es-ES"/>
        </w:rPr>
        <w:t>de</w:t>
      </w:r>
      <w:r w:rsidR="00D136BB">
        <w:rPr>
          <w:lang w:val="es-ES"/>
        </w:rPr>
        <w:t xml:space="preserve"> </w:t>
      </w:r>
      <w:r w:rsidRPr="003618E2">
        <w:rPr>
          <w:lang w:val="es-ES"/>
        </w:rPr>
        <w:t>procesos</w:t>
      </w:r>
      <w:r w:rsidR="00D136BB">
        <w:rPr>
          <w:lang w:val="es-ES"/>
        </w:rPr>
        <w:t xml:space="preserve"> </w:t>
      </w:r>
      <w:r w:rsidRPr="003618E2">
        <w:rPr>
          <w:lang w:val="es-ES"/>
        </w:rPr>
        <w:t>(T,</w:t>
      </w:r>
      <w:r w:rsidR="00D136BB">
        <w:rPr>
          <w:lang w:val="es-ES"/>
        </w:rPr>
        <w:t xml:space="preserve"> </w:t>
      </w:r>
      <w:r w:rsidRPr="003618E2">
        <w:rPr>
          <w:lang w:val="es-ES"/>
        </w:rPr>
        <w:t>SCN)</w:t>
      </w:r>
    </w:p>
    <w:p w14:paraId="518A8CF9" w14:textId="641C1D93" w:rsidR="006D362C" w:rsidRPr="003618E2" w:rsidRDefault="006D362C" w:rsidP="006D362C">
      <w:pPr>
        <w:pStyle w:val="BodyText"/>
        <w:rPr>
          <w:b/>
          <w:bCs/>
          <w:lang w:val="es-ES"/>
        </w:rPr>
      </w:pPr>
      <w:r w:rsidRPr="003618E2">
        <w:rPr>
          <w:b/>
          <w:bCs/>
          <w:lang w:val="es-ES"/>
        </w:rPr>
        <w:t>Ambiente</w:t>
      </w:r>
      <w:r w:rsidR="00D136BB">
        <w:rPr>
          <w:b/>
          <w:bCs/>
          <w:lang w:val="es-ES"/>
        </w:rPr>
        <w:t xml:space="preserve"> </w:t>
      </w:r>
      <w:r w:rsidRPr="003618E2">
        <w:rPr>
          <w:b/>
          <w:bCs/>
          <w:lang w:val="es-ES"/>
        </w:rPr>
        <w:t>(tratamiento</w:t>
      </w:r>
      <w:r w:rsidR="00D136BB">
        <w:rPr>
          <w:b/>
          <w:bCs/>
          <w:lang w:val="es-ES"/>
        </w:rPr>
        <w:t xml:space="preserve"> </w:t>
      </w:r>
      <w:r w:rsidRPr="003618E2">
        <w:rPr>
          <w:b/>
          <w:bCs/>
          <w:lang w:val="es-ES"/>
        </w:rPr>
        <w:t>de</w:t>
      </w:r>
      <w:r w:rsidR="00D136BB">
        <w:rPr>
          <w:b/>
          <w:bCs/>
          <w:lang w:val="es-ES"/>
        </w:rPr>
        <w:t xml:space="preserve"> </w:t>
      </w:r>
      <w:r w:rsidRPr="003618E2">
        <w:rPr>
          <w:b/>
          <w:bCs/>
          <w:lang w:val="es-ES"/>
        </w:rPr>
        <w:t>emisiones</w:t>
      </w:r>
      <w:r w:rsidR="00D136BB">
        <w:rPr>
          <w:b/>
          <w:bCs/>
          <w:lang w:val="es-ES"/>
        </w:rPr>
        <w:t xml:space="preserve"> </w:t>
      </w:r>
      <w:r w:rsidRPr="003618E2">
        <w:rPr>
          <w:b/>
          <w:bCs/>
          <w:lang w:val="es-ES"/>
        </w:rPr>
        <w:t>y</w:t>
      </w:r>
      <w:r w:rsidR="00D136BB">
        <w:rPr>
          <w:b/>
          <w:bCs/>
          <w:lang w:val="es-ES"/>
        </w:rPr>
        <w:t xml:space="preserve"> </w:t>
      </w:r>
      <w:r w:rsidRPr="003618E2">
        <w:rPr>
          <w:b/>
          <w:bCs/>
          <w:lang w:val="es-ES"/>
        </w:rPr>
        <w:t>residuos):</w:t>
      </w:r>
    </w:p>
    <w:p w14:paraId="4B4EFCB4" w14:textId="0FB3ECBA" w:rsidR="006D362C" w:rsidRPr="003618E2" w:rsidRDefault="006D362C" w:rsidP="006D362C">
      <w:pPr>
        <w:pStyle w:val="BodyText"/>
        <w:numPr>
          <w:ilvl w:val="0"/>
          <w:numId w:val="21"/>
        </w:numPr>
        <w:rPr>
          <w:lang w:val="es-ES"/>
        </w:rPr>
      </w:pP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efluentes</w:t>
      </w:r>
      <w:r w:rsidR="00D136BB">
        <w:rPr>
          <w:lang w:val="es-ES"/>
        </w:rPr>
        <w:t xml:space="preserve"> </w:t>
      </w:r>
      <w:r w:rsidRPr="003618E2">
        <w:rPr>
          <w:lang w:val="es-ES"/>
        </w:rPr>
        <w:t>gaseosos</w:t>
      </w:r>
      <w:r w:rsidR="00D136BB">
        <w:rPr>
          <w:lang w:val="es-ES"/>
        </w:rPr>
        <w:t xml:space="preserve"> </w:t>
      </w:r>
      <w:r w:rsidRPr="003618E2">
        <w:rPr>
          <w:lang w:val="es-ES"/>
        </w:rPr>
        <w:t>(PR)</w:t>
      </w:r>
    </w:p>
    <w:p w14:paraId="304173D6" w14:textId="463D42BC" w:rsidR="006D362C" w:rsidRPr="003618E2" w:rsidRDefault="006D362C" w:rsidP="006D362C">
      <w:pPr>
        <w:pStyle w:val="BodyText"/>
        <w:numPr>
          <w:ilvl w:val="0"/>
          <w:numId w:val="21"/>
        </w:numPr>
        <w:rPr>
          <w:lang w:val="pt-BR"/>
        </w:rPr>
      </w:pPr>
      <w:r w:rsidRPr="003618E2">
        <w:rPr>
          <w:lang w:val="pt-BR"/>
        </w:rPr>
        <w:t>Descargas</w:t>
      </w:r>
      <w:r w:rsidR="00D136BB">
        <w:rPr>
          <w:lang w:val="pt-BR"/>
        </w:rPr>
        <w:t xml:space="preserve"> </w:t>
      </w:r>
      <w:r w:rsidRPr="003618E2">
        <w:rPr>
          <w:lang w:val="pt-BR"/>
        </w:rPr>
        <w:t>de</w:t>
      </w:r>
      <w:r w:rsidR="00D136BB">
        <w:rPr>
          <w:lang w:val="pt-BR"/>
        </w:rPr>
        <w:t xml:space="preserve"> </w:t>
      </w:r>
      <w:r w:rsidRPr="003618E2">
        <w:rPr>
          <w:lang w:val="pt-BR"/>
        </w:rPr>
        <w:t>Industrias</w:t>
      </w:r>
      <w:r w:rsidR="00D136BB">
        <w:rPr>
          <w:lang w:val="pt-BR"/>
        </w:rPr>
        <w:t xml:space="preserve"> </w:t>
      </w:r>
      <w:r w:rsidRPr="003618E2">
        <w:rPr>
          <w:lang w:val="pt-BR"/>
        </w:rPr>
        <w:t>(PR,</w:t>
      </w:r>
      <w:r w:rsidR="00D136BB">
        <w:rPr>
          <w:lang w:val="pt-BR"/>
        </w:rPr>
        <w:t xml:space="preserve"> </w:t>
      </w:r>
      <w:r w:rsidRPr="003618E2">
        <w:rPr>
          <w:lang w:val="pt-BR"/>
        </w:rPr>
        <w:t>T)</w:t>
      </w:r>
    </w:p>
    <w:p w14:paraId="5A05A88A" w14:textId="629A836D" w:rsidR="006D362C" w:rsidRPr="003618E2" w:rsidRDefault="006D362C" w:rsidP="006D362C">
      <w:pPr>
        <w:pStyle w:val="BodyText"/>
        <w:numPr>
          <w:ilvl w:val="0"/>
          <w:numId w:val="21"/>
        </w:numPr>
        <w:rPr>
          <w:lang w:val="pt-BR"/>
        </w:rPr>
      </w:pPr>
      <w:r w:rsidRPr="003618E2">
        <w:rPr>
          <w:lang w:val="pt-BR"/>
        </w:rPr>
        <w:t>Transporte</w:t>
      </w:r>
      <w:r w:rsidR="00D136BB">
        <w:rPr>
          <w:lang w:val="pt-BR"/>
        </w:rPr>
        <w:t xml:space="preserve"> </w:t>
      </w:r>
      <w:r w:rsidRPr="003618E2">
        <w:rPr>
          <w:lang w:val="pt-BR"/>
        </w:rPr>
        <w:t>de</w:t>
      </w:r>
      <w:r w:rsidR="00D136BB">
        <w:rPr>
          <w:lang w:val="pt-BR"/>
        </w:rPr>
        <w:t xml:space="preserve"> </w:t>
      </w:r>
      <w:r w:rsidRPr="003618E2">
        <w:rPr>
          <w:lang w:val="pt-BR"/>
        </w:rPr>
        <w:t>sedimentos</w:t>
      </w:r>
      <w:r w:rsidR="00D136BB">
        <w:rPr>
          <w:lang w:val="pt-BR"/>
        </w:rPr>
        <w:t xml:space="preserve"> </w:t>
      </w:r>
      <w:r w:rsidRPr="003618E2">
        <w:rPr>
          <w:lang w:val="pt-BR"/>
        </w:rPr>
        <w:t>(RT,</w:t>
      </w:r>
      <w:r w:rsidR="00D136BB">
        <w:rPr>
          <w:lang w:val="pt-BR"/>
        </w:rPr>
        <w:t xml:space="preserve"> </w:t>
      </w:r>
      <w:r w:rsidRPr="003618E2">
        <w:rPr>
          <w:lang w:val="pt-BR"/>
        </w:rPr>
        <w:t>T)</w:t>
      </w:r>
    </w:p>
    <w:p w14:paraId="261FA122" w14:textId="09FACBD7" w:rsidR="006D362C" w:rsidRPr="003618E2" w:rsidRDefault="006D362C" w:rsidP="006D362C">
      <w:pPr>
        <w:pStyle w:val="BodyText"/>
        <w:rPr>
          <w:b/>
          <w:bCs/>
          <w:lang w:val="es-ES"/>
        </w:rPr>
      </w:pPr>
      <w:r w:rsidRPr="003618E2">
        <w:rPr>
          <w:b/>
          <w:bCs/>
          <w:lang w:val="es-ES"/>
        </w:rPr>
        <w:t>Ingeniería</w:t>
      </w:r>
      <w:r w:rsidR="00D136BB">
        <w:rPr>
          <w:b/>
          <w:bCs/>
          <w:lang w:val="es-ES"/>
        </w:rPr>
        <w:t xml:space="preserve"> </w:t>
      </w:r>
      <w:r w:rsidRPr="003618E2">
        <w:rPr>
          <w:b/>
          <w:bCs/>
          <w:lang w:val="es-ES"/>
        </w:rPr>
        <w:t>Costera:</w:t>
      </w:r>
    </w:p>
    <w:p w14:paraId="26755784" w14:textId="53163663" w:rsidR="006D362C" w:rsidRPr="003618E2" w:rsidRDefault="006D362C" w:rsidP="006D362C">
      <w:pPr>
        <w:pStyle w:val="BodyText"/>
        <w:numPr>
          <w:ilvl w:val="0"/>
          <w:numId w:val="22"/>
        </w:numPr>
        <w:rPr>
          <w:lang w:val="es-ES"/>
        </w:rPr>
      </w:pPr>
      <w:r w:rsidRPr="003618E2">
        <w:rPr>
          <w:lang w:val="es-ES"/>
        </w:rPr>
        <w:t>Protección</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costas</w:t>
      </w:r>
      <w:r w:rsidR="00D136BB">
        <w:rPr>
          <w:lang w:val="es-ES"/>
        </w:rPr>
        <w:t xml:space="preserve"> </w:t>
      </w:r>
      <w:r w:rsidRPr="003618E2">
        <w:rPr>
          <w:lang w:val="es-ES"/>
        </w:rPr>
        <w:t>contra</w:t>
      </w:r>
      <w:r w:rsidR="00D136BB">
        <w:rPr>
          <w:lang w:val="es-ES"/>
        </w:rPr>
        <w:t xml:space="preserve"> </w:t>
      </w:r>
      <w:r w:rsidRPr="003618E2">
        <w:rPr>
          <w:lang w:val="es-ES"/>
        </w:rPr>
        <w:t>la</w:t>
      </w:r>
      <w:r w:rsidR="00D136BB">
        <w:rPr>
          <w:lang w:val="es-ES"/>
        </w:rPr>
        <w:t xml:space="preserve"> </w:t>
      </w:r>
      <w:r w:rsidRPr="003618E2">
        <w:rPr>
          <w:lang w:val="es-ES"/>
        </w:rPr>
        <w:t>erosión</w:t>
      </w:r>
      <w:r w:rsidR="00D136BB">
        <w:rPr>
          <w:lang w:val="es-ES"/>
        </w:rPr>
        <w:t xml:space="preserve"> </w:t>
      </w:r>
      <w:r w:rsidRPr="003618E2">
        <w:rPr>
          <w:lang w:val="es-ES"/>
        </w:rPr>
        <w:t>(T,</w:t>
      </w:r>
      <w:r w:rsidR="00D136BB">
        <w:rPr>
          <w:lang w:val="es-ES"/>
        </w:rPr>
        <w:t xml:space="preserve"> </w:t>
      </w:r>
      <w:r w:rsidRPr="003618E2">
        <w:rPr>
          <w:lang w:val="es-ES"/>
        </w:rPr>
        <w:t>SCN)</w:t>
      </w:r>
    </w:p>
    <w:p w14:paraId="7EAB2556" w14:textId="7FBD2366" w:rsidR="006D362C" w:rsidRPr="003618E2" w:rsidRDefault="006D362C" w:rsidP="006D362C">
      <w:pPr>
        <w:pStyle w:val="BodyText"/>
        <w:numPr>
          <w:ilvl w:val="0"/>
          <w:numId w:val="22"/>
        </w:numPr>
        <w:rPr>
          <w:lang w:val="es-ES"/>
        </w:rPr>
      </w:pPr>
      <w:r w:rsidRPr="003618E2">
        <w:rPr>
          <w:lang w:val="es-ES"/>
        </w:rPr>
        <w:t>Puertos</w:t>
      </w:r>
      <w:r w:rsidR="00D136BB">
        <w:rPr>
          <w:lang w:val="es-ES"/>
        </w:rPr>
        <w:t xml:space="preserve"> </w:t>
      </w:r>
      <w:r w:rsidRPr="003618E2">
        <w:rPr>
          <w:lang w:val="es-ES"/>
        </w:rPr>
        <w:t>y</w:t>
      </w:r>
      <w:r w:rsidR="00D136BB">
        <w:rPr>
          <w:lang w:val="es-ES"/>
        </w:rPr>
        <w:t xml:space="preserve"> </w:t>
      </w:r>
      <w:r w:rsidRPr="003618E2">
        <w:rPr>
          <w:lang w:val="es-ES"/>
        </w:rPr>
        <w:t>trabajos</w:t>
      </w:r>
      <w:r w:rsidR="00D136BB">
        <w:rPr>
          <w:lang w:val="es-ES"/>
        </w:rPr>
        <w:t xml:space="preserve"> </w:t>
      </w:r>
      <w:r w:rsidRPr="003618E2">
        <w:rPr>
          <w:lang w:val="es-ES"/>
        </w:rPr>
        <w:t>de</w:t>
      </w:r>
      <w:r w:rsidR="00D136BB">
        <w:rPr>
          <w:lang w:val="es-ES"/>
        </w:rPr>
        <w:t xml:space="preserve"> </w:t>
      </w:r>
      <w:r w:rsidRPr="003618E2">
        <w:rPr>
          <w:lang w:val="es-ES"/>
        </w:rPr>
        <w:t>dragado,</w:t>
      </w:r>
      <w:r w:rsidR="00D136BB">
        <w:rPr>
          <w:lang w:val="es-ES"/>
        </w:rPr>
        <w:t xml:space="preserve"> </w:t>
      </w:r>
      <w:r w:rsidRPr="003618E2">
        <w:rPr>
          <w:lang w:val="es-ES"/>
        </w:rPr>
        <w:t>optimización</w:t>
      </w:r>
      <w:r w:rsidR="00D136BB">
        <w:rPr>
          <w:lang w:val="es-ES"/>
        </w:rPr>
        <w:t xml:space="preserve"> </w:t>
      </w:r>
      <w:r w:rsidRPr="003618E2">
        <w:rPr>
          <w:lang w:val="es-ES"/>
        </w:rPr>
        <w:t>y</w:t>
      </w:r>
      <w:r w:rsidR="00D136BB">
        <w:rPr>
          <w:lang w:val="es-ES"/>
        </w:rPr>
        <w:t xml:space="preserve"> </w:t>
      </w:r>
      <w:r w:rsidRPr="003618E2">
        <w:rPr>
          <w:lang w:val="es-ES"/>
        </w:rPr>
        <w:t>administración</w:t>
      </w:r>
      <w:r w:rsidR="00D136BB">
        <w:rPr>
          <w:lang w:val="es-ES"/>
        </w:rPr>
        <w:t xml:space="preserve"> </w:t>
      </w:r>
      <w:r w:rsidRPr="003618E2">
        <w:rPr>
          <w:lang w:val="es-ES"/>
        </w:rPr>
        <w:t>(T,</w:t>
      </w:r>
      <w:r w:rsidR="00D136BB">
        <w:rPr>
          <w:lang w:val="es-ES"/>
        </w:rPr>
        <w:t xml:space="preserve"> </w:t>
      </w:r>
      <w:r w:rsidRPr="003618E2">
        <w:rPr>
          <w:lang w:val="es-ES"/>
        </w:rPr>
        <w:t>SCN)</w:t>
      </w:r>
    </w:p>
    <w:p w14:paraId="06C451E7" w14:textId="31AD5FC2" w:rsidR="006D362C" w:rsidRPr="003618E2" w:rsidRDefault="006D362C" w:rsidP="006D362C">
      <w:pPr>
        <w:pStyle w:val="BodyText"/>
        <w:rPr>
          <w:b/>
          <w:bCs/>
          <w:lang w:val="es-ES"/>
        </w:rPr>
      </w:pPr>
      <w:r w:rsidRPr="003618E2">
        <w:rPr>
          <w:b/>
          <w:bCs/>
          <w:lang w:val="es-ES"/>
        </w:rPr>
        <w:lastRenderedPageBreak/>
        <w:t>Materiales</w:t>
      </w:r>
      <w:r w:rsidR="00D136BB">
        <w:rPr>
          <w:b/>
          <w:bCs/>
          <w:lang w:val="es-ES"/>
        </w:rPr>
        <w:t xml:space="preserve"> </w:t>
      </w:r>
      <w:r w:rsidRPr="003618E2">
        <w:rPr>
          <w:b/>
          <w:bCs/>
          <w:lang w:val="es-ES"/>
        </w:rPr>
        <w:t>Avanzados:</w:t>
      </w:r>
    </w:p>
    <w:p w14:paraId="3486AF8F" w14:textId="13B87F59" w:rsidR="006D362C" w:rsidRPr="003618E2" w:rsidRDefault="006D362C" w:rsidP="006D362C">
      <w:pPr>
        <w:pStyle w:val="BodyText"/>
        <w:numPr>
          <w:ilvl w:val="0"/>
          <w:numId w:val="23"/>
        </w:numPr>
        <w:rPr>
          <w:lang w:val="es-ES"/>
        </w:rPr>
      </w:pPr>
      <w:r w:rsidRPr="003618E2">
        <w:rPr>
          <w:lang w:val="es-ES"/>
        </w:rPr>
        <w:t>Modificación</w:t>
      </w:r>
      <w:r w:rsidR="00D136BB">
        <w:rPr>
          <w:lang w:val="es-ES"/>
        </w:rPr>
        <w:t xml:space="preserve"> </w:t>
      </w:r>
      <w:r w:rsidRPr="003618E2">
        <w:rPr>
          <w:lang w:val="es-ES"/>
        </w:rPr>
        <w:t>y</w:t>
      </w:r>
      <w:r w:rsidR="00D136BB">
        <w:rPr>
          <w:lang w:val="es-ES"/>
        </w:rPr>
        <w:t xml:space="preserve"> </w:t>
      </w:r>
      <w:r w:rsidRPr="003618E2">
        <w:rPr>
          <w:lang w:val="es-ES"/>
        </w:rPr>
        <w:t>tratamiento</w:t>
      </w:r>
      <w:r w:rsidR="00D136BB">
        <w:rPr>
          <w:lang w:val="es-ES"/>
        </w:rPr>
        <w:t xml:space="preserve"> </w:t>
      </w:r>
      <w:r w:rsidRPr="003618E2">
        <w:rPr>
          <w:lang w:val="es-ES"/>
        </w:rPr>
        <w:t>polímeros</w:t>
      </w:r>
      <w:r w:rsidR="00D136BB">
        <w:rPr>
          <w:lang w:val="es-ES"/>
        </w:rPr>
        <w:t xml:space="preserve"> </w:t>
      </w:r>
      <w:r w:rsidRPr="003618E2">
        <w:rPr>
          <w:lang w:val="es-ES"/>
        </w:rPr>
        <w:t>(PR,</w:t>
      </w:r>
      <w:r w:rsidR="00D136BB">
        <w:rPr>
          <w:lang w:val="es-ES"/>
        </w:rPr>
        <w:t xml:space="preserve"> </w:t>
      </w:r>
      <w:r w:rsidRPr="003618E2">
        <w:rPr>
          <w:lang w:val="es-ES"/>
        </w:rPr>
        <w:t>TAN)</w:t>
      </w:r>
    </w:p>
    <w:p w14:paraId="2E09D3F9" w14:textId="7136FC4F" w:rsidR="006D362C" w:rsidRPr="003618E2" w:rsidRDefault="006D362C" w:rsidP="006D362C">
      <w:pPr>
        <w:pStyle w:val="BodyText"/>
        <w:numPr>
          <w:ilvl w:val="0"/>
          <w:numId w:val="23"/>
        </w:numPr>
        <w:rPr>
          <w:lang w:val="es-ES"/>
        </w:rPr>
      </w:pPr>
      <w:r w:rsidRPr="003618E2">
        <w:rPr>
          <w:lang w:val="es-ES"/>
        </w:rPr>
        <w:t>Procesamiento</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avanzados</w:t>
      </w:r>
      <w:r w:rsidR="00D136BB">
        <w:rPr>
          <w:lang w:val="es-ES"/>
        </w:rPr>
        <w:t xml:space="preserve"> </w:t>
      </w:r>
      <w:r w:rsidRPr="003618E2">
        <w:rPr>
          <w:lang w:val="es-ES"/>
        </w:rPr>
        <w:t>(PR)</w:t>
      </w:r>
    </w:p>
    <w:p w14:paraId="4A15B4D3" w14:textId="65DC03FD" w:rsidR="006D362C" w:rsidRPr="003618E2" w:rsidRDefault="006D362C" w:rsidP="006D362C">
      <w:pPr>
        <w:pStyle w:val="BodyText"/>
        <w:numPr>
          <w:ilvl w:val="0"/>
          <w:numId w:val="23"/>
        </w:numPr>
        <w:rPr>
          <w:lang w:val="es-ES"/>
        </w:rPr>
      </w:pPr>
      <w:r w:rsidRPr="003618E2">
        <w:rPr>
          <w:lang w:val="es-ES"/>
        </w:rPr>
        <w:t>Medición</w:t>
      </w:r>
      <w:r w:rsidR="00D136BB">
        <w:rPr>
          <w:lang w:val="es-ES"/>
        </w:rPr>
        <w:t xml:space="preserve"> </w:t>
      </w:r>
      <w:r w:rsidRPr="003618E2">
        <w:rPr>
          <w:lang w:val="es-ES"/>
        </w:rPr>
        <w:t>de</w:t>
      </w:r>
      <w:r w:rsidR="00D136BB">
        <w:rPr>
          <w:lang w:val="es-ES"/>
        </w:rPr>
        <w:t xml:space="preserve"> </w:t>
      </w:r>
      <w:r w:rsidRPr="003618E2">
        <w:rPr>
          <w:lang w:val="es-ES"/>
        </w:rPr>
        <w:t>desgaste</w:t>
      </w:r>
      <w:r w:rsidR="00D136BB">
        <w:rPr>
          <w:lang w:val="es-ES"/>
        </w:rPr>
        <w:t xml:space="preserve"> </w:t>
      </w:r>
      <w:r w:rsidRPr="003618E2">
        <w:rPr>
          <w:lang w:val="es-ES"/>
        </w:rPr>
        <w:t>por</w:t>
      </w:r>
      <w:r w:rsidR="00D136BB">
        <w:rPr>
          <w:lang w:val="es-ES"/>
        </w:rPr>
        <w:t xml:space="preserve"> </w:t>
      </w:r>
      <w:r w:rsidRPr="003618E2">
        <w:rPr>
          <w:lang w:val="es-ES"/>
        </w:rPr>
        <w:t>activación</w:t>
      </w:r>
      <w:r w:rsidR="00D136BB">
        <w:rPr>
          <w:lang w:val="es-ES"/>
        </w:rPr>
        <w:t xml:space="preserve"> </w:t>
      </w:r>
      <w:r w:rsidRPr="003618E2">
        <w:rPr>
          <w:lang w:val="es-ES"/>
        </w:rPr>
        <w:t>de</w:t>
      </w:r>
      <w:r w:rsidR="00D136BB">
        <w:rPr>
          <w:lang w:val="es-ES"/>
        </w:rPr>
        <w:t xml:space="preserve"> </w:t>
      </w:r>
      <w:r w:rsidRPr="003618E2">
        <w:rPr>
          <w:lang w:val="es-ES"/>
        </w:rPr>
        <w:t>capas</w:t>
      </w:r>
      <w:r w:rsidR="00D136BB">
        <w:rPr>
          <w:lang w:val="es-ES"/>
        </w:rPr>
        <w:t xml:space="preserve"> </w:t>
      </w:r>
      <w:r w:rsidRPr="003618E2">
        <w:rPr>
          <w:lang w:val="es-ES"/>
        </w:rPr>
        <w:t>delgadas</w:t>
      </w:r>
      <w:r w:rsidR="00D136BB">
        <w:rPr>
          <w:lang w:val="es-ES"/>
        </w:rPr>
        <w:t xml:space="preserve"> </w:t>
      </w:r>
      <w:r w:rsidRPr="003618E2">
        <w:rPr>
          <w:lang w:val="es-ES"/>
        </w:rPr>
        <w:t>con</w:t>
      </w:r>
      <w:r w:rsidR="00D136BB">
        <w:rPr>
          <w:lang w:val="es-ES"/>
        </w:rPr>
        <w:t xml:space="preserve"> </w:t>
      </w:r>
      <w:r w:rsidRPr="003618E2">
        <w:rPr>
          <w:lang w:val="es-ES"/>
        </w:rPr>
        <w:t>protones</w:t>
      </w:r>
      <w:r w:rsidR="00D136BB">
        <w:rPr>
          <w:lang w:val="es-ES"/>
        </w:rPr>
        <w:t xml:space="preserve"> </w:t>
      </w:r>
      <w:r w:rsidRPr="003618E2">
        <w:rPr>
          <w:lang w:val="es-ES"/>
        </w:rPr>
        <w:t>(T)</w:t>
      </w:r>
    </w:p>
    <w:p w14:paraId="3DC6D36D" w14:textId="77777777" w:rsidR="006D362C" w:rsidRPr="003618E2" w:rsidRDefault="006D362C" w:rsidP="006D362C">
      <w:pPr>
        <w:pStyle w:val="BodyText"/>
        <w:rPr>
          <w:b/>
          <w:bCs/>
          <w:lang w:val="es-ES"/>
        </w:rPr>
      </w:pPr>
      <w:r w:rsidRPr="003618E2">
        <w:rPr>
          <w:b/>
          <w:bCs/>
          <w:lang w:val="es-ES"/>
        </w:rPr>
        <w:t>Medicina:</w:t>
      </w:r>
    </w:p>
    <w:p w14:paraId="0FA9CF19" w14:textId="135C9DAF" w:rsidR="006D362C" w:rsidRPr="003618E2" w:rsidRDefault="006D362C" w:rsidP="006D362C">
      <w:pPr>
        <w:pStyle w:val="BodyText"/>
        <w:numPr>
          <w:ilvl w:val="0"/>
          <w:numId w:val="24"/>
        </w:numPr>
        <w:rPr>
          <w:lang w:val="es-ES"/>
        </w:rPr>
      </w:pPr>
      <w:r w:rsidRPr="003618E2">
        <w:rPr>
          <w:lang w:val="es-ES"/>
        </w:rPr>
        <w:t>Esterilización</w:t>
      </w:r>
      <w:r w:rsidR="00D136BB">
        <w:rPr>
          <w:lang w:val="es-ES"/>
        </w:rPr>
        <w:t xml:space="preserve"> </w:t>
      </w:r>
      <w:r w:rsidRPr="003618E2">
        <w:rPr>
          <w:lang w:val="es-ES"/>
        </w:rPr>
        <w:t>de</w:t>
      </w:r>
      <w:r w:rsidR="00D136BB">
        <w:rPr>
          <w:lang w:val="es-ES"/>
        </w:rPr>
        <w:t xml:space="preserve"> </w:t>
      </w:r>
      <w:r w:rsidRPr="003618E2">
        <w:rPr>
          <w:lang w:val="es-ES"/>
        </w:rPr>
        <w:t>instrumentos</w:t>
      </w:r>
      <w:r w:rsidR="00D136BB">
        <w:rPr>
          <w:lang w:val="es-ES"/>
        </w:rPr>
        <w:t xml:space="preserve"> </w:t>
      </w:r>
      <w:r w:rsidRPr="003618E2">
        <w:rPr>
          <w:lang w:val="es-ES"/>
        </w:rPr>
        <w:t>y</w:t>
      </w:r>
      <w:r w:rsidR="00D136BB">
        <w:rPr>
          <w:lang w:val="es-ES"/>
        </w:rPr>
        <w:t xml:space="preserve"> </w:t>
      </w:r>
      <w:r w:rsidRPr="003618E2">
        <w:rPr>
          <w:lang w:val="es-ES"/>
        </w:rPr>
        <w:t>productos</w:t>
      </w:r>
      <w:r w:rsidR="00D136BB">
        <w:rPr>
          <w:lang w:val="es-ES"/>
        </w:rPr>
        <w:t xml:space="preserve"> </w:t>
      </w:r>
      <w:r w:rsidRPr="003618E2">
        <w:rPr>
          <w:lang w:val="es-ES"/>
        </w:rPr>
        <w:t>médicos</w:t>
      </w:r>
      <w:r w:rsidR="00D136BB">
        <w:rPr>
          <w:lang w:val="es-ES"/>
        </w:rPr>
        <w:t xml:space="preserve"> </w:t>
      </w:r>
      <w:r w:rsidRPr="003618E2">
        <w:rPr>
          <w:lang w:val="es-ES"/>
        </w:rPr>
        <w:t>desechables</w:t>
      </w:r>
      <w:r w:rsidR="00D136BB">
        <w:rPr>
          <w:lang w:val="es-ES"/>
        </w:rPr>
        <w:t xml:space="preserve"> </w:t>
      </w:r>
      <w:r w:rsidRPr="003618E2">
        <w:rPr>
          <w:lang w:val="es-ES"/>
        </w:rPr>
        <w:t>(PR)</w:t>
      </w:r>
    </w:p>
    <w:p w14:paraId="007AA50A" w14:textId="6BC3A703" w:rsidR="006D362C" w:rsidRPr="003618E2" w:rsidRDefault="006D362C" w:rsidP="006D362C">
      <w:pPr>
        <w:pStyle w:val="BodyText"/>
        <w:numPr>
          <w:ilvl w:val="0"/>
          <w:numId w:val="24"/>
        </w:numPr>
        <w:rPr>
          <w:lang w:val="es-ES"/>
        </w:rPr>
      </w:pPr>
      <w:r w:rsidRPr="003618E2">
        <w:rPr>
          <w:lang w:val="es-ES"/>
        </w:rPr>
        <w:t>Sanitización</w:t>
      </w:r>
      <w:r w:rsidR="00D136BB">
        <w:rPr>
          <w:lang w:val="es-ES"/>
        </w:rPr>
        <w:t xml:space="preserve"> </w:t>
      </w:r>
      <w:r w:rsidRPr="003618E2">
        <w:rPr>
          <w:lang w:val="es-ES"/>
        </w:rPr>
        <w:t>de</w:t>
      </w:r>
      <w:r w:rsidR="00D136BB">
        <w:rPr>
          <w:lang w:val="es-ES"/>
        </w:rPr>
        <w:t xml:space="preserve"> </w:t>
      </w:r>
      <w:r w:rsidRPr="003618E2">
        <w:rPr>
          <w:lang w:val="es-ES"/>
        </w:rPr>
        <w:t>cosméticos</w:t>
      </w:r>
      <w:r w:rsidR="00D136BB">
        <w:rPr>
          <w:lang w:val="es-ES"/>
        </w:rPr>
        <w:t xml:space="preserve"> </w:t>
      </w:r>
      <w:r w:rsidRPr="003618E2">
        <w:rPr>
          <w:lang w:val="es-ES"/>
        </w:rPr>
        <w:t>(PR)</w:t>
      </w:r>
    </w:p>
    <w:p w14:paraId="7C1A1186" w14:textId="7DDB4E77" w:rsidR="006D362C" w:rsidRPr="003618E2" w:rsidRDefault="006D362C" w:rsidP="006D362C">
      <w:pPr>
        <w:pStyle w:val="BodyText"/>
        <w:numPr>
          <w:ilvl w:val="0"/>
          <w:numId w:val="24"/>
        </w:numPr>
        <w:rPr>
          <w:lang w:val="es-ES"/>
        </w:rPr>
      </w:pPr>
      <w:r w:rsidRPr="003618E2">
        <w:rPr>
          <w:lang w:val="es-ES"/>
        </w:rPr>
        <w:t>Preparación</w:t>
      </w:r>
      <w:r w:rsidR="00D136BB">
        <w:rPr>
          <w:lang w:val="es-ES"/>
        </w:rPr>
        <w:t xml:space="preserve"> </w:t>
      </w:r>
      <w:r w:rsidRPr="003618E2">
        <w:rPr>
          <w:lang w:val="es-ES"/>
        </w:rPr>
        <w:t>de</w:t>
      </w:r>
      <w:r w:rsidR="00D136BB">
        <w:rPr>
          <w:lang w:val="es-ES"/>
        </w:rPr>
        <w:t xml:space="preserve"> </w:t>
      </w:r>
      <w:r w:rsidRPr="003618E2">
        <w:rPr>
          <w:lang w:val="es-ES"/>
        </w:rPr>
        <w:t>hidrogeles</w:t>
      </w:r>
      <w:r w:rsidR="00D136BB">
        <w:rPr>
          <w:lang w:val="es-ES"/>
        </w:rPr>
        <w:t xml:space="preserve"> </w:t>
      </w:r>
      <w:r w:rsidRPr="003618E2">
        <w:rPr>
          <w:lang w:val="es-ES"/>
        </w:rPr>
        <w:t>(PR)</w:t>
      </w:r>
    </w:p>
    <w:p w14:paraId="0F1F37EC" w14:textId="1DFE891F" w:rsidR="006D362C" w:rsidRPr="003618E2" w:rsidRDefault="006D362C" w:rsidP="006D362C">
      <w:pPr>
        <w:pStyle w:val="BodyText"/>
        <w:numPr>
          <w:ilvl w:val="0"/>
          <w:numId w:val="24"/>
        </w:numPr>
        <w:rPr>
          <w:lang w:val="es-ES"/>
        </w:rPr>
      </w:pPr>
      <w:r w:rsidRPr="003618E2">
        <w:rPr>
          <w:lang w:val="es-ES"/>
        </w:rPr>
        <w:t>Esterilización</w:t>
      </w:r>
      <w:r w:rsidR="00D136BB">
        <w:rPr>
          <w:lang w:val="es-ES"/>
        </w:rPr>
        <w:t xml:space="preserve"> </w:t>
      </w:r>
      <w:r w:rsidRPr="003618E2">
        <w:rPr>
          <w:lang w:val="es-ES"/>
        </w:rPr>
        <w:t>de</w:t>
      </w:r>
      <w:r w:rsidR="00D136BB">
        <w:rPr>
          <w:lang w:val="es-ES"/>
        </w:rPr>
        <w:t xml:space="preserve"> </w:t>
      </w:r>
      <w:r w:rsidRPr="003618E2">
        <w:rPr>
          <w:lang w:val="es-ES"/>
        </w:rPr>
        <w:t>sangre</w:t>
      </w:r>
      <w:r w:rsidR="00D136BB">
        <w:rPr>
          <w:lang w:val="es-ES"/>
        </w:rPr>
        <w:t xml:space="preserve"> </w:t>
      </w:r>
      <w:r w:rsidRPr="003618E2">
        <w:rPr>
          <w:lang w:val="es-ES"/>
        </w:rPr>
        <w:t>(PR)</w:t>
      </w:r>
    </w:p>
    <w:p w14:paraId="3BB10983" w14:textId="7FCC53B2" w:rsidR="006D362C" w:rsidRPr="003618E2" w:rsidRDefault="006D362C" w:rsidP="006D362C">
      <w:pPr>
        <w:pStyle w:val="BodyText"/>
        <w:numPr>
          <w:ilvl w:val="0"/>
          <w:numId w:val="24"/>
        </w:numPr>
        <w:rPr>
          <w:lang w:val="es-ES"/>
        </w:rPr>
      </w:pPr>
      <w:r w:rsidRPr="003618E2">
        <w:rPr>
          <w:lang w:val="es-ES"/>
        </w:rPr>
        <w:t>Esterilización</w:t>
      </w:r>
      <w:r w:rsidR="00D136BB">
        <w:rPr>
          <w:lang w:val="es-ES"/>
        </w:rPr>
        <w:t xml:space="preserve"> </w:t>
      </w:r>
      <w:r w:rsidRPr="003618E2">
        <w:rPr>
          <w:lang w:val="es-ES"/>
        </w:rPr>
        <w:t>tejidos</w:t>
      </w:r>
      <w:r w:rsidR="00D136BB">
        <w:rPr>
          <w:lang w:val="es-ES"/>
        </w:rPr>
        <w:t xml:space="preserve"> </w:t>
      </w:r>
      <w:r w:rsidRPr="003618E2">
        <w:rPr>
          <w:lang w:val="es-ES"/>
        </w:rPr>
        <w:t>biológicos</w:t>
      </w:r>
      <w:r w:rsidR="00D136BB">
        <w:rPr>
          <w:lang w:val="es-ES"/>
        </w:rPr>
        <w:t xml:space="preserve"> </w:t>
      </w:r>
      <w:r w:rsidRPr="003618E2">
        <w:rPr>
          <w:lang w:val="es-ES"/>
        </w:rPr>
        <w:t>(humanos</w:t>
      </w:r>
      <w:r w:rsidR="00D136BB">
        <w:rPr>
          <w:lang w:val="es-ES"/>
        </w:rPr>
        <w:t xml:space="preserve"> </w:t>
      </w:r>
      <w:r w:rsidRPr="003618E2">
        <w:rPr>
          <w:lang w:val="es-ES"/>
        </w:rPr>
        <w:t>y</w:t>
      </w:r>
      <w:r w:rsidR="00D136BB">
        <w:rPr>
          <w:lang w:val="es-ES"/>
        </w:rPr>
        <w:t xml:space="preserve"> </w:t>
      </w:r>
      <w:r w:rsidRPr="003618E2">
        <w:rPr>
          <w:lang w:val="es-ES"/>
        </w:rPr>
        <w:t>de</w:t>
      </w:r>
      <w:r w:rsidR="00D136BB">
        <w:rPr>
          <w:lang w:val="es-ES"/>
        </w:rPr>
        <w:t xml:space="preserve"> </w:t>
      </w:r>
      <w:r w:rsidRPr="003618E2">
        <w:rPr>
          <w:lang w:val="es-ES"/>
        </w:rPr>
        <w:t>animales),</w:t>
      </w:r>
      <w:r w:rsidR="00D136BB">
        <w:rPr>
          <w:lang w:val="es-ES"/>
        </w:rPr>
        <w:t xml:space="preserve"> </w:t>
      </w:r>
      <w:r w:rsidRPr="003618E2">
        <w:rPr>
          <w:lang w:val="es-ES"/>
        </w:rPr>
        <w:t>prótesis,</w:t>
      </w:r>
      <w:r w:rsidR="00D136BB">
        <w:rPr>
          <w:lang w:val="es-ES"/>
        </w:rPr>
        <w:t xml:space="preserve"> </w:t>
      </w:r>
      <w:r w:rsidRPr="003618E2">
        <w:rPr>
          <w:lang w:val="es-ES"/>
        </w:rPr>
        <w:t>etc.</w:t>
      </w:r>
      <w:r w:rsidR="00D136BB">
        <w:rPr>
          <w:lang w:val="es-ES"/>
        </w:rPr>
        <w:t xml:space="preserve"> </w:t>
      </w:r>
      <w:r w:rsidRPr="003618E2">
        <w:rPr>
          <w:lang w:val="es-ES"/>
        </w:rPr>
        <w:t>(PR)</w:t>
      </w:r>
    </w:p>
    <w:p w14:paraId="11C6C9F3" w14:textId="6999A33B" w:rsidR="006D362C" w:rsidRPr="003618E2" w:rsidRDefault="006D362C" w:rsidP="006D362C">
      <w:pPr>
        <w:pStyle w:val="BodyText"/>
        <w:rPr>
          <w:b/>
          <w:bCs/>
          <w:lang w:val="es-ES"/>
        </w:rPr>
      </w:pPr>
      <w:r w:rsidRPr="003618E2">
        <w:rPr>
          <w:b/>
          <w:bCs/>
          <w:lang w:val="es-ES"/>
        </w:rPr>
        <w:t>Minería</w:t>
      </w:r>
      <w:r w:rsidR="00D136BB">
        <w:rPr>
          <w:b/>
          <w:bCs/>
          <w:lang w:val="es-ES"/>
        </w:rPr>
        <w:t xml:space="preserve"> </w:t>
      </w:r>
      <w:r w:rsidRPr="003618E2">
        <w:rPr>
          <w:b/>
          <w:bCs/>
          <w:lang w:val="es-ES"/>
        </w:rPr>
        <w:t>(RT,</w:t>
      </w:r>
      <w:r w:rsidR="00D136BB">
        <w:rPr>
          <w:b/>
          <w:bCs/>
          <w:lang w:val="es-ES"/>
        </w:rPr>
        <w:t xml:space="preserve"> </w:t>
      </w:r>
      <w:r w:rsidRPr="003618E2">
        <w:rPr>
          <w:b/>
          <w:bCs/>
          <w:lang w:val="es-ES"/>
        </w:rPr>
        <w:t>T,</w:t>
      </w:r>
      <w:r w:rsidR="00D136BB">
        <w:rPr>
          <w:b/>
          <w:bCs/>
          <w:lang w:val="es-ES"/>
        </w:rPr>
        <w:t xml:space="preserve"> </w:t>
      </w:r>
      <w:r w:rsidRPr="003618E2">
        <w:rPr>
          <w:b/>
          <w:bCs/>
          <w:lang w:val="es-ES"/>
        </w:rPr>
        <w:t>SCN,</w:t>
      </w:r>
      <w:r w:rsidR="00D136BB">
        <w:rPr>
          <w:b/>
          <w:bCs/>
          <w:lang w:val="es-ES"/>
        </w:rPr>
        <w:t xml:space="preserve"> </w:t>
      </w:r>
      <w:r w:rsidRPr="003618E2">
        <w:rPr>
          <w:b/>
          <w:bCs/>
          <w:lang w:val="es-ES"/>
        </w:rPr>
        <w:t>TAN):</w:t>
      </w:r>
    </w:p>
    <w:p w14:paraId="123E1D36" w14:textId="7531458B" w:rsidR="006D362C" w:rsidRPr="003618E2" w:rsidRDefault="006D362C" w:rsidP="006D362C">
      <w:pPr>
        <w:pStyle w:val="BodyText"/>
        <w:numPr>
          <w:ilvl w:val="0"/>
          <w:numId w:val="29"/>
        </w:numPr>
        <w:rPr>
          <w:lang w:val="es-ES"/>
        </w:rPr>
      </w:pPr>
      <w:r w:rsidRPr="003618E2">
        <w:rPr>
          <w:lang w:val="es-ES"/>
        </w:rPr>
        <w:t>Exploración</w:t>
      </w:r>
      <w:r w:rsidR="00D136BB">
        <w:rPr>
          <w:lang w:val="es-ES"/>
        </w:rPr>
        <w:t xml:space="preserve"> </w:t>
      </w:r>
      <w:r w:rsidRPr="003618E2">
        <w:rPr>
          <w:lang w:val="es-ES"/>
        </w:rPr>
        <w:t>(RT,</w:t>
      </w:r>
      <w:r w:rsidR="00D136BB">
        <w:rPr>
          <w:lang w:val="es-ES"/>
        </w:rPr>
        <w:t xml:space="preserve"> </w:t>
      </w:r>
      <w:r w:rsidRPr="003618E2">
        <w:rPr>
          <w:lang w:val="es-ES"/>
        </w:rPr>
        <w:t>SCN,</w:t>
      </w:r>
      <w:r w:rsidR="00D136BB">
        <w:rPr>
          <w:lang w:val="es-ES"/>
        </w:rPr>
        <w:t xml:space="preserve"> </w:t>
      </w:r>
      <w:r w:rsidRPr="003618E2">
        <w:rPr>
          <w:lang w:val="es-ES"/>
        </w:rPr>
        <w:t>TAN)</w:t>
      </w:r>
    </w:p>
    <w:p w14:paraId="73F3615A" w14:textId="645CA247" w:rsidR="006D362C" w:rsidRPr="003618E2" w:rsidRDefault="006D362C" w:rsidP="006D362C">
      <w:pPr>
        <w:pStyle w:val="BodyText"/>
        <w:numPr>
          <w:ilvl w:val="0"/>
          <w:numId w:val="29"/>
        </w:numPr>
        <w:rPr>
          <w:lang w:val="es-ES"/>
        </w:rPr>
      </w:pPr>
      <w:r w:rsidRPr="003618E2">
        <w:rPr>
          <w:lang w:val="es-ES"/>
        </w:rPr>
        <w:t>Procesamiento</w:t>
      </w:r>
      <w:r w:rsidR="00D136BB">
        <w:rPr>
          <w:lang w:val="es-ES"/>
        </w:rPr>
        <w:t xml:space="preserve"> </w:t>
      </w:r>
      <w:r w:rsidRPr="003618E2">
        <w:rPr>
          <w:lang w:val="es-ES"/>
        </w:rPr>
        <w:t>y</w:t>
      </w:r>
      <w:r w:rsidR="00D136BB">
        <w:rPr>
          <w:lang w:val="es-ES"/>
        </w:rPr>
        <w:t xml:space="preserve"> </w:t>
      </w:r>
      <w:r w:rsidRPr="003618E2">
        <w:rPr>
          <w:lang w:val="es-ES"/>
        </w:rPr>
        <w:t>optimización</w:t>
      </w:r>
      <w:r w:rsidR="00D136BB">
        <w:rPr>
          <w:lang w:val="es-ES"/>
        </w:rPr>
        <w:t xml:space="preserve"> </w:t>
      </w:r>
      <w:r w:rsidRPr="003618E2">
        <w:rPr>
          <w:lang w:val="es-ES"/>
        </w:rPr>
        <w:t>(T,</w:t>
      </w:r>
      <w:r w:rsidR="00D136BB">
        <w:rPr>
          <w:lang w:val="es-ES"/>
        </w:rPr>
        <w:t xml:space="preserve"> </w:t>
      </w:r>
      <w:r w:rsidRPr="003618E2">
        <w:rPr>
          <w:lang w:val="es-ES"/>
        </w:rPr>
        <w:t>RT,</w:t>
      </w:r>
      <w:r w:rsidR="00D136BB">
        <w:rPr>
          <w:lang w:val="es-ES"/>
        </w:rPr>
        <w:t xml:space="preserve"> </w:t>
      </w:r>
      <w:r w:rsidRPr="003618E2">
        <w:rPr>
          <w:lang w:val="es-ES"/>
        </w:rPr>
        <w:t>SCN)</w:t>
      </w:r>
    </w:p>
    <w:p w14:paraId="5AEAB780" w14:textId="05E8C1B1" w:rsidR="006D362C" w:rsidRPr="003618E2" w:rsidRDefault="006D362C" w:rsidP="006D362C">
      <w:pPr>
        <w:pStyle w:val="BodyText"/>
        <w:rPr>
          <w:b/>
          <w:bCs/>
          <w:lang w:val="es-ES"/>
        </w:rPr>
      </w:pPr>
      <w:r w:rsidRPr="003618E2">
        <w:rPr>
          <w:b/>
          <w:bCs/>
          <w:lang w:val="es-ES"/>
        </w:rPr>
        <w:t>Objetos</w:t>
      </w:r>
      <w:r w:rsidR="00D136BB">
        <w:rPr>
          <w:b/>
          <w:bCs/>
          <w:lang w:val="es-ES"/>
        </w:rPr>
        <w:t xml:space="preserve"> </w:t>
      </w:r>
      <w:r w:rsidRPr="003618E2">
        <w:rPr>
          <w:b/>
          <w:bCs/>
          <w:lang w:val="es-ES"/>
        </w:rPr>
        <w:t>de</w:t>
      </w:r>
      <w:r w:rsidR="00D136BB">
        <w:rPr>
          <w:b/>
          <w:bCs/>
          <w:lang w:val="es-ES"/>
        </w:rPr>
        <w:t xml:space="preserve"> </w:t>
      </w:r>
      <w:r w:rsidRPr="003618E2">
        <w:rPr>
          <w:b/>
          <w:bCs/>
          <w:lang w:val="es-ES"/>
        </w:rPr>
        <w:t>Patrimonio</w:t>
      </w:r>
      <w:r w:rsidR="00D136BB">
        <w:rPr>
          <w:b/>
          <w:bCs/>
          <w:lang w:val="es-ES"/>
        </w:rPr>
        <w:t xml:space="preserve"> </w:t>
      </w:r>
      <w:r w:rsidRPr="003618E2">
        <w:rPr>
          <w:b/>
          <w:bCs/>
          <w:lang w:val="es-ES"/>
        </w:rPr>
        <w:t>Cultural</w:t>
      </w:r>
      <w:r w:rsidR="00D136BB">
        <w:rPr>
          <w:b/>
          <w:bCs/>
          <w:lang w:val="es-ES"/>
        </w:rPr>
        <w:t xml:space="preserve"> </w:t>
      </w:r>
      <w:r w:rsidRPr="003618E2">
        <w:rPr>
          <w:b/>
          <w:bCs/>
          <w:lang w:val="es-ES"/>
        </w:rPr>
        <w:t>(Caracterización,</w:t>
      </w:r>
      <w:r w:rsidR="00D136BB">
        <w:rPr>
          <w:b/>
          <w:bCs/>
          <w:lang w:val="es-ES"/>
        </w:rPr>
        <w:t xml:space="preserve"> </w:t>
      </w:r>
      <w:r w:rsidRPr="003618E2">
        <w:rPr>
          <w:b/>
          <w:bCs/>
          <w:lang w:val="es-ES"/>
        </w:rPr>
        <w:t>Conservación</w:t>
      </w:r>
      <w:r w:rsidR="00D136BB">
        <w:rPr>
          <w:b/>
          <w:bCs/>
          <w:lang w:val="es-ES"/>
        </w:rPr>
        <w:t xml:space="preserve"> </w:t>
      </w:r>
      <w:r w:rsidRPr="003618E2">
        <w:rPr>
          <w:b/>
          <w:bCs/>
          <w:lang w:val="es-ES"/>
        </w:rPr>
        <w:t>y</w:t>
      </w:r>
      <w:r w:rsidR="00D136BB">
        <w:rPr>
          <w:b/>
          <w:bCs/>
          <w:lang w:val="es-ES"/>
        </w:rPr>
        <w:t xml:space="preserve"> </w:t>
      </w:r>
      <w:r w:rsidRPr="003618E2">
        <w:rPr>
          <w:b/>
          <w:bCs/>
          <w:lang w:val="es-ES"/>
        </w:rPr>
        <w:t>Preservación):</w:t>
      </w:r>
    </w:p>
    <w:p w14:paraId="798E8270" w14:textId="1059360B" w:rsidR="006D362C" w:rsidRPr="003618E2" w:rsidRDefault="006D362C" w:rsidP="006D362C">
      <w:pPr>
        <w:pStyle w:val="BodyText"/>
        <w:numPr>
          <w:ilvl w:val="0"/>
          <w:numId w:val="25"/>
        </w:numPr>
        <w:rPr>
          <w:lang w:val="es-ES"/>
        </w:rPr>
      </w:pPr>
      <w:r w:rsidRPr="003618E2">
        <w:rPr>
          <w:lang w:val="es-ES"/>
        </w:rPr>
        <w:t>Desinfestación</w:t>
      </w:r>
      <w:r w:rsidR="00D136BB">
        <w:rPr>
          <w:lang w:val="es-ES"/>
        </w:rPr>
        <w:t xml:space="preserve"> </w:t>
      </w:r>
      <w:r w:rsidRPr="003618E2">
        <w:rPr>
          <w:lang w:val="es-ES"/>
        </w:rPr>
        <w:t>y</w:t>
      </w:r>
      <w:r w:rsidR="00D136BB">
        <w:rPr>
          <w:lang w:val="es-ES"/>
        </w:rPr>
        <w:t xml:space="preserve"> </w:t>
      </w:r>
      <w:r w:rsidRPr="003618E2">
        <w:rPr>
          <w:lang w:val="es-ES"/>
        </w:rPr>
        <w:t>desinfección</w:t>
      </w:r>
      <w:r w:rsidR="00D136BB">
        <w:rPr>
          <w:lang w:val="es-ES"/>
        </w:rPr>
        <w:t xml:space="preserve"> </w:t>
      </w:r>
      <w:r w:rsidRPr="003618E2">
        <w:rPr>
          <w:lang w:val="es-ES"/>
        </w:rPr>
        <w:t>de</w:t>
      </w:r>
      <w:r w:rsidR="00D136BB">
        <w:rPr>
          <w:lang w:val="es-ES"/>
        </w:rPr>
        <w:t xml:space="preserve"> </w:t>
      </w:r>
      <w:r w:rsidRPr="003618E2">
        <w:rPr>
          <w:lang w:val="es-ES"/>
        </w:rPr>
        <w:t>objetos</w:t>
      </w:r>
      <w:r w:rsidR="00D136BB">
        <w:rPr>
          <w:lang w:val="es-ES"/>
        </w:rPr>
        <w:t xml:space="preserve"> </w:t>
      </w:r>
      <w:r w:rsidRPr="003618E2">
        <w:rPr>
          <w:lang w:val="es-ES"/>
        </w:rPr>
        <w:t>de</w:t>
      </w:r>
      <w:r w:rsidR="00D136BB">
        <w:rPr>
          <w:lang w:val="es-ES"/>
        </w:rPr>
        <w:t xml:space="preserve"> </w:t>
      </w:r>
      <w:r w:rsidRPr="003618E2">
        <w:rPr>
          <w:lang w:val="es-ES"/>
        </w:rPr>
        <w:t>valor</w:t>
      </w:r>
      <w:r w:rsidR="00D136BB">
        <w:rPr>
          <w:lang w:val="es-ES"/>
        </w:rPr>
        <w:t xml:space="preserve"> </w:t>
      </w:r>
      <w:r w:rsidRPr="003618E2">
        <w:rPr>
          <w:lang w:val="es-ES"/>
        </w:rPr>
        <w:t>cultural</w:t>
      </w:r>
      <w:r w:rsidR="00D136BB">
        <w:rPr>
          <w:lang w:val="es-ES"/>
        </w:rPr>
        <w:t xml:space="preserve"> </w:t>
      </w:r>
      <w:r w:rsidRPr="003618E2">
        <w:rPr>
          <w:lang w:val="es-ES"/>
        </w:rPr>
        <w:t>y</w:t>
      </w:r>
      <w:r w:rsidR="00D136BB">
        <w:rPr>
          <w:lang w:val="es-ES"/>
        </w:rPr>
        <w:t xml:space="preserve"> </w:t>
      </w:r>
      <w:r w:rsidRPr="003618E2">
        <w:rPr>
          <w:lang w:val="es-ES"/>
        </w:rPr>
        <w:t>materiales</w:t>
      </w:r>
      <w:r w:rsidR="00D136BB">
        <w:rPr>
          <w:lang w:val="es-ES"/>
        </w:rPr>
        <w:t xml:space="preserve"> </w:t>
      </w:r>
      <w:r w:rsidRPr="003618E2">
        <w:rPr>
          <w:lang w:val="es-ES"/>
        </w:rPr>
        <w:t>archivados</w:t>
      </w:r>
      <w:r w:rsidR="00D136BB">
        <w:rPr>
          <w:lang w:val="es-ES"/>
        </w:rPr>
        <w:t xml:space="preserve"> </w:t>
      </w:r>
      <w:r w:rsidRPr="003618E2">
        <w:rPr>
          <w:lang w:val="es-ES"/>
        </w:rPr>
        <w:t>(PR)</w:t>
      </w:r>
    </w:p>
    <w:p w14:paraId="6B2EF3D4" w14:textId="273284D8" w:rsidR="006D362C" w:rsidRPr="003618E2" w:rsidRDefault="006D362C" w:rsidP="006D362C">
      <w:pPr>
        <w:pStyle w:val="BodyText"/>
        <w:numPr>
          <w:ilvl w:val="0"/>
          <w:numId w:val="25"/>
        </w:numPr>
        <w:rPr>
          <w:lang w:val="es-ES"/>
        </w:rPr>
      </w:pPr>
      <w:r w:rsidRPr="003618E2">
        <w:rPr>
          <w:lang w:val="es-ES"/>
        </w:rPr>
        <w:t>Consolidación</w:t>
      </w:r>
      <w:r w:rsidR="00D136BB">
        <w:rPr>
          <w:lang w:val="es-ES"/>
        </w:rPr>
        <w:t xml:space="preserve"> </w:t>
      </w:r>
      <w:r w:rsidRPr="003618E2">
        <w:rPr>
          <w:lang w:val="es-ES"/>
        </w:rPr>
        <w:t>de</w:t>
      </w:r>
      <w:r w:rsidR="00D136BB">
        <w:rPr>
          <w:lang w:val="es-ES"/>
        </w:rPr>
        <w:t xml:space="preserve"> </w:t>
      </w:r>
      <w:r w:rsidRPr="003618E2">
        <w:rPr>
          <w:lang w:val="es-ES"/>
        </w:rPr>
        <w:t>objetos</w:t>
      </w:r>
      <w:r w:rsidR="00D136BB">
        <w:rPr>
          <w:lang w:val="es-ES"/>
        </w:rPr>
        <w:t xml:space="preserve"> </w:t>
      </w:r>
      <w:r w:rsidRPr="003618E2">
        <w:rPr>
          <w:lang w:val="es-ES"/>
        </w:rPr>
        <w:t>de</w:t>
      </w:r>
      <w:r w:rsidR="00D136BB">
        <w:rPr>
          <w:lang w:val="es-ES"/>
        </w:rPr>
        <w:t xml:space="preserve"> </w:t>
      </w:r>
      <w:r w:rsidRPr="003618E2">
        <w:rPr>
          <w:lang w:val="es-ES"/>
        </w:rPr>
        <w:t>valor</w:t>
      </w:r>
      <w:r w:rsidR="00D136BB">
        <w:rPr>
          <w:lang w:val="es-ES"/>
        </w:rPr>
        <w:t xml:space="preserve"> </w:t>
      </w:r>
      <w:r w:rsidRPr="003618E2">
        <w:rPr>
          <w:lang w:val="es-ES"/>
        </w:rPr>
        <w:t>cultural</w:t>
      </w:r>
      <w:r w:rsidR="00D136BB">
        <w:rPr>
          <w:lang w:val="es-ES"/>
        </w:rPr>
        <w:t xml:space="preserve"> </w:t>
      </w:r>
      <w:r w:rsidRPr="003618E2">
        <w:rPr>
          <w:lang w:val="es-ES"/>
        </w:rPr>
        <w:t>utilizando</w:t>
      </w:r>
      <w:r w:rsidR="00D136BB">
        <w:rPr>
          <w:lang w:val="es-ES"/>
        </w:rPr>
        <w:t xml:space="preserve"> </w:t>
      </w:r>
      <w:r w:rsidRPr="003618E2">
        <w:rPr>
          <w:lang w:val="es-ES"/>
        </w:rPr>
        <w:t>resinas</w:t>
      </w:r>
      <w:r w:rsidR="00D136BB">
        <w:rPr>
          <w:lang w:val="es-ES"/>
        </w:rPr>
        <w:t xml:space="preserve"> </w:t>
      </w:r>
      <w:r w:rsidRPr="003618E2">
        <w:rPr>
          <w:lang w:val="es-ES"/>
        </w:rPr>
        <w:t>curables</w:t>
      </w:r>
      <w:r w:rsidR="00D136BB">
        <w:rPr>
          <w:lang w:val="es-ES"/>
        </w:rPr>
        <w:t xml:space="preserve"> </w:t>
      </w:r>
      <w:r w:rsidRPr="003618E2">
        <w:rPr>
          <w:lang w:val="es-ES"/>
        </w:rPr>
        <w:t>(PR)</w:t>
      </w:r>
    </w:p>
    <w:p w14:paraId="034CF0A6" w14:textId="1083F63B" w:rsidR="006D362C" w:rsidRPr="003618E2" w:rsidRDefault="006D362C" w:rsidP="006D362C">
      <w:pPr>
        <w:pStyle w:val="BodyText"/>
        <w:numPr>
          <w:ilvl w:val="0"/>
          <w:numId w:val="25"/>
        </w:numPr>
        <w:rPr>
          <w:lang w:val="es-ES"/>
        </w:rPr>
      </w:pPr>
      <w:r w:rsidRPr="003618E2">
        <w:rPr>
          <w:lang w:val="es-ES"/>
        </w:rPr>
        <w:t>Autenticación,</w:t>
      </w:r>
      <w:r w:rsidR="00D136BB">
        <w:rPr>
          <w:lang w:val="es-ES"/>
        </w:rPr>
        <w:t xml:space="preserve"> </w:t>
      </w:r>
      <w:r w:rsidRPr="003618E2">
        <w:rPr>
          <w:lang w:val="es-ES"/>
        </w:rPr>
        <w:t>caracterización</w:t>
      </w:r>
      <w:r w:rsidR="00D136BB">
        <w:rPr>
          <w:lang w:val="es-ES"/>
        </w:rPr>
        <w:t xml:space="preserve"> </w:t>
      </w:r>
      <w:r w:rsidRPr="003618E2">
        <w:rPr>
          <w:lang w:val="es-ES"/>
        </w:rPr>
        <w:t>y</w:t>
      </w:r>
      <w:r w:rsidR="00D136BB">
        <w:rPr>
          <w:lang w:val="es-ES"/>
        </w:rPr>
        <w:t xml:space="preserve"> </w:t>
      </w:r>
      <w:r w:rsidRPr="003618E2">
        <w:rPr>
          <w:lang w:val="es-ES"/>
        </w:rPr>
        <w:t>origen</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de</w:t>
      </w:r>
      <w:r w:rsidR="00D136BB">
        <w:rPr>
          <w:lang w:val="es-ES"/>
        </w:rPr>
        <w:t xml:space="preserve"> </w:t>
      </w:r>
      <w:r w:rsidRPr="003618E2">
        <w:rPr>
          <w:lang w:val="es-ES"/>
        </w:rPr>
        <w:t>patrimonio</w:t>
      </w:r>
      <w:r w:rsidR="00D136BB">
        <w:rPr>
          <w:lang w:val="es-ES"/>
        </w:rPr>
        <w:t xml:space="preserve"> </w:t>
      </w:r>
      <w:r w:rsidRPr="003618E2">
        <w:rPr>
          <w:lang w:val="es-ES"/>
        </w:rPr>
        <w:t>cultural</w:t>
      </w:r>
      <w:r w:rsidR="00D136BB">
        <w:rPr>
          <w:lang w:val="es-ES"/>
        </w:rPr>
        <w:t xml:space="preserve"> </w:t>
      </w:r>
      <w:r w:rsidRPr="003618E2">
        <w:rPr>
          <w:lang w:val="es-ES"/>
        </w:rPr>
        <w:t>(TAN)</w:t>
      </w:r>
    </w:p>
    <w:p w14:paraId="39B8C1AF" w14:textId="7311271D" w:rsidR="006D362C" w:rsidRPr="003618E2" w:rsidRDefault="006D362C" w:rsidP="006D362C">
      <w:pPr>
        <w:pStyle w:val="BodyText"/>
        <w:numPr>
          <w:ilvl w:val="0"/>
          <w:numId w:val="25"/>
        </w:numPr>
        <w:rPr>
          <w:lang w:val="es-ES"/>
        </w:rPr>
      </w:pPr>
      <w:r w:rsidRPr="003618E2">
        <w:rPr>
          <w:lang w:val="es-ES"/>
        </w:rPr>
        <w:t>Datación</w:t>
      </w:r>
      <w:r w:rsidR="00D136BB">
        <w:rPr>
          <w:lang w:val="es-ES"/>
        </w:rPr>
        <w:t xml:space="preserve"> </w:t>
      </w:r>
      <w:r w:rsidRPr="003618E2">
        <w:rPr>
          <w:lang w:val="es-ES"/>
        </w:rPr>
        <w:t>de</w:t>
      </w:r>
      <w:r w:rsidR="00D136BB">
        <w:rPr>
          <w:lang w:val="es-ES"/>
        </w:rPr>
        <w:t xml:space="preserve"> </w:t>
      </w:r>
      <w:r w:rsidRPr="003618E2">
        <w:rPr>
          <w:lang w:val="es-ES"/>
        </w:rPr>
        <w:t>objetos</w:t>
      </w:r>
      <w:r w:rsidR="00D136BB">
        <w:rPr>
          <w:lang w:val="es-ES"/>
        </w:rPr>
        <w:t xml:space="preserve"> </w:t>
      </w:r>
      <w:r w:rsidRPr="003618E2">
        <w:rPr>
          <w:lang w:val="es-ES"/>
        </w:rPr>
        <w:t>(TAN)</w:t>
      </w:r>
    </w:p>
    <w:p w14:paraId="7FEB24F3" w14:textId="408021AB" w:rsidR="006D362C" w:rsidRPr="003618E2" w:rsidRDefault="006D362C" w:rsidP="006D362C">
      <w:pPr>
        <w:pStyle w:val="BodyText"/>
        <w:numPr>
          <w:ilvl w:val="0"/>
          <w:numId w:val="25"/>
        </w:numPr>
        <w:rPr>
          <w:lang w:val="es-ES"/>
        </w:rPr>
      </w:pPr>
      <w:r w:rsidRPr="003618E2">
        <w:rPr>
          <w:lang w:val="es-ES"/>
        </w:rPr>
        <w:t>Análisis</w:t>
      </w:r>
      <w:r w:rsidR="00D136BB">
        <w:rPr>
          <w:lang w:val="es-ES"/>
        </w:rPr>
        <w:t xml:space="preserve"> </w:t>
      </w:r>
      <w:r w:rsidRPr="003618E2">
        <w:rPr>
          <w:lang w:val="es-ES"/>
        </w:rPr>
        <w:t>de</w:t>
      </w:r>
      <w:r w:rsidR="00D136BB">
        <w:rPr>
          <w:lang w:val="es-ES"/>
        </w:rPr>
        <w:t xml:space="preserve"> </w:t>
      </w:r>
      <w:r w:rsidRPr="003618E2">
        <w:rPr>
          <w:lang w:val="es-ES"/>
        </w:rPr>
        <w:t>objetos</w:t>
      </w:r>
      <w:r w:rsidR="00D136BB">
        <w:rPr>
          <w:lang w:val="es-ES"/>
        </w:rPr>
        <w:t xml:space="preserve"> </w:t>
      </w:r>
      <w:r w:rsidRPr="003618E2">
        <w:rPr>
          <w:lang w:val="es-ES"/>
        </w:rPr>
        <w:t>con</w:t>
      </w:r>
      <w:r w:rsidR="00D136BB">
        <w:rPr>
          <w:lang w:val="es-ES"/>
        </w:rPr>
        <w:t xml:space="preserve"> </w:t>
      </w:r>
      <w:r w:rsidRPr="003618E2">
        <w:rPr>
          <w:lang w:val="es-ES"/>
        </w:rPr>
        <w:t>técnicas</w:t>
      </w:r>
      <w:r w:rsidR="00D136BB">
        <w:rPr>
          <w:lang w:val="es-ES"/>
        </w:rPr>
        <w:t xml:space="preserve"> </w:t>
      </w:r>
      <w:r w:rsidRPr="003618E2">
        <w:rPr>
          <w:lang w:val="es-ES"/>
        </w:rPr>
        <w:t>no</w:t>
      </w:r>
      <w:r w:rsidR="00D136BB">
        <w:rPr>
          <w:lang w:val="es-ES"/>
        </w:rPr>
        <w:t xml:space="preserve"> </w:t>
      </w:r>
      <w:r w:rsidRPr="003618E2">
        <w:rPr>
          <w:lang w:val="es-ES"/>
        </w:rPr>
        <w:t>destructivas</w:t>
      </w:r>
      <w:r w:rsidR="00D136BB">
        <w:rPr>
          <w:lang w:val="es-ES"/>
        </w:rPr>
        <w:t xml:space="preserve"> </w:t>
      </w:r>
      <w:r w:rsidRPr="003618E2">
        <w:rPr>
          <w:lang w:val="es-ES"/>
        </w:rPr>
        <w:t>(TAN,</w:t>
      </w:r>
      <w:r w:rsidR="00D136BB">
        <w:rPr>
          <w:lang w:val="es-ES"/>
        </w:rPr>
        <w:t xml:space="preserve"> </w:t>
      </w:r>
      <w:r w:rsidRPr="003618E2">
        <w:rPr>
          <w:lang w:val="es-ES"/>
        </w:rPr>
        <w:t>T,</w:t>
      </w:r>
      <w:r w:rsidR="00D136BB">
        <w:rPr>
          <w:lang w:val="es-ES"/>
        </w:rPr>
        <w:t xml:space="preserve"> </w:t>
      </w:r>
      <w:r w:rsidRPr="003618E2">
        <w:rPr>
          <w:lang w:val="es-ES"/>
        </w:rPr>
        <w:t>END,</w:t>
      </w:r>
      <w:r w:rsidR="00D136BB">
        <w:rPr>
          <w:lang w:val="es-ES"/>
        </w:rPr>
        <w:t xml:space="preserve"> </w:t>
      </w:r>
      <w:r w:rsidRPr="003618E2">
        <w:rPr>
          <w:lang w:val="es-ES"/>
        </w:rPr>
        <w:t>SCN)</w:t>
      </w:r>
    </w:p>
    <w:p w14:paraId="7AF56EF7" w14:textId="0904B076" w:rsidR="006D362C" w:rsidRPr="003618E2" w:rsidRDefault="006D362C" w:rsidP="006D362C">
      <w:pPr>
        <w:pStyle w:val="BodyText"/>
        <w:rPr>
          <w:b/>
          <w:bCs/>
          <w:lang w:val="es-ES"/>
        </w:rPr>
      </w:pPr>
      <w:r w:rsidRPr="003618E2">
        <w:rPr>
          <w:b/>
          <w:bCs/>
          <w:lang w:val="es-ES"/>
        </w:rPr>
        <w:t>Procesos</w:t>
      </w:r>
      <w:r w:rsidR="00D136BB">
        <w:rPr>
          <w:b/>
          <w:bCs/>
          <w:lang w:val="es-ES"/>
        </w:rPr>
        <w:t xml:space="preserve"> </w:t>
      </w:r>
      <w:r w:rsidRPr="003618E2">
        <w:rPr>
          <w:b/>
          <w:bCs/>
          <w:lang w:val="es-ES"/>
        </w:rPr>
        <w:t>Industriales:</w:t>
      </w:r>
    </w:p>
    <w:p w14:paraId="34AF0120" w14:textId="4104DF6D" w:rsidR="006D362C" w:rsidRPr="003618E2" w:rsidRDefault="006D362C" w:rsidP="006D362C">
      <w:pPr>
        <w:pStyle w:val="BodyText"/>
        <w:numPr>
          <w:ilvl w:val="0"/>
          <w:numId w:val="26"/>
        </w:numPr>
        <w:rPr>
          <w:lang w:val="es-ES"/>
        </w:rPr>
      </w:pPr>
      <w:r w:rsidRPr="003618E2">
        <w:rPr>
          <w:lang w:val="es-ES"/>
        </w:rPr>
        <w:t>Optimización</w:t>
      </w:r>
      <w:r w:rsidR="00D136BB">
        <w:rPr>
          <w:lang w:val="es-ES"/>
        </w:rPr>
        <w:t xml:space="preserve"> </w:t>
      </w:r>
      <w:r w:rsidRPr="003618E2">
        <w:rPr>
          <w:lang w:val="es-ES"/>
        </w:rPr>
        <w:t>de</w:t>
      </w:r>
      <w:r w:rsidR="00D136BB">
        <w:rPr>
          <w:lang w:val="es-ES"/>
        </w:rPr>
        <w:t xml:space="preserve"> </w:t>
      </w:r>
      <w:r w:rsidRPr="003618E2">
        <w:rPr>
          <w:lang w:val="es-ES"/>
        </w:rPr>
        <w:t>procesos</w:t>
      </w:r>
      <w:r w:rsidR="00D136BB">
        <w:rPr>
          <w:lang w:val="es-ES"/>
        </w:rPr>
        <w:t xml:space="preserve"> </w:t>
      </w:r>
      <w:r w:rsidRPr="003618E2">
        <w:rPr>
          <w:lang w:val="es-ES"/>
        </w:rPr>
        <w:t>(RT,</w:t>
      </w:r>
      <w:r w:rsidR="00D136BB">
        <w:rPr>
          <w:lang w:val="es-ES"/>
        </w:rPr>
        <w:t xml:space="preserve"> </w:t>
      </w:r>
      <w:r w:rsidRPr="003618E2">
        <w:rPr>
          <w:lang w:val="es-ES"/>
        </w:rPr>
        <w:t>T,</w:t>
      </w:r>
      <w:r w:rsidR="00D136BB">
        <w:rPr>
          <w:lang w:val="es-ES"/>
        </w:rPr>
        <w:t xml:space="preserve"> </w:t>
      </w:r>
      <w:r w:rsidRPr="003618E2">
        <w:rPr>
          <w:lang w:val="es-ES"/>
        </w:rPr>
        <w:t>SCN)</w:t>
      </w:r>
    </w:p>
    <w:p w14:paraId="38CB0B28" w14:textId="300C90D2" w:rsidR="006D362C" w:rsidRPr="003618E2" w:rsidRDefault="006D362C" w:rsidP="006D362C">
      <w:pPr>
        <w:pStyle w:val="BodyText"/>
        <w:numPr>
          <w:ilvl w:val="0"/>
          <w:numId w:val="26"/>
        </w:numPr>
        <w:rPr>
          <w:lang w:val="es-ES"/>
        </w:rPr>
      </w:pP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(SCN)</w:t>
      </w:r>
    </w:p>
    <w:p w14:paraId="6077D1E6" w14:textId="1C2DE6F5" w:rsidR="006D362C" w:rsidRPr="003618E2" w:rsidRDefault="006D362C" w:rsidP="006D362C">
      <w:pPr>
        <w:pStyle w:val="BodyText"/>
        <w:numPr>
          <w:ilvl w:val="0"/>
          <w:numId w:val="26"/>
        </w:numPr>
        <w:rPr>
          <w:lang w:val="es-ES"/>
        </w:rPr>
      </w:pPr>
      <w:r w:rsidRPr="003618E2">
        <w:rPr>
          <w:lang w:val="es-ES"/>
        </w:rPr>
        <w:t>Modificación</w:t>
      </w:r>
      <w:r w:rsidR="00D136BB">
        <w:rPr>
          <w:lang w:val="es-ES"/>
        </w:rPr>
        <w:t xml:space="preserve"> </w:t>
      </w:r>
      <w:r w:rsidRPr="003618E2">
        <w:rPr>
          <w:lang w:val="es-ES"/>
        </w:rPr>
        <w:t>y</w:t>
      </w:r>
      <w:r w:rsidR="00D136BB">
        <w:rPr>
          <w:lang w:val="es-ES"/>
        </w:rPr>
        <w:t xml:space="preserve"> </w:t>
      </w:r>
      <w:r w:rsidRPr="003618E2">
        <w:rPr>
          <w:lang w:val="es-ES"/>
        </w:rPr>
        <w:t>mejora</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(PR)</w:t>
      </w:r>
    </w:p>
    <w:p w14:paraId="6FBC529F" w14:textId="123F40FF" w:rsidR="006D362C" w:rsidRPr="003618E2" w:rsidRDefault="006D362C" w:rsidP="006D362C">
      <w:pPr>
        <w:pStyle w:val="BodyText"/>
        <w:numPr>
          <w:ilvl w:val="0"/>
          <w:numId w:val="26"/>
        </w:numPr>
        <w:rPr>
          <w:lang w:val="es-ES"/>
        </w:rPr>
      </w:pPr>
      <w:r w:rsidRPr="003618E2">
        <w:rPr>
          <w:lang w:val="es-ES"/>
        </w:rPr>
        <w:t>Tecnologías</w:t>
      </w:r>
      <w:r w:rsidR="00D136BB">
        <w:rPr>
          <w:lang w:val="es-ES"/>
        </w:rPr>
        <w:t xml:space="preserve"> </w:t>
      </w:r>
      <w:r w:rsidRPr="003618E2">
        <w:rPr>
          <w:lang w:val="es-ES"/>
        </w:rPr>
        <w:t>de</w:t>
      </w:r>
      <w:r w:rsidR="00D136BB">
        <w:rPr>
          <w:lang w:val="es-ES"/>
        </w:rPr>
        <w:t xml:space="preserve"> </w:t>
      </w:r>
      <w:r w:rsidRPr="003618E2">
        <w:rPr>
          <w:lang w:val="es-ES"/>
        </w:rPr>
        <w:t>Inspección</w:t>
      </w:r>
      <w:r w:rsidR="00D136BB">
        <w:rPr>
          <w:lang w:val="es-ES"/>
        </w:rPr>
        <w:t xml:space="preserve"> </w:t>
      </w:r>
      <w:r w:rsidRPr="003618E2">
        <w:rPr>
          <w:lang w:val="es-ES"/>
        </w:rPr>
        <w:t>(END,</w:t>
      </w:r>
      <w:r w:rsidR="00D136BB">
        <w:rPr>
          <w:lang w:val="es-ES"/>
        </w:rPr>
        <w:t xml:space="preserve"> </w:t>
      </w:r>
      <w:r w:rsidRPr="003618E2">
        <w:rPr>
          <w:lang w:val="es-ES"/>
        </w:rPr>
        <w:t>TAN)</w:t>
      </w:r>
    </w:p>
    <w:p w14:paraId="26BA9772" w14:textId="50E8DB52" w:rsidR="006D362C" w:rsidRPr="003618E2" w:rsidRDefault="006D362C" w:rsidP="006D362C">
      <w:pPr>
        <w:pStyle w:val="BodyText"/>
        <w:numPr>
          <w:ilvl w:val="1"/>
          <w:numId w:val="26"/>
        </w:numPr>
        <w:rPr>
          <w:lang w:val="es-ES"/>
        </w:rPr>
      </w:pPr>
      <w:r w:rsidRPr="003618E2">
        <w:rPr>
          <w:lang w:val="es-ES"/>
        </w:rPr>
        <w:t>Metales,</w:t>
      </w:r>
      <w:r w:rsidR="00D136BB">
        <w:rPr>
          <w:lang w:val="es-ES"/>
        </w:rPr>
        <w:t xml:space="preserve"> </w:t>
      </w:r>
      <w:r w:rsidRPr="003618E2">
        <w:rPr>
          <w:lang w:val="es-ES"/>
        </w:rPr>
        <w:t>soldadura,</w:t>
      </w:r>
      <w:r w:rsidR="00D136BB">
        <w:rPr>
          <w:lang w:val="es-ES"/>
        </w:rPr>
        <w:t xml:space="preserve"> </w:t>
      </w:r>
      <w:r w:rsidRPr="003618E2">
        <w:rPr>
          <w:lang w:val="es-ES"/>
        </w:rPr>
        <w:t>tuberías,</w:t>
      </w:r>
      <w:r w:rsidR="00D136BB">
        <w:rPr>
          <w:lang w:val="es-ES"/>
        </w:rPr>
        <w:t xml:space="preserve"> </w:t>
      </w:r>
      <w:r w:rsidRPr="003618E2">
        <w:rPr>
          <w:lang w:val="es-ES"/>
        </w:rPr>
        <w:t>plantas</w:t>
      </w:r>
      <w:r w:rsidR="00D136BB">
        <w:rPr>
          <w:lang w:val="es-ES"/>
        </w:rPr>
        <w:t xml:space="preserve"> </w:t>
      </w:r>
      <w:r w:rsidRPr="003618E2">
        <w:rPr>
          <w:lang w:val="es-ES"/>
        </w:rPr>
        <w:t>de</w:t>
      </w:r>
      <w:r w:rsidR="00D136BB">
        <w:rPr>
          <w:lang w:val="es-ES"/>
        </w:rPr>
        <w:t xml:space="preserve"> </w:t>
      </w:r>
      <w:r w:rsidRPr="003618E2">
        <w:rPr>
          <w:lang w:val="es-ES"/>
        </w:rPr>
        <w:t>energía,</w:t>
      </w:r>
      <w:r w:rsidR="00D136BB">
        <w:rPr>
          <w:lang w:val="es-ES"/>
        </w:rPr>
        <w:t xml:space="preserve"> </w:t>
      </w:r>
      <w:r w:rsidRPr="003618E2">
        <w:rPr>
          <w:lang w:val="es-ES"/>
        </w:rPr>
        <w:t>petróleo</w:t>
      </w:r>
      <w:r w:rsidR="00D136BB">
        <w:rPr>
          <w:lang w:val="es-ES"/>
        </w:rPr>
        <w:t xml:space="preserve"> </w:t>
      </w:r>
      <w:r w:rsidRPr="003618E2">
        <w:rPr>
          <w:lang w:val="es-ES"/>
        </w:rPr>
        <w:t>y</w:t>
      </w:r>
      <w:r w:rsidR="00D136BB">
        <w:rPr>
          <w:lang w:val="es-ES"/>
        </w:rPr>
        <w:t xml:space="preserve"> </w:t>
      </w:r>
      <w:r w:rsidRPr="003618E2">
        <w:rPr>
          <w:lang w:val="es-ES"/>
        </w:rPr>
        <w:t>gas,</w:t>
      </w:r>
      <w:r w:rsidR="00D136BB">
        <w:rPr>
          <w:lang w:val="es-ES"/>
        </w:rPr>
        <w:t xml:space="preserve"> </w:t>
      </w:r>
      <w:r w:rsidRPr="003618E2">
        <w:rPr>
          <w:lang w:val="es-ES"/>
        </w:rPr>
        <w:t>industria</w:t>
      </w:r>
      <w:r w:rsidR="00D136BB">
        <w:rPr>
          <w:lang w:val="es-ES"/>
        </w:rPr>
        <w:t xml:space="preserve"> </w:t>
      </w:r>
      <w:r w:rsidRPr="003618E2">
        <w:rPr>
          <w:lang w:val="es-ES"/>
        </w:rPr>
        <w:t>aeroespacial,</w:t>
      </w:r>
      <w:r w:rsidR="00D136BB">
        <w:rPr>
          <w:lang w:val="es-ES"/>
        </w:rPr>
        <w:t xml:space="preserve"> </w:t>
      </w:r>
      <w:r w:rsidRPr="003618E2">
        <w:rPr>
          <w:lang w:val="es-ES"/>
        </w:rPr>
        <w:t>etc.</w:t>
      </w:r>
    </w:p>
    <w:p w14:paraId="5F50C9A7" w14:textId="5DDC3E67" w:rsidR="006D362C" w:rsidRPr="003618E2" w:rsidRDefault="006D362C" w:rsidP="006D362C">
      <w:pPr>
        <w:pStyle w:val="BodyText"/>
        <w:numPr>
          <w:ilvl w:val="1"/>
          <w:numId w:val="26"/>
        </w:numPr>
        <w:rPr>
          <w:lang w:val="es-ES"/>
        </w:rPr>
      </w:pPr>
      <w:r w:rsidRPr="003618E2">
        <w:rPr>
          <w:lang w:val="es-ES"/>
        </w:rPr>
        <w:lastRenderedPageBreak/>
        <w:t>Concretos,</w:t>
      </w:r>
      <w:r w:rsidR="00D136BB">
        <w:rPr>
          <w:lang w:val="es-ES"/>
        </w:rPr>
        <w:t xml:space="preserve"> </w:t>
      </w:r>
      <w:r w:rsidRPr="003618E2">
        <w:rPr>
          <w:lang w:val="es-ES"/>
        </w:rPr>
        <w:t>carreteras,</w:t>
      </w:r>
      <w:r w:rsidR="00D136BB">
        <w:rPr>
          <w:lang w:val="es-ES"/>
        </w:rPr>
        <w:t xml:space="preserve"> </w:t>
      </w:r>
      <w:r w:rsidRPr="003618E2">
        <w:rPr>
          <w:lang w:val="es-ES"/>
        </w:rPr>
        <w:t>puentes,</w:t>
      </w:r>
      <w:r w:rsidR="00D136BB">
        <w:rPr>
          <w:lang w:val="es-ES"/>
        </w:rPr>
        <w:t xml:space="preserve"> </w:t>
      </w:r>
      <w:r w:rsidRPr="003618E2">
        <w:rPr>
          <w:lang w:val="es-ES"/>
        </w:rPr>
        <w:t>edificios</w:t>
      </w:r>
      <w:r w:rsidR="00D136BB">
        <w:rPr>
          <w:lang w:val="es-ES"/>
        </w:rPr>
        <w:t xml:space="preserve"> </w:t>
      </w:r>
      <w:r w:rsidRPr="003618E2">
        <w:rPr>
          <w:lang w:val="es-ES"/>
        </w:rPr>
        <w:t>(construcciones</w:t>
      </w:r>
      <w:r w:rsidR="00D136BB">
        <w:rPr>
          <w:lang w:val="es-ES"/>
        </w:rPr>
        <w:t xml:space="preserve"> </w:t>
      </w:r>
      <w:r w:rsidRPr="003618E2">
        <w:rPr>
          <w:lang w:val="es-ES"/>
        </w:rPr>
        <w:t>civiles),</w:t>
      </w:r>
      <w:r w:rsidR="00D136BB">
        <w:rPr>
          <w:lang w:val="es-ES"/>
        </w:rPr>
        <w:t xml:space="preserve"> </w:t>
      </w:r>
      <w:r w:rsidRPr="003618E2">
        <w:rPr>
          <w:lang w:val="es-ES"/>
        </w:rPr>
        <w:t>etc.</w:t>
      </w:r>
    </w:p>
    <w:p w14:paraId="3954F252" w14:textId="5C26F228" w:rsidR="006D362C" w:rsidRPr="003618E2" w:rsidRDefault="006D362C" w:rsidP="006D362C">
      <w:pPr>
        <w:pStyle w:val="BodyText"/>
        <w:numPr>
          <w:ilvl w:val="1"/>
          <w:numId w:val="26"/>
        </w:numPr>
        <w:rPr>
          <w:lang w:val="es-ES"/>
        </w:rPr>
      </w:pPr>
      <w:r w:rsidRPr="003618E2">
        <w:rPr>
          <w:lang w:val="es-ES"/>
        </w:rPr>
        <w:t>Inspección</w:t>
      </w:r>
      <w:r w:rsidR="00D136BB">
        <w:rPr>
          <w:lang w:val="es-ES"/>
        </w:rPr>
        <w:t xml:space="preserve"> </w:t>
      </w:r>
      <w:r w:rsidRPr="003618E2">
        <w:rPr>
          <w:lang w:val="es-ES"/>
        </w:rPr>
        <w:t>en</w:t>
      </w:r>
      <w:r w:rsidR="00D136BB">
        <w:rPr>
          <w:lang w:val="es-ES"/>
        </w:rPr>
        <w:t xml:space="preserve"> </w:t>
      </w:r>
      <w:r w:rsidRPr="003618E2">
        <w:rPr>
          <w:lang w:val="es-ES"/>
        </w:rPr>
        <w:t>servicio</w:t>
      </w:r>
      <w:r w:rsidR="00D136BB">
        <w:rPr>
          <w:lang w:val="es-ES"/>
        </w:rPr>
        <w:t xml:space="preserve"> </w:t>
      </w:r>
      <w:r w:rsidRPr="003618E2">
        <w:rPr>
          <w:lang w:val="es-ES"/>
        </w:rPr>
        <w:t>de</w:t>
      </w:r>
      <w:r w:rsidR="00D136BB">
        <w:rPr>
          <w:lang w:val="es-ES"/>
        </w:rPr>
        <w:t xml:space="preserve"> </w:t>
      </w:r>
      <w:r w:rsidRPr="003618E2">
        <w:rPr>
          <w:lang w:val="es-ES"/>
        </w:rPr>
        <w:t>centrales</w:t>
      </w:r>
      <w:r w:rsidR="00D136BB">
        <w:rPr>
          <w:lang w:val="es-ES"/>
        </w:rPr>
        <w:t xml:space="preserve"> </w:t>
      </w:r>
      <w:r w:rsidRPr="003618E2">
        <w:rPr>
          <w:lang w:val="es-ES"/>
        </w:rPr>
        <w:t>eléctricas,</w:t>
      </w:r>
      <w:r w:rsidR="00D136BB">
        <w:rPr>
          <w:lang w:val="es-ES"/>
        </w:rPr>
        <w:t xml:space="preserve"> </w:t>
      </w:r>
      <w:r w:rsidRPr="003618E2">
        <w:rPr>
          <w:lang w:val="es-ES"/>
        </w:rPr>
        <w:t>en</w:t>
      </w:r>
      <w:r w:rsidR="00D136BB">
        <w:rPr>
          <w:lang w:val="es-ES"/>
        </w:rPr>
        <w:t xml:space="preserve"> </w:t>
      </w:r>
      <w:r w:rsidRPr="003618E2">
        <w:rPr>
          <w:lang w:val="es-ES"/>
        </w:rPr>
        <w:t>especial</w:t>
      </w:r>
      <w:r w:rsidR="00D136BB">
        <w:rPr>
          <w:lang w:val="es-ES"/>
        </w:rPr>
        <w:t xml:space="preserve"> </w:t>
      </w:r>
      <w:r w:rsidRPr="003618E2">
        <w:rPr>
          <w:lang w:val="es-ES"/>
        </w:rPr>
        <w:t>centrales</w:t>
      </w:r>
      <w:r w:rsidR="00D136BB">
        <w:rPr>
          <w:lang w:val="es-ES"/>
        </w:rPr>
        <w:t xml:space="preserve"> </w:t>
      </w:r>
      <w:r w:rsidRPr="003618E2">
        <w:rPr>
          <w:lang w:val="es-ES"/>
        </w:rPr>
        <w:t>nucleares</w:t>
      </w:r>
    </w:p>
    <w:p w14:paraId="0AE107CA" w14:textId="4C5BA1D4" w:rsidR="006D362C" w:rsidRPr="003618E2" w:rsidRDefault="006D362C" w:rsidP="006D362C">
      <w:pPr>
        <w:pStyle w:val="BodyText"/>
        <w:numPr>
          <w:ilvl w:val="1"/>
          <w:numId w:val="26"/>
        </w:numPr>
        <w:rPr>
          <w:lang w:val="es-ES"/>
        </w:rPr>
      </w:pPr>
      <w:r w:rsidRPr="003618E2">
        <w:rPr>
          <w:lang w:val="es-ES"/>
        </w:rPr>
        <w:t>Armonización</w:t>
      </w:r>
      <w:r w:rsidR="00D136BB">
        <w:rPr>
          <w:lang w:val="es-ES"/>
        </w:rPr>
        <w:t xml:space="preserve"> </w:t>
      </w:r>
      <w:r w:rsidRPr="003618E2">
        <w:rPr>
          <w:lang w:val="es-ES"/>
        </w:rPr>
        <w:t>del</w:t>
      </w:r>
      <w:r w:rsidR="00D136BB">
        <w:rPr>
          <w:lang w:val="es-ES"/>
        </w:rPr>
        <w:t xml:space="preserve"> </w:t>
      </w:r>
      <w:r w:rsidRPr="003618E2">
        <w:rPr>
          <w:lang w:val="es-ES"/>
        </w:rPr>
        <w:t>entrenamiento</w:t>
      </w:r>
      <w:r w:rsidR="00D136BB">
        <w:rPr>
          <w:lang w:val="es-ES"/>
        </w:rPr>
        <w:t xml:space="preserve"> </w:t>
      </w:r>
      <w:r w:rsidRPr="003618E2">
        <w:rPr>
          <w:lang w:val="es-ES"/>
        </w:rPr>
        <w:t>y</w:t>
      </w:r>
      <w:r w:rsidR="00D136BB">
        <w:rPr>
          <w:lang w:val="es-ES"/>
        </w:rPr>
        <w:t xml:space="preserve"> </w:t>
      </w:r>
      <w:r w:rsidRPr="003618E2">
        <w:rPr>
          <w:lang w:val="es-ES"/>
        </w:rPr>
        <w:t>certificación</w:t>
      </w:r>
      <w:r w:rsidR="00D136BB">
        <w:rPr>
          <w:lang w:val="es-ES"/>
        </w:rPr>
        <w:t xml:space="preserve"> </w:t>
      </w:r>
      <w:r w:rsidRPr="003618E2">
        <w:rPr>
          <w:lang w:val="es-ES"/>
        </w:rPr>
        <w:t>de</w:t>
      </w:r>
      <w:r w:rsidR="00D136BB">
        <w:rPr>
          <w:lang w:val="es-ES"/>
        </w:rPr>
        <w:t xml:space="preserve"> </w:t>
      </w:r>
      <w:r w:rsidRPr="003618E2">
        <w:rPr>
          <w:lang w:val="es-ES"/>
        </w:rPr>
        <w:t>operadores</w:t>
      </w:r>
    </w:p>
    <w:p w14:paraId="75F4753F" w14:textId="5293F112" w:rsidR="006D362C" w:rsidRPr="003618E2" w:rsidRDefault="006D362C" w:rsidP="006D362C">
      <w:pPr>
        <w:pStyle w:val="BodyText"/>
        <w:numPr>
          <w:ilvl w:val="1"/>
          <w:numId w:val="26"/>
        </w:numPr>
        <w:rPr>
          <w:lang w:val="es-ES"/>
        </w:rPr>
      </w:pPr>
      <w:r w:rsidRPr="003618E2">
        <w:rPr>
          <w:lang w:val="es-ES"/>
        </w:rPr>
        <w:t>Entrenamiento</w:t>
      </w:r>
      <w:r w:rsidR="00D136BB">
        <w:rPr>
          <w:lang w:val="es-ES"/>
        </w:rPr>
        <w:t xml:space="preserve"> </w:t>
      </w:r>
      <w:r w:rsidRPr="003618E2">
        <w:rPr>
          <w:lang w:val="es-ES"/>
        </w:rPr>
        <w:t>digital</w:t>
      </w:r>
      <w:r w:rsidR="00D136BB">
        <w:rPr>
          <w:lang w:val="es-ES"/>
        </w:rPr>
        <w:t xml:space="preserve"> </w:t>
      </w:r>
      <w:r w:rsidRPr="003618E2">
        <w:rPr>
          <w:lang w:val="es-ES"/>
        </w:rPr>
        <w:t>de</w:t>
      </w:r>
      <w:r w:rsidR="00D136BB">
        <w:rPr>
          <w:lang w:val="es-ES"/>
        </w:rPr>
        <w:t xml:space="preserve"> </w:t>
      </w:r>
      <w:r w:rsidRPr="003618E2">
        <w:rPr>
          <w:lang w:val="es-ES"/>
        </w:rPr>
        <w:t>operadores</w:t>
      </w:r>
    </w:p>
    <w:p w14:paraId="3E42D9D0" w14:textId="1E734758" w:rsidR="006D362C" w:rsidRPr="003618E2" w:rsidRDefault="006D362C" w:rsidP="006D362C">
      <w:pPr>
        <w:pStyle w:val="BodyText"/>
        <w:rPr>
          <w:b/>
          <w:bCs/>
          <w:lang w:val="es-ES"/>
        </w:rPr>
      </w:pPr>
      <w:r w:rsidRPr="003618E2">
        <w:rPr>
          <w:b/>
          <w:bCs/>
          <w:lang w:val="es-ES"/>
        </w:rPr>
        <w:t>II.</w:t>
      </w:r>
      <w:r w:rsidR="00D136BB">
        <w:rPr>
          <w:b/>
          <w:bCs/>
          <w:lang w:val="es-ES"/>
        </w:rPr>
        <w:t xml:space="preserve"> </w:t>
      </w:r>
      <w:r w:rsidRPr="003618E2">
        <w:rPr>
          <w:b/>
          <w:bCs/>
          <w:lang w:val="es-ES"/>
        </w:rPr>
        <w:t>Análisis</w:t>
      </w:r>
      <w:r w:rsidR="00D136BB">
        <w:rPr>
          <w:b/>
          <w:bCs/>
          <w:lang w:val="es-ES"/>
        </w:rPr>
        <w:t xml:space="preserve"> </w:t>
      </w:r>
      <w:r w:rsidRPr="003618E2">
        <w:rPr>
          <w:b/>
          <w:bCs/>
          <w:lang w:val="es-ES"/>
        </w:rPr>
        <w:t>DAFO</w:t>
      </w:r>
    </w:p>
    <w:p w14:paraId="25AAD801" w14:textId="030D0A99" w:rsidR="006D362C" w:rsidRPr="003618E2" w:rsidRDefault="006D362C" w:rsidP="006D362C">
      <w:pPr>
        <w:pStyle w:val="BodyText"/>
        <w:rPr>
          <w:b/>
          <w:bCs/>
          <w:lang w:val="es-ES"/>
        </w:rPr>
      </w:pPr>
      <w:r w:rsidRPr="003618E2">
        <w:rPr>
          <w:b/>
          <w:bCs/>
          <w:lang w:val="es-ES"/>
        </w:rPr>
        <w:t>1.</w:t>
      </w:r>
      <w:r w:rsidR="00D136BB">
        <w:rPr>
          <w:b/>
          <w:bCs/>
          <w:lang w:val="es-ES"/>
        </w:rPr>
        <w:t xml:space="preserve"> </w:t>
      </w:r>
      <w:r w:rsidRPr="003618E2">
        <w:rPr>
          <w:b/>
          <w:bCs/>
          <w:lang w:val="es-ES"/>
        </w:rPr>
        <w:t>Fortalezas</w:t>
      </w:r>
      <w:r w:rsidR="00D136BB">
        <w:rPr>
          <w:b/>
          <w:bCs/>
          <w:lang w:val="es-ES"/>
        </w:rPr>
        <w:t xml:space="preserve"> </w:t>
      </w:r>
    </w:p>
    <w:p w14:paraId="262D773B" w14:textId="7C78E137" w:rsidR="006D362C" w:rsidRPr="003618E2" w:rsidRDefault="006D362C" w:rsidP="006D362C">
      <w:pPr>
        <w:pStyle w:val="BodyText"/>
        <w:rPr>
          <w:b/>
          <w:lang w:val="es-ES"/>
        </w:rPr>
      </w:pPr>
      <w:r w:rsidRPr="003618E2">
        <w:rPr>
          <w:b/>
          <w:lang w:val="es-ES"/>
        </w:rPr>
        <w:t>Agua</w:t>
      </w:r>
      <w:r w:rsidR="00D136BB">
        <w:rPr>
          <w:b/>
          <w:lang w:val="es-ES"/>
        </w:rPr>
        <w:t xml:space="preserve"> </w:t>
      </w:r>
      <w:r w:rsidRPr="003618E2">
        <w:rPr>
          <w:b/>
          <w:lang w:val="es-ES"/>
        </w:rPr>
        <w:t>(PR,</w:t>
      </w:r>
      <w:r w:rsidR="00D136BB">
        <w:rPr>
          <w:b/>
          <w:lang w:val="es-ES"/>
        </w:rPr>
        <w:t xml:space="preserve"> </w:t>
      </w:r>
      <w:r w:rsidRPr="003618E2">
        <w:rPr>
          <w:b/>
          <w:lang w:val="es-ES"/>
        </w:rPr>
        <w:t>T)</w:t>
      </w:r>
    </w:p>
    <w:p w14:paraId="3943D63F" w14:textId="033EB7DA" w:rsidR="006D362C" w:rsidRPr="003618E2" w:rsidRDefault="006D362C" w:rsidP="006D362C">
      <w:pPr>
        <w:pStyle w:val="BodyText"/>
        <w:numPr>
          <w:ilvl w:val="0"/>
          <w:numId w:val="30"/>
        </w:numPr>
        <w:rPr>
          <w:lang w:val="es-ES"/>
        </w:rPr>
      </w:pPr>
      <w:r w:rsidRPr="003618E2">
        <w:rPr>
          <w:lang w:val="es-ES"/>
        </w:rPr>
        <w:t>El</w:t>
      </w:r>
      <w:r w:rsidR="00D136BB">
        <w:rPr>
          <w:lang w:val="es-ES"/>
        </w:rPr>
        <w:t xml:space="preserve"> </w:t>
      </w:r>
      <w:r w:rsidRPr="003618E2">
        <w:rPr>
          <w:lang w:val="es-ES"/>
        </w:rPr>
        <w:t>agua</w:t>
      </w:r>
      <w:r w:rsidR="00D136BB">
        <w:rPr>
          <w:lang w:val="es-ES"/>
        </w:rPr>
        <w:t xml:space="preserve"> </w:t>
      </w:r>
      <w:r w:rsidRPr="003618E2">
        <w:rPr>
          <w:lang w:val="es-ES"/>
        </w:rPr>
        <w:t>es</w:t>
      </w:r>
      <w:r w:rsidR="00D136BB">
        <w:rPr>
          <w:lang w:val="es-ES"/>
        </w:rPr>
        <w:t xml:space="preserve"> </w:t>
      </w:r>
      <w:r w:rsidRPr="003618E2">
        <w:rPr>
          <w:lang w:val="es-ES"/>
        </w:rPr>
        <w:t>un</w:t>
      </w:r>
      <w:r w:rsidR="00D136BB">
        <w:rPr>
          <w:lang w:val="es-ES"/>
        </w:rPr>
        <w:t xml:space="preserve"> </w:t>
      </w:r>
      <w:r w:rsidRPr="003618E2">
        <w:rPr>
          <w:lang w:val="es-ES"/>
        </w:rPr>
        <w:t>recurso</w:t>
      </w:r>
      <w:r w:rsidR="00D136BB">
        <w:rPr>
          <w:lang w:val="es-ES"/>
        </w:rPr>
        <w:t xml:space="preserve"> </w:t>
      </w:r>
      <w:r w:rsidRPr="003618E2">
        <w:rPr>
          <w:lang w:val="es-ES"/>
        </w:rPr>
        <w:t>público</w:t>
      </w:r>
      <w:r w:rsidR="00D136BB">
        <w:rPr>
          <w:lang w:val="es-ES"/>
        </w:rPr>
        <w:t xml:space="preserve"> </w:t>
      </w:r>
      <w:r w:rsidRPr="003618E2">
        <w:rPr>
          <w:lang w:val="es-ES"/>
        </w:rPr>
        <w:t>estratégico</w:t>
      </w:r>
      <w:r w:rsidR="00D136BB">
        <w:rPr>
          <w:lang w:val="es-ES"/>
        </w:rPr>
        <w:t xml:space="preserve"> </w:t>
      </w:r>
      <w:r w:rsidRPr="003618E2">
        <w:rPr>
          <w:lang w:val="es-ES"/>
        </w:rPr>
        <w:t>y</w:t>
      </w:r>
      <w:r w:rsidR="00D136BB">
        <w:rPr>
          <w:lang w:val="es-ES"/>
        </w:rPr>
        <w:t xml:space="preserve"> </w:t>
      </w:r>
      <w:r w:rsidRPr="003618E2">
        <w:rPr>
          <w:lang w:val="es-ES"/>
        </w:rPr>
        <w:t>escaso</w:t>
      </w:r>
      <w:r w:rsidR="00D136BB">
        <w:rPr>
          <w:lang w:val="es-ES"/>
        </w:rPr>
        <w:t xml:space="preserve"> </w:t>
      </w:r>
      <w:r w:rsidRPr="003618E2">
        <w:rPr>
          <w:lang w:val="es-ES"/>
        </w:rPr>
        <w:t>en</w:t>
      </w:r>
      <w:r w:rsidR="00D136BB">
        <w:rPr>
          <w:lang w:val="es-ES"/>
        </w:rPr>
        <w:t xml:space="preserve"> </w:t>
      </w:r>
      <w:r w:rsidRPr="003618E2">
        <w:rPr>
          <w:lang w:val="es-ES"/>
        </w:rPr>
        <w:t>cualquier</w:t>
      </w:r>
      <w:r w:rsidR="00D136BB">
        <w:rPr>
          <w:lang w:val="es-ES"/>
        </w:rPr>
        <w:t xml:space="preserve"> </w:t>
      </w:r>
      <w:r w:rsidRPr="003618E2">
        <w:rPr>
          <w:lang w:val="es-ES"/>
        </w:rPr>
        <w:t>país.</w:t>
      </w:r>
    </w:p>
    <w:p w14:paraId="7A7EF11F" w14:textId="7670D8E4" w:rsidR="006D362C" w:rsidRPr="003618E2" w:rsidRDefault="006D362C" w:rsidP="006D362C">
      <w:pPr>
        <w:pStyle w:val="BodyText"/>
        <w:numPr>
          <w:ilvl w:val="0"/>
          <w:numId w:val="30"/>
        </w:numPr>
        <w:rPr>
          <w:lang w:val="es-ES"/>
        </w:rPr>
      </w:pPr>
      <w:r w:rsidRPr="003618E2">
        <w:rPr>
          <w:lang w:val="es-ES"/>
        </w:rPr>
        <w:t>Tecnologías</w:t>
      </w:r>
      <w:r w:rsidR="00D136BB">
        <w:rPr>
          <w:lang w:val="es-ES"/>
        </w:rPr>
        <w:t xml:space="preserve"> </w:t>
      </w:r>
      <w:r w:rsidRPr="003618E2">
        <w:rPr>
          <w:lang w:val="es-ES"/>
        </w:rPr>
        <w:t>comprobadas</w:t>
      </w:r>
      <w:r w:rsidR="00D136BB">
        <w:rPr>
          <w:lang w:val="es-ES"/>
        </w:rPr>
        <w:t xml:space="preserve"> </w:t>
      </w:r>
      <w:r w:rsidRPr="003618E2">
        <w:rPr>
          <w:lang w:val="es-ES"/>
        </w:rPr>
        <w:t>e</w:t>
      </w:r>
      <w:r w:rsidR="00D136BB">
        <w:rPr>
          <w:lang w:val="es-ES"/>
        </w:rPr>
        <w:t xml:space="preserve"> </w:t>
      </w:r>
      <w:r w:rsidRPr="003618E2">
        <w:rPr>
          <w:lang w:val="es-ES"/>
        </w:rPr>
        <w:t>implementadas</w:t>
      </w:r>
      <w:r w:rsidR="00D136BB">
        <w:rPr>
          <w:lang w:val="es-ES"/>
        </w:rPr>
        <w:t xml:space="preserve"> </w:t>
      </w:r>
      <w:r w:rsidRPr="003618E2">
        <w:rPr>
          <w:lang w:val="es-ES"/>
        </w:rPr>
        <w:t>en</w:t>
      </w:r>
      <w:r w:rsidR="00D136BB">
        <w:rPr>
          <w:lang w:val="es-ES"/>
        </w:rPr>
        <w:t xml:space="preserve"> </w:t>
      </w:r>
      <w:r w:rsidRPr="003618E2">
        <w:rPr>
          <w:lang w:val="es-ES"/>
        </w:rPr>
        <w:t>algunos</w:t>
      </w:r>
      <w:r w:rsidR="00D136BB">
        <w:rPr>
          <w:lang w:val="es-ES"/>
        </w:rPr>
        <w:t xml:space="preserve"> </w:t>
      </w:r>
      <w:r w:rsidRPr="003618E2">
        <w:rPr>
          <w:lang w:val="es-ES"/>
        </w:rPr>
        <w:t>países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p>
    <w:p w14:paraId="72F521FA" w14:textId="264277B2" w:rsidR="006D362C" w:rsidRPr="003618E2" w:rsidRDefault="006D362C" w:rsidP="006D362C">
      <w:pPr>
        <w:pStyle w:val="BodyText"/>
        <w:numPr>
          <w:ilvl w:val="0"/>
          <w:numId w:val="30"/>
        </w:numPr>
        <w:rPr>
          <w:lang w:val="es-ES"/>
        </w:rPr>
      </w:pPr>
      <w:r w:rsidRPr="003618E2">
        <w:rPr>
          <w:lang w:val="es-ES"/>
        </w:rPr>
        <w:t>Contribuye</w:t>
      </w:r>
      <w:r w:rsidR="00D136BB">
        <w:rPr>
          <w:lang w:val="es-ES"/>
        </w:rPr>
        <w:t xml:space="preserve"> </w:t>
      </w:r>
      <w:r w:rsidRPr="003618E2">
        <w:rPr>
          <w:lang w:val="es-ES"/>
        </w:rPr>
        <w:t>a</w:t>
      </w:r>
      <w:r w:rsidR="00D136BB">
        <w:rPr>
          <w:lang w:val="es-ES"/>
        </w:rPr>
        <w:t xml:space="preserve"> </w:t>
      </w:r>
      <w:r w:rsidRPr="003618E2">
        <w:rPr>
          <w:lang w:val="es-ES"/>
        </w:rPr>
        <w:t>limpiar</w:t>
      </w:r>
      <w:r w:rsidR="00D136BB">
        <w:rPr>
          <w:lang w:val="es-ES"/>
        </w:rPr>
        <w:t xml:space="preserve"> </w:t>
      </w:r>
      <w:r w:rsidRPr="003618E2">
        <w:rPr>
          <w:lang w:val="es-ES"/>
        </w:rPr>
        <w:t>las</w:t>
      </w:r>
      <w:r w:rsidR="00D136BB">
        <w:rPr>
          <w:lang w:val="es-ES"/>
        </w:rPr>
        <w:t xml:space="preserve"> </w:t>
      </w:r>
      <w:r w:rsidRPr="003618E2">
        <w:rPr>
          <w:lang w:val="es-ES"/>
        </w:rPr>
        <w:t>aguas</w:t>
      </w:r>
      <w:r w:rsidR="00D136BB">
        <w:rPr>
          <w:lang w:val="es-ES"/>
        </w:rPr>
        <w:t xml:space="preserve"> </w:t>
      </w:r>
      <w:r w:rsidRPr="003618E2">
        <w:rPr>
          <w:lang w:val="es-ES"/>
        </w:rPr>
        <w:t>residuales</w:t>
      </w:r>
      <w:r w:rsidR="00D136BB">
        <w:rPr>
          <w:lang w:val="es-ES"/>
        </w:rPr>
        <w:t xml:space="preserve"> </w:t>
      </w:r>
      <w:r w:rsidRPr="003618E2">
        <w:rPr>
          <w:lang w:val="es-ES"/>
        </w:rPr>
        <w:t>para</w:t>
      </w:r>
      <w:r w:rsidR="00D136BB">
        <w:rPr>
          <w:lang w:val="es-ES"/>
        </w:rPr>
        <w:t xml:space="preserve"> </w:t>
      </w:r>
      <w:r w:rsidRPr="003618E2">
        <w:rPr>
          <w:lang w:val="es-ES"/>
        </w:rPr>
        <w:t>su</w:t>
      </w:r>
      <w:r w:rsidR="00D136BB">
        <w:rPr>
          <w:lang w:val="es-ES"/>
        </w:rPr>
        <w:t xml:space="preserve"> </w:t>
      </w:r>
      <w:r w:rsidRPr="003618E2">
        <w:rPr>
          <w:lang w:val="es-ES"/>
        </w:rPr>
        <w:t>vertido</w:t>
      </w:r>
      <w:r w:rsidR="00D136BB">
        <w:rPr>
          <w:lang w:val="es-ES"/>
        </w:rPr>
        <w:t xml:space="preserve"> </w:t>
      </w:r>
      <w:r w:rsidRPr="003618E2">
        <w:rPr>
          <w:lang w:val="es-ES"/>
        </w:rPr>
        <w:t>o</w:t>
      </w:r>
      <w:r w:rsidR="00D136BB">
        <w:rPr>
          <w:lang w:val="es-ES"/>
        </w:rPr>
        <w:t xml:space="preserve"> </w:t>
      </w:r>
      <w:r w:rsidRPr="003618E2">
        <w:rPr>
          <w:lang w:val="es-ES"/>
        </w:rPr>
        <w:t>reutilización</w:t>
      </w:r>
      <w:r w:rsidR="00D136BB">
        <w:rPr>
          <w:lang w:val="es-ES"/>
        </w:rPr>
        <w:t xml:space="preserve"> </w:t>
      </w:r>
      <w:r w:rsidRPr="003618E2">
        <w:rPr>
          <w:lang w:val="es-ES"/>
        </w:rPr>
        <w:t>posterior.</w:t>
      </w:r>
    </w:p>
    <w:p w14:paraId="41256D6E" w14:textId="5BA37B39" w:rsidR="006D362C" w:rsidRPr="003618E2" w:rsidRDefault="006D362C" w:rsidP="006D362C">
      <w:pPr>
        <w:pStyle w:val="BodyText"/>
        <w:numPr>
          <w:ilvl w:val="0"/>
          <w:numId w:val="30"/>
        </w:numPr>
        <w:rPr>
          <w:lang w:val="es-ES"/>
        </w:rPr>
      </w:pPr>
      <w:r w:rsidRPr="003618E2">
        <w:rPr>
          <w:lang w:val="es-ES"/>
        </w:rPr>
        <w:t>Contribuye</w:t>
      </w:r>
      <w:r w:rsidR="00D136BB">
        <w:rPr>
          <w:lang w:val="es-ES"/>
        </w:rPr>
        <w:t xml:space="preserve"> </w:t>
      </w:r>
      <w:r w:rsidRPr="003618E2">
        <w:rPr>
          <w:lang w:val="es-ES"/>
        </w:rPr>
        <w:t>a</w:t>
      </w:r>
      <w:r w:rsidR="00D136BB">
        <w:rPr>
          <w:lang w:val="es-ES"/>
        </w:rPr>
        <w:t xml:space="preserve"> </w:t>
      </w:r>
      <w:r w:rsidRPr="003618E2">
        <w:rPr>
          <w:lang w:val="es-ES"/>
        </w:rPr>
        <w:t>aumentar</w:t>
      </w:r>
      <w:r w:rsidR="00D136BB">
        <w:rPr>
          <w:lang w:val="es-ES"/>
        </w:rPr>
        <w:t xml:space="preserve"> </w:t>
      </w:r>
      <w:r w:rsidRPr="003618E2">
        <w:rPr>
          <w:lang w:val="es-ES"/>
        </w:rPr>
        <w:t>la</w:t>
      </w:r>
      <w:r w:rsidR="00D136BB">
        <w:rPr>
          <w:lang w:val="es-ES"/>
        </w:rPr>
        <w:t xml:space="preserve"> </w:t>
      </w:r>
      <w:r w:rsidRPr="003618E2">
        <w:rPr>
          <w:lang w:val="es-ES"/>
        </w:rPr>
        <w:t>disponibilidad</w:t>
      </w:r>
      <w:r w:rsidR="00D136BB">
        <w:rPr>
          <w:lang w:val="es-ES"/>
        </w:rPr>
        <w:t xml:space="preserve"> </w:t>
      </w:r>
      <w:r w:rsidRPr="003618E2">
        <w:rPr>
          <w:lang w:val="es-ES"/>
        </w:rPr>
        <w:t>y</w:t>
      </w:r>
      <w:r w:rsidR="00D136BB">
        <w:rPr>
          <w:lang w:val="es-ES"/>
        </w:rPr>
        <w:t xml:space="preserve"> </w:t>
      </w:r>
      <w:r w:rsidRPr="003618E2">
        <w:rPr>
          <w:lang w:val="es-ES"/>
        </w:rPr>
        <w:t>la</w:t>
      </w:r>
      <w:r w:rsidR="00D136BB">
        <w:rPr>
          <w:lang w:val="es-ES"/>
        </w:rPr>
        <w:t xml:space="preserve"> </w:t>
      </w:r>
      <w:r w:rsidRPr="003618E2">
        <w:rPr>
          <w:lang w:val="es-ES"/>
        </w:rPr>
        <w:t>calidad</w:t>
      </w:r>
      <w:r w:rsidR="00D136BB">
        <w:rPr>
          <w:lang w:val="es-ES"/>
        </w:rPr>
        <w:t xml:space="preserve"> </w:t>
      </w:r>
      <w:r w:rsidRPr="003618E2">
        <w:rPr>
          <w:lang w:val="es-ES"/>
        </w:rPr>
        <w:t>del</w:t>
      </w:r>
      <w:r w:rsidR="00D136BB">
        <w:rPr>
          <w:lang w:val="es-ES"/>
        </w:rPr>
        <w:t xml:space="preserve"> </w:t>
      </w:r>
      <w:r w:rsidRPr="003618E2">
        <w:rPr>
          <w:lang w:val="es-ES"/>
        </w:rPr>
        <w:t>agua</w:t>
      </w:r>
      <w:r w:rsidR="00D136BB">
        <w:rPr>
          <w:lang w:val="es-ES"/>
        </w:rPr>
        <w:t xml:space="preserve"> </w:t>
      </w:r>
      <w:r w:rsidRPr="003618E2">
        <w:rPr>
          <w:lang w:val="es-ES"/>
        </w:rPr>
        <w:t>potable.</w:t>
      </w:r>
    </w:p>
    <w:p w14:paraId="53E3E74E" w14:textId="1E1472C2" w:rsidR="006D362C" w:rsidRPr="003618E2" w:rsidRDefault="006D362C" w:rsidP="006D362C">
      <w:pPr>
        <w:pStyle w:val="BodyText"/>
        <w:numPr>
          <w:ilvl w:val="0"/>
          <w:numId w:val="30"/>
        </w:numPr>
        <w:rPr>
          <w:lang w:val="es-ES"/>
        </w:rPr>
      </w:pP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radiotrazadores</w:t>
      </w:r>
      <w:r w:rsidR="00D136BB">
        <w:rPr>
          <w:lang w:val="es-ES"/>
        </w:rPr>
        <w:t xml:space="preserve"> </w:t>
      </w:r>
      <w:r w:rsidRPr="003618E2">
        <w:rPr>
          <w:lang w:val="es-ES"/>
        </w:rPr>
        <w:t>para</w:t>
      </w:r>
      <w:r w:rsidR="00D136BB">
        <w:rPr>
          <w:lang w:val="es-ES"/>
        </w:rPr>
        <w:t xml:space="preserve"> </w:t>
      </w:r>
      <w:r w:rsidRPr="003618E2">
        <w:rPr>
          <w:lang w:val="es-ES"/>
        </w:rPr>
        <w:t>estudios</w:t>
      </w:r>
      <w:r w:rsidR="00D136BB">
        <w:rPr>
          <w:lang w:val="es-ES"/>
        </w:rPr>
        <w:t xml:space="preserve"> </w:t>
      </w:r>
      <w:r w:rsidRPr="003618E2">
        <w:rPr>
          <w:lang w:val="es-ES"/>
        </w:rPr>
        <w:t>hídricos</w:t>
      </w:r>
      <w:r w:rsidR="00D136BB">
        <w:rPr>
          <w:lang w:val="es-ES"/>
        </w:rPr>
        <w:t xml:space="preserve"> </w:t>
      </w:r>
      <w:r w:rsidRPr="003618E2">
        <w:rPr>
          <w:lang w:val="es-ES"/>
        </w:rPr>
        <w:t>tiene</w:t>
      </w:r>
      <w:r w:rsidR="00D136BB">
        <w:rPr>
          <w:lang w:val="es-ES"/>
        </w:rPr>
        <w:t xml:space="preserve"> </w:t>
      </w:r>
      <w:r w:rsidRPr="003618E2">
        <w:rPr>
          <w:lang w:val="es-ES"/>
        </w:rPr>
        <w:t>ventajas</w:t>
      </w:r>
      <w:r w:rsidR="00D136BB">
        <w:rPr>
          <w:lang w:val="es-ES"/>
        </w:rPr>
        <w:t xml:space="preserve"> </w:t>
      </w:r>
      <w:r w:rsidRPr="003618E2">
        <w:rPr>
          <w:lang w:val="es-ES"/>
        </w:rPr>
        <w:t>de</w:t>
      </w:r>
      <w:r w:rsidR="00D136BB">
        <w:rPr>
          <w:lang w:val="es-ES"/>
        </w:rPr>
        <w:t xml:space="preserve"> </w:t>
      </w:r>
      <w:r w:rsidRPr="003618E2">
        <w:rPr>
          <w:lang w:val="es-ES"/>
        </w:rPr>
        <w:t>mayor</w:t>
      </w:r>
      <w:r w:rsidR="00D136BB">
        <w:rPr>
          <w:lang w:val="es-ES"/>
        </w:rPr>
        <w:t xml:space="preserve"> </w:t>
      </w:r>
      <w:r w:rsidRPr="003618E2">
        <w:rPr>
          <w:lang w:val="es-ES"/>
        </w:rPr>
        <w:t>precisión</w:t>
      </w:r>
      <w:r w:rsidR="00D136BB">
        <w:rPr>
          <w:lang w:val="es-ES"/>
        </w:rPr>
        <w:t xml:space="preserve"> </w:t>
      </w:r>
      <w:r w:rsidRPr="003618E2">
        <w:rPr>
          <w:lang w:val="es-ES"/>
        </w:rPr>
        <w:t>y</w:t>
      </w:r>
      <w:r w:rsidR="00D136BB">
        <w:rPr>
          <w:lang w:val="es-ES"/>
        </w:rPr>
        <w:t xml:space="preserve"> </w:t>
      </w:r>
      <w:r w:rsidRPr="003618E2">
        <w:rPr>
          <w:lang w:val="es-ES"/>
        </w:rPr>
        <w:t>menor</w:t>
      </w:r>
      <w:r w:rsidR="00D136BB">
        <w:rPr>
          <w:lang w:val="es-ES"/>
        </w:rPr>
        <w:t xml:space="preserve"> </w:t>
      </w:r>
      <w:r w:rsidRPr="003618E2">
        <w:rPr>
          <w:lang w:val="es-ES"/>
        </w:rPr>
        <w:t>costo</w:t>
      </w:r>
      <w:r w:rsidR="00D136BB">
        <w:rPr>
          <w:lang w:val="es-ES"/>
        </w:rPr>
        <w:t xml:space="preserve"> </w:t>
      </w:r>
      <w:r w:rsidRPr="003618E2">
        <w:rPr>
          <w:lang w:val="es-ES"/>
        </w:rPr>
        <w:t>que</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convenciones.</w:t>
      </w:r>
    </w:p>
    <w:p w14:paraId="692D8D13" w14:textId="05B0C449" w:rsidR="006D362C" w:rsidRPr="003618E2" w:rsidRDefault="006D362C" w:rsidP="006D362C">
      <w:pPr>
        <w:pStyle w:val="BodyText"/>
        <w:numPr>
          <w:ilvl w:val="0"/>
          <w:numId w:val="30"/>
        </w:numPr>
        <w:rPr>
          <w:lang w:val="es-ES"/>
        </w:rPr>
      </w:pPr>
      <w:r w:rsidRPr="003618E2">
        <w:rPr>
          <w:lang w:val="es-ES"/>
        </w:rPr>
        <w:t>Existente</w:t>
      </w:r>
      <w:r w:rsidR="00D136BB">
        <w:rPr>
          <w:lang w:val="es-ES"/>
        </w:rPr>
        <w:t xml:space="preserve"> </w:t>
      </w:r>
      <w:r w:rsidRPr="003618E2">
        <w:rPr>
          <w:lang w:val="es-ES"/>
        </w:rPr>
        <w:t>experiencia</w:t>
      </w:r>
      <w:r w:rsidR="00D136BB">
        <w:rPr>
          <w:lang w:val="es-ES"/>
        </w:rPr>
        <w:t xml:space="preserve"> </w:t>
      </w:r>
      <w:r w:rsidRPr="003618E2">
        <w:rPr>
          <w:lang w:val="es-ES"/>
        </w:rPr>
        <w:t>en</w:t>
      </w:r>
      <w:r w:rsidR="00D136BB">
        <w:rPr>
          <w:lang w:val="es-ES"/>
        </w:rPr>
        <w:t xml:space="preserve"> </w:t>
      </w:r>
      <w:r w:rsidRPr="003618E2">
        <w:rPr>
          <w:lang w:val="es-ES"/>
        </w:rPr>
        <w:t>varios</w:t>
      </w:r>
      <w:r w:rsidR="00D136BB">
        <w:rPr>
          <w:lang w:val="es-ES"/>
        </w:rPr>
        <w:t xml:space="preserve"> </w:t>
      </w:r>
      <w:r w:rsidRPr="003618E2">
        <w:rPr>
          <w:lang w:val="es-ES"/>
        </w:rPr>
        <w:t>países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p>
    <w:p w14:paraId="138A07C5" w14:textId="56F6CA3A" w:rsidR="006D362C" w:rsidRPr="003618E2" w:rsidRDefault="006D362C" w:rsidP="006D362C">
      <w:pPr>
        <w:pStyle w:val="BodyText"/>
        <w:numPr>
          <w:ilvl w:val="0"/>
          <w:numId w:val="30"/>
        </w:numPr>
        <w:rPr>
          <w:lang w:val="es-ES"/>
        </w:rPr>
      </w:pPr>
      <w:r w:rsidRPr="003618E2">
        <w:rPr>
          <w:lang w:val="es-ES"/>
        </w:rPr>
        <w:t>Capacidad</w:t>
      </w:r>
      <w:r w:rsidR="00D136BB">
        <w:rPr>
          <w:lang w:val="es-ES"/>
        </w:rPr>
        <w:t xml:space="preserve"> </w:t>
      </w:r>
      <w:r w:rsidRPr="003618E2">
        <w:rPr>
          <w:lang w:val="es-ES"/>
        </w:rPr>
        <w:t>para</w:t>
      </w:r>
      <w:r w:rsidR="00D136BB">
        <w:rPr>
          <w:lang w:val="es-ES"/>
        </w:rPr>
        <w:t xml:space="preserve"> </w:t>
      </w:r>
      <w:r w:rsidRPr="003618E2">
        <w:rPr>
          <w:lang w:val="es-ES"/>
        </w:rPr>
        <w:t>mejorar</w:t>
      </w:r>
      <w:r w:rsidR="00D136BB">
        <w:rPr>
          <w:lang w:val="es-ES"/>
        </w:rPr>
        <w:t xml:space="preserve"> </w:t>
      </w:r>
      <w:r w:rsidRPr="003618E2">
        <w:rPr>
          <w:lang w:val="es-ES"/>
        </w:rPr>
        <w:t>la</w:t>
      </w:r>
      <w:r w:rsidR="00D136BB">
        <w:rPr>
          <w:lang w:val="es-ES"/>
        </w:rPr>
        <w:t xml:space="preserve"> </w:t>
      </w:r>
      <w:r w:rsidRPr="003618E2">
        <w:rPr>
          <w:lang w:val="es-ES"/>
        </w:rPr>
        <w:t>eficiencia</w:t>
      </w:r>
      <w:r w:rsidR="00D136BB">
        <w:rPr>
          <w:lang w:val="es-ES"/>
        </w:rPr>
        <w:t xml:space="preserve"> </w:t>
      </w:r>
      <w:r w:rsidRPr="003618E2">
        <w:rPr>
          <w:lang w:val="es-ES"/>
        </w:rPr>
        <w:t>de</w:t>
      </w:r>
      <w:r w:rsidR="00D136BB">
        <w:rPr>
          <w:lang w:val="es-ES"/>
        </w:rPr>
        <w:t xml:space="preserve"> </w:t>
      </w:r>
      <w:r w:rsidRPr="003618E2">
        <w:rPr>
          <w:lang w:val="es-ES"/>
        </w:rPr>
        <w:t>instalaciones</w:t>
      </w:r>
      <w:r w:rsidR="00D136BB">
        <w:rPr>
          <w:lang w:val="es-ES"/>
        </w:rPr>
        <w:t xml:space="preserve"> </w:t>
      </w:r>
      <w:r w:rsidRPr="003618E2">
        <w:rPr>
          <w:lang w:val="es-ES"/>
        </w:rPr>
        <w:t>existentes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tratamiento</w:t>
      </w:r>
      <w:r w:rsidR="00D136BB">
        <w:rPr>
          <w:lang w:val="es-ES"/>
        </w:rPr>
        <w:t xml:space="preserve"> </w:t>
      </w:r>
      <w:r w:rsidRPr="003618E2">
        <w:rPr>
          <w:lang w:val="es-ES"/>
        </w:rPr>
        <w:t>del</w:t>
      </w:r>
      <w:r w:rsidR="00D136BB">
        <w:rPr>
          <w:lang w:val="es-ES"/>
        </w:rPr>
        <w:t xml:space="preserve"> </w:t>
      </w:r>
      <w:r w:rsidRPr="003618E2">
        <w:rPr>
          <w:lang w:val="es-ES"/>
        </w:rPr>
        <w:t>agua.</w:t>
      </w:r>
    </w:p>
    <w:p w14:paraId="3158B954" w14:textId="3F53AF8A" w:rsidR="006D362C" w:rsidRPr="003618E2" w:rsidRDefault="006D362C" w:rsidP="006D362C">
      <w:pPr>
        <w:pStyle w:val="BodyText"/>
        <w:rPr>
          <w:b/>
          <w:lang w:val="es-ES"/>
        </w:rPr>
      </w:pPr>
      <w:r w:rsidRPr="003618E2">
        <w:rPr>
          <w:b/>
          <w:lang w:val="es-ES"/>
        </w:rPr>
        <w:t>Ambiente</w:t>
      </w:r>
      <w:r w:rsidR="00D136BB">
        <w:rPr>
          <w:b/>
          <w:lang w:val="es-ES"/>
        </w:rPr>
        <w:t xml:space="preserve"> </w:t>
      </w:r>
      <w:r w:rsidRPr="003618E2">
        <w:rPr>
          <w:b/>
          <w:lang w:val="es-ES"/>
        </w:rPr>
        <w:t>(PR,</w:t>
      </w:r>
      <w:r w:rsidR="00D136BB">
        <w:rPr>
          <w:b/>
          <w:lang w:val="es-ES"/>
        </w:rPr>
        <w:t xml:space="preserve"> </w:t>
      </w:r>
      <w:r w:rsidRPr="003618E2">
        <w:rPr>
          <w:b/>
          <w:lang w:val="es-ES"/>
        </w:rPr>
        <w:t>SCN,</w:t>
      </w:r>
      <w:r w:rsidR="00D136BB">
        <w:rPr>
          <w:b/>
          <w:lang w:val="es-ES"/>
        </w:rPr>
        <w:t xml:space="preserve"> </w:t>
      </w:r>
      <w:r w:rsidRPr="003618E2">
        <w:rPr>
          <w:b/>
          <w:lang w:val="es-ES"/>
        </w:rPr>
        <w:t>TAN)</w:t>
      </w:r>
    </w:p>
    <w:p w14:paraId="33CA9E2A" w14:textId="3B15C5F0" w:rsidR="006D362C" w:rsidRPr="003618E2" w:rsidRDefault="006D362C" w:rsidP="006D362C">
      <w:pPr>
        <w:pStyle w:val="BodyText"/>
        <w:numPr>
          <w:ilvl w:val="0"/>
          <w:numId w:val="30"/>
        </w:numPr>
        <w:rPr>
          <w:lang w:val="es-ES"/>
        </w:rPr>
      </w:pPr>
      <w:r w:rsidRPr="003618E2">
        <w:rPr>
          <w:lang w:val="es-ES"/>
        </w:rPr>
        <w:t>El</w:t>
      </w:r>
      <w:r w:rsidR="00D136BB">
        <w:rPr>
          <w:lang w:val="es-ES"/>
        </w:rPr>
        <w:t xml:space="preserve"> </w:t>
      </w:r>
      <w:r w:rsidRPr="003618E2">
        <w:rPr>
          <w:lang w:val="es-ES"/>
        </w:rPr>
        <w:t>interés</w:t>
      </w:r>
      <w:r w:rsidR="00D136BB">
        <w:rPr>
          <w:lang w:val="es-ES"/>
        </w:rPr>
        <w:t xml:space="preserve"> </w:t>
      </w:r>
      <w:r w:rsidRPr="003618E2">
        <w:rPr>
          <w:lang w:val="es-ES"/>
        </w:rPr>
        <w:t>común</w:t>
      </w:r>
      <w:r w:rsidR="00D136BB">
        <w:rPr>
          <w:lang w:val="es-ES"/>
        </w:rPr>
        <w:t xml:space="preserve"> </w:t>
      </w:r>
      <w:r w:rsidRPr="003618E2">
        <w:rPr>
          <w:lang w:val="es-ES"/>
        </w:rPr>
        <w:t>de</w:t>
      </w:r>
      <w:r w:rsidR="00D136BB">
        <w:rPr>
          <w:lang w:val="es-ES"/>
        </w:rPr>
        <w:t xml:space="preserve"> </w:t>
      </w:r>
      <w:r w:rsidRPr="003618E2">
        <w:rPr>
          <w:lang w:val="es-ES"/>
        </w:rPr>
        <w:t>toda</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es</w:t>
      </w:r>
      <w:r w:rsidR="00D136BB">
        <w:rPr>
          <w:lang w:val="es-ES"/>
        </w:rPr>
        <w:t xml:space="preserve"> </w:t>
      </w:r>
      <w:r w:rsidRPr="003618E2">
        <w:rPr>
          <w:lang w:val="es-ES"/>
        </w:rPr>
        <w:t>la</w:t>
      </w:r>
      <w:r w:rsidR="00D136BB">
        <w:rPr>
          <w:lang w:val="es-ES"/>
        </w:rPr>
        <w:t xml:space="preserve"> </w:t>
      </w:r>
      <w:r w:rsidRPr="003618E2">
        <w:rPr>
          <w:lang w:val="es-ES"/>
        </w:rPr>
        <w:t>de</w:t>
      </w:r>
      <w:r w:rsidR="00D136BB">
        <w:rPr>
          <w:lang w:val="es-ES"/>
        </w:rPr>
        <w:t xml:space="preserve"> </w:t>
      </w:r>
      <w:r w:rsidRPr="003618E2">
        <w:rPr>
          <w:lang w:val="es-ES"/>
        </w:rPr>
        <w:t>proteger</w:t>
      </w:r>
      <w:r w:rsidR="00D136BB">
        <w:rPr>
          <w:lang w:val="es-ES"/>
        </w:rPr>
        <w:t xml:space="preserve"> </w:t>
      </w:r>
      <w:r w:rsidRPr="003618E2">
        <w:rPr>
          <w:lang w:val="es-ES"/>
        </w:rPr>
        <w:t>el</w:t>
      </w:r>
      <w:r w:rsidR="00D136BB">
        <w:rPr>
          <w:lang w:val="es-ES"/>
        </w:rPr>
        <w:t xml:space="preserve"> </w:t>
      </w:r>
      <w:r w:rsidRPr="003618E2">
        <w:rPr>
          <w:lang w:val="es-ES"/>
        </w:rPr>
        <w:t>medio</w:t>
      </w:r>
      <w:r w:rsidR="00D136BB">
        <w:rPr>
          <w:lang w:val="es-ES"/>
        </w:rPr>
        <w:t xml:space="preserve"> </w:t>
      </w:r>
      <w:r w:rsidRPr="003618E2">
        <w:rPr>
          <w:lang w:val="es-ES"/>
        </w:rPr>
        <w:t>ambiente.</w:t>
      </w:r>
    </w:p>
    <w:p w14:paraId="7F227224" w14:textId="289D498E" w:rsidR="006D362C" w:rsidRPr="003618E2" w:rsidRDefault="006D362C" w:rsidP="006D362C">
      <w:pPr>
        <w:pStyle w:val="BodyText"/>
        <w:numPr>
          <w:ilvl w:val="0"/>
          <w:numId w:val="30"/>
        </w:numPr>
        <w:rPr>
          <w:lang w:val="es-ES"/>
        </w:rPr>
      </w:pPr>
      <w:r w:rsidRPr="003618E2">
        <w:rPr>
          <w:lang w:val="es-ES"/>
        </w:rPr>
        <w:t>Tecnologías</w:t>
      </w:r>
      <w:r w:rsidR="00D136BB">
        <w:rPr>
          <w:lang w:val="es-ES"/>
        </w:rPr>
        <w:t xml:space="preserve"> </w:t>
      </w:r>
      <w:r w:rsidRPr="003618E2">
        <w:rPr>
          <w:lang w:val="es-ES"/>
        </w:rPr>
        <w:t>nucleares</w:t>
      </w:r>
      <w:r w:rsidR="00D136BB">
        <w:rPr>
          <w:lang w:val="es-ES"/>
        </w:rPr>
        <w:t xml:space="preserve"> </w:t>
      </w:r>
      <w:r w:rsidRPr="003618E2">
        <w:rPr>
          <w:lang w:val="es-ES"/>
        </w:rPr>
        <w:t>son</w:t>
      </w:r>
      <w:r w:rsidR="00D136BB">
        <w:rPr>
          <w:lang w:val="es-ES"/>
        </w:rPr>
        <w:t xml:space="preserve"> </w:t>
      </w:r>
      <w:r w:rsidRPr="003618E2">
        <w:rPr>
          <w:lang w:val="es-ES"/>
        </w:rPr>
        <w:t>eficientes</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caracterización</w:t>
      </w:r>
      <w:r w:rsidR="00D136BB">
        <w:rPr>
          <w:lang w:val="es-ES"/>
        </w:rPr>
        <w:t xml:space="preserve"> </w:t>
      </w:r>
      <w:r w:rsidRPr="003618E2">
        <w:rPr>
          <w:lang w:val="es-ES"/>
        </w:rPr>
        <w:t>de</w:t>
      </w:r>
      <w:r w:rsidR="00D136BB">
        <w:rPr>
          <w:lang w:val="es-ES"/>
        </w:rPr>
        <w:t xml:space="preserve"> </w:t>
      </w:r>
      <w:r w:rsidRPr="003618E2">
        <w:rPr>
          <w:lang w:val="es-ES"/>
        </w:rPr>
        <w:t>muestras</w:t>
      </w:r>
      <w:r w:rsidR="00D136BB">
        <w:rPr>
          <w:lang w:val="es-ES"/>
        </w:rPr>
        <w:t xml:space="preserve"> </w:t>
      </w:r>
      <w:r w:rsidRPr="003618E2">
        <w:rPr>
          <w:lang w:val="es-ES"/>
        </w:rPr>
        <w:t>ambientales</w:t>
      </w:r>
      <w:r w:rsidR="00D136BB">
        <w:rPr>
          <w:lang w:val="es-ES"/>
        </w:rPr>
        <w:t xml:space="preserve"> </w:t>
      </w:r>
      <w:r w:rsidRPr="003618E2">
        <w:rPr>
          <w:lang w:val="es-ES"/>
        </w:rPr>
        <w:t>con</w:t>
      </w:r>
      <w:r w:rsidR="00D136BB">
        <w:rPr>
          <w:lang w:val="es-ES"/>
        </w:rPr>
        <w:t xml:space="preserve"> </w:t>
      </w:r>
      <w:r w:rsidRPr="003618E2">
        <w:rPr>
          <w:lang w:val="es-ES"/>
        </w:rPr>
        <w:t>alta</w:t>
      </w:r>
      <w:r w:rsidR="00D136BB">
        <w:rPr>
          <w:lang w:val="es-ES"/>
        </w:rPr>
        <w:t xml:space="preserve"> </w:t>
      </w:r>
      <w:r w:rsidRPr="003618E2">
        <w:rPr>
          <w:lang w:val="es-ES"/>
        </w:rPr>
        <w:t>precisión.</w:t>
      </w:r>
    </w:p>
    <w:p w14:paraId="6781DAD1" w14:textId="7C081842" w:rsidR="006D362C" w:rsidRPr="003618E2" w:rsidRDefault="006D362C" w:rsidP="006D362C">
      <w:pPr>
        <w:pStyle w:val="BodyText"/>
        <w:numPr>
          <w:ilvl w:val="0"/>
          <w:numId w:val="30"/>
        </w:numPr>
        <w:rPr>
          <w:lang w:val="es-ES"/>
        </w:rPr>
      </w:pPr>
      <w:r w:rsidRPr="003618E2">
        <w:rPr>
          <w:lang w:val="es-ES"/>
        </w:rPr>
        <w:t>El</w:t>
      </w:r>
      <w:r w:rsidR="00D136BB">
        <w:rPr>
          <w:lang w:val="es-ES"/>
        </w:rPr>
        <w:t xml:space="preserve"> </w:t>
      </w: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gases</w:t>
      </w:r>
      <w:r w:rsidR="00D136BB">
        <w:rPr>
          <w:lang w:val="es-ES"/>
        </w:rPr>
        <w:t xml:space="preserve"> </w:t>
      </w:r>
      <w:r w:rsidRPr="003618E2">
        <w:rPr>
          <w:lang w:val="es-ES"/>
        </w:rPr>
        <w:t>de</w:t>
      </w:r>
      <w:r w:rsidR="00D136BB">
        <w:rPr>
          <w:lang w:val="es-ES"/>
        </w:rPr>
        <w:t xml:space="preserve"> </w:t>
      </w:r>
      <w:r w:rsidRPr="003618E2">
        <w:rPr>
          <w:lang w:val="es-ES"/>
        </w:rPr>
        <w:t>combustión</w:t>
      </w:r>
      <w:r w:rsidR="00D136BB">
        <w:rPr>
          <w:lang w:val="es-ES"/>
        </w:rPr>
        <w:t xml:space="preserve"> </w:t>
      </w:r>
      <w:r w:rsidRPr="003618E2">
        <w:rPr>
          <w:lang w:val="es-ES"/>
        </w:rPr>
        <w:t>con</w:t>
      </w:r>
      <w:r w:rsidR="00D136BB">
        <w:rPr>
          <w:lang w:val="es-ES"/>
        </w:rPr>
        <w:t xml:space="preserve"> </w:t>
      </w:r>
      <w:r w:rsidRPr="003618E2">
        <w:rPr>
          <w:lang w:val="es-ES"/>
        </w:rPr>
        <w:t>haces</w:t>
      </w:r>
      <w:r w:rsidR="00D136BB">
        <w:rPr>
          <w:lang w:val="es-ES"/>
        </w:rPr>
        <w:t xml:space="preserve"> </w:t>
      </w:r>
      <w:r w:rsidRPr="003618E2">
        <w:rPr>
          <w:lang w:val="es-ES"/>
        </w:rPr>
        <w:t>de</w:t>
      </w:r>
      <w:r w:rsidR="00D136BB">
        <w:rPr>
          <w:lang w:val="es-ES"/>
        </w:rPr>
        <w:t xml:space="preserve"> </w:t>
      </w:r>
      <w:r w:rsidRPr="003618E2">
        <w:rPr>
          <w:lang w:val="es-ES"/>
        </w:rPr>
        <w:t>electrones,</w:t>
      </w:r>
      <w:r w:rsidR="00D136BB">
        <w:rPr>
          <w:lang w:val="es-ES"/>
        </w:rPr>
        <w:t xml:space="preserve"> </w:t>
      </w:r>
      <w:r w:rsidRPr="003618E2">
        <w:rPr>
          <w:lang w:val="es-ES"/>
        </w:rPr>
        <w:t>apoya</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eliminación</w:t>
      </w:r>
      <w:r w:rsidR="00D136BB">
        <w:rPr>
          <w:lang w:val="es-ES"/>
        </w:rPr>
        <w:t xml:space="preserve"> </w:t>
      </w:r>
      <w:r w:rsidRPr="003618E2">
        <w:rPr>
          <w:lang w:val="es-ES"/>
        </w:rPr>
        <w:t>de</w:t>
      </w:r>
      <w:r w:rsidR="00D136BB">
        <w:rPr>
          <w:lang w:val="es-ES"/>
        </w:rPr>
        <w:t xml:space="preserve"> </w:t>
      </w:r>
      <w:r w:rsidRPr="003618E2">
        <w:rPr>
          <w:lang w:val="es-ES"/>
        </w:rPr>
        <w:t>contaminantes</w:t>
      </w:r>
      <w:r w:rsidR="00D136BB">
        <w:rPr>
          <w:lang w:val="es-ES"/>
        </w:rPr>
        <w:t xml:space="preserve"> </w:t>
      </w:r>
      <w:r w:rsidRPr="003618E2">
        <w:rPr>
          <w:lang w:val="es-ES"/>
        </w:rPr>
        <w:t>de</w:t>
      </w:r>
      <w:r w:rsidR="00D136BB">
        <w:rPr>
          <w:lang w:val="es-ES"/>
        </w:rPr>
        <w:t xml:space="preserve"> </w:t>
      </w:r>
      <w:r w:rsidRPr="003618E2">
        <w:rPr>
          <w:lang w:val="es-ES"/>
        </w:rPr>
        <w:t>forma</w:t>
      </w:r>
      <w:r w:rsidR="00D136BB">
        <w:rPr>
          <w:lang w:val="es-ES"/>
        </w:rPr>
        <w:t xml:space="preserve"> </w:t>
      </w:r>
      <w:r w:rsidRPr="003618E2">
        <w:rPr>
          <w:lang w:val="es-ES"/>
        </w:rPr>
        <w:t>simultánea,</w:t>
      </w:r>
      <w:r w:rsidR="00D136BB">
        <w:rPr>
          <w:lang w:val="es-ES"/>
        </w:rPr>
        <w:t xml:space="preserve"> </w:t>
      </w:r>
      <w:r w:rsidRPr="003618E2">
        <w:rPr>
          <w:lang w:val="es-ES"/>
        </w:rPr>
        <w:t>sin</w:t>
      </w:r>
      <w:r w:rsidR="00D136BB">
        <w:rPr>
          <w:lang w:val="es-ES"/>
        </w:rPr>
        <w:t xml:space="preserve"> </w:t>
      </w:r>
      <w:r w:rsidRPr="003618E2">
        <w:rPr>
          <w:lang w:val="es-ES"/>
        </w:rPr>
        <w:t>generación</w:t>
      </w:r>
      <w:r w:rsidR="00D136BB">
        <w:rPr>
          <w:lang w:val="es-ES"/>
        </w:rPr>
        <w:t xml:space="preserve"> </w:t>
      </w:r>
      <w:r w:rsidRPr="003618E2">
        <w:rPr>
          <w:lang w:val="es-ES"/>
        </w:rPr>
        <w:t>de</w:t>
      </w:r>
      <w:r w:rsidR="00D136BB">
        <w:rPr>
          <w:lang w:val="es-ES"/>
        </w:rPr>
        <w:t xml:space="preserve"> </w:t>
      </w:r>
      <w:r w:rsidRPr="003618E2">
        <w:rPr>
          <w:lang w:val="es-ES"/>
        </w:rPr>
        <w:t>residuos.</w:t>
      </w:r>
    </w:p>
    <w:p w14:paraId="7BB47AFC" w14:textId="52D13E03" w:rsidR="006D362C" w:rsidRPr="003618E2" w:rsidRDefault="006D362C" w:rsidP="006D362C">
      <w:pPr>
        <w:pStyle w:val="BodyText"/>
        <w:numPr>
          <w:ilvl w:val="0"/>
          <w:numId w:val="30"/>
        </w:numPr>
        <w:rPr>
          <w:lang w:val="es-ES"/>
        </w:rPr>
      </w:pP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mayoría</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países</w:t>
      </w:r>
      <w:r w:rsidR="00D136BB">
        <w:rPr>
          <w:lang w:val="es-ES"/>
        </w:rPr>
        <w:t xml:space="preserve"> </w:t>
      </w:r>
      <w:r w:rsidRPr="003618E2">
        <w:rPr>
          <w:lang w:val="es-ES"/>
        </w:rPr>
        <w:t>existen</w:t>
      </w:r>
      <w:r w:rsidR="00D136BB">
        <w:rPr>
          <w:lang w:val="es-ES"/>
        </w:rPr>
        <w:t xml:space="preserve"> </w:t>
      </w:r>
      <w:r w:rsidRPr="003618E2">
        <w:rPr>
          <w:lang w:val="es-ES"/>
        </w:rPr>
        <w:t>grupos</w:t>
      </w:r>
      <w:r w:rsidR="00D136BB">
        <w:rPr>
          <w:lang w:val="es-ES"/>
        </w:rPr>
        <w:t xml:space="preserve"> </w:t>
      </w:r>
      <w:r w:rsidRPr="003618E2">
        <w:rPr>
          <w:lang w:val="es-ES"/>
        </w:rPr>
        <w:t>especializados</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radiotrazadores</w:t>
      </w:r>
      <w:r w:rsidR="00D136BB">
        <w:rPr>
          <w:lang w:val="es-ES"/>
        </w:rPr>
        <w:t xml:space="preserve"> </w:t>
      </w:r>
      <w:r w:rsidRPr="003618E2">
        <w:rPr>
          <w:lang w:val="es-ES"/>
        </w:rPr>
        <w:t>y</w:t>
      </w:r>
      <w:r w:rsidR="00D136BB">
        <w:rPr>
          <w:lang w:val="es-ES"/>
        </w:rPr>
        <w:t xml:space="preserve"> </w:t>
      </w:r>
      <w:r w:rsidRPr="003618E2">
        <w:rPr>
          <w:lang w:val="es-ES"/>
        </w:rPr>
        <w:t>sistemas</w:t>
      </w:r>
      <w:r w:rsidR="00D136BB">
        <w:rPr>
          <w:lang w:val="es-ES"/>
        </w:rPr>
        <w:t xml:space="preserve"> </w:t>
      </w:r>
      <w:r w:rsidRPr="003618E2">
        <w:rPr>
          <w:lang w:val="es-ES"/>
        </w:rPr>
        <w:t>nucleónicos</w:t>
      </w:r>
      <w:r w:rsidR="00D136BB">
        <w:rPr>
          <w:lang w:val="es-ES"/>
        </w:rPr>
        <w:t xml:space="preserve"> </w:t>
      </w:r>
      <w:r w:rsidRPr="003618E2">
        <w:rPr>
          <w:lang w:val="es-ES"/>
        </w:rPr>
        <w:t>de</w:t>
      </w:r>
      <w:r w:rsidR="00D136BB">
        <w:rPr>
          <w:lang w:val="es-ES"/>
        </w:rPr>
        <w:t xml:space="preserve"> </w:t>
      </w:r>
      <w:r w:rsidRPr="003618E2">
        <w:rPr>
          <w:lang w:val="es-ES"/>
        </w:rPr>
        <w:t>control.</w:t>
      </w:r>
    </w:p>
    <w:p w14:paraId="55DF0770" w14:textId="0C178EE2" w:rsidR="006D362C" w:rsidRPr="003618E2" w:rsidRDefault="006D362C" w:rsidP="006D362C">
      <w:pPr>
        <w:pStyle w:val="BodyText"/>
        <w:numPr>
          <w:ilvl w:val="0"/>
          <w:numId w:val="30"/>
        </w:numPr>
        <w:rPr>
          <w:lang w:val="es-ES"/>
        </w:rPr>
      </w:pPr>
      <w:r w:rsidRPr="003618E2">
        <w:rPr>
          <w:lang w:val="es-ES"/>
        </w:rPr>
        <w:t>Con</w:t>
      </w:r>
      <w:r w:rsidR="00D136BB">
        <w:rPr>
          <w:lang w:val="es-ES"/>
        </w:rPr>
        <w:t xml:space="preserve"> </w:t>
      </w:r>
      <w:r w:rsidRPr="003618E2">
        <w:rPr>
          <w:lang w:val="es-ES"/>
        </w:rPr>
        <w:t>el</w:t>
      </w:r>
      <w:r w:rsidR="00D136BB">
        <w:rPr>
          <w:lang w:val="es-ES"/>
        </w:rPr>
        <w:t xml:space="preserve"> </w:t>
      </w:r>
      <w:r w:rsidRPr="003618E2">
        <w:rPr>
          <w:lang w:val="es-ES"/>
        </w:rPr>
        <w:t>desarrollo</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sistemas</w:t>
      </w:r>
      <w:r w:rsidR="00D136BB">
        <w:rPr>
          <w:lang w:val="es-ES"/>
        </w:rPr>
        <w:t xml:space="preserve"> </w:t>
      </w:r>
      <w:r w:rsidRPr="003618E2">
        <w:rPr>
          <w:lang w:val="es-ES"/>
        </w:rPr>
        <w:t>móviles</w:t>
      </w:r>
      <w:r w:rsidR="00D136BB">
        <w:rPr>
          <w:lang w:val="es-ES"/>
        </w:rPr>
        <w:t xml:space="preserve"> </w:t>
      </w:r>
      <w:r w:rsidRPr="003618E2">
        <w:rPr>
          <w:lang w:val="es-ES"/>
        </w:rPr>
        <w:t>de</w:t>
      </w:r>
      <w:r w:rsidR="00D136BB">
        <w:rPr>
          <w:lang w:val="es-ES"/>
        </w:rPr>
        <w:t xml:space="preserve"> </w:t>
      </w:r>
      <w:r w:rsidRPr="003618E2">
        <w:rPr>
          <w:lang w:val="es-ES"/>
        </w:rPr>
        <w:t>irradiación,</w:t>
      </w:r>
      <w:r w:rsidR="00D136BB">
        <w:rPr>
          <w:lang w:val="es-ES"/>
        </w:rPr>
        <w:t xml:space="preserve"> </w:t>
      </w:r>
      <w:r w:rsidRPr="003618E2">
        <w:rPr>
          <w:lang w:val="es-ES"/>
        </w:rPr>
        <w:t>se</w:t>
      </w:r>
      <w:r w:rsidR="00D136BB">
        <w:rPr>
          <w:lang w:val="es-ES"/>
        </w:rPr>
        <w:t xml:space="preserve"> </w:t>
      </w:r>
      <w:r w:rsidRPr="003618E2">
        <w:rPr>
          <w:lang w:val="es-ES"/>
        </w:rPr>
        <w:t>podrán</w:t>
      </w:r>
      <w:r w:rsidR="00D136BB">
        <w:rPr>
          <w:lang w:val="es-ES"/>
        </w:rPr>
        <w:t xml:space="preserve"> </w:t>
      </w:r>
      <w:r w:rsidRPr="003618E2">
        <w:rPr>
          <w:lang w:val="es-ES"/>
        </w:rPr>
        <w:t>tratar</w:t>
      </w:r>
      <w:r w:rsidR="00D136BB">
        <w:rPr>
          <w:lang w:val="es-ES"/>
        </w:rPr>
        <w:t xml:space="preserve"> </w:t>
      </w:r>
      <w:r w:rsidRPr="003618E2">
        <w:rPr>
          <w:lang w:val="es-ES"/>
        </w:rPr>
        <w:t>in</w:t>
      </w:r>
      <w:r w:rsidR="00D136BB">
        <w:rPr>
          <w:lang w:val="es-ES"/>
        </w:rPr>
        <w:t xml:space="preserve"> </w:t>
      </w:r>
      <w:r w:rsidRPr="003618E2">
        <w:rPr>
          <w:lang w:val="es-ES"/>
        </w:rPr>
        <w:t>situ</w:t>
      </w:r>
      <w:r w:rsidR="00D136BB">
        <w:rPr>
          <w:lang w:val="es-ES"/>
        </w:rPr>
        <w:t xml:space="preserve"> </w:t>
      </w:r>
      <w:r w:rsidRPr="003618E2">
        <w:rPr>
          <w:lang w:val="es-ES"/>
        </w:rPr>
        <w:t>lodos</w:t>
      </w:r>
      <w:r w:rsidR="00D136BB">
        <w:rPr>
          <w:lang w:val="es-ES"/>
        </w:rPr>
        <w:t xml:space="preserve"> </w:t>
      </w:r>
      <w:r w:rsidRPr="003618E2">
        <w:rPr>
          <w:lang w:val="es-ES"/>
        </w:rPr>
        <w:t>residuales.</w:t>
      </w:r>
    </w:p>
    <w:p w14:paraId="682D311F" w14:textId="60B6AEAC" w:rsidR="006D362C" w:rsidRPr="003618E2" w:rsidRDefault="006D362C" w:rsidP="006D362C">
      <w:pPr>
        <w:pStyle w:val="BodyText"/>
        <w:rPr>
          <w:b/>
          <w:lang w:val="es-ES"/>
        </w:rPr>
      </w:pPr>
      <w:r w:rsidRPr="003618E2">
        <w:rPr>
          <w:b/>
          <w:lang w:val="es-ES"/>
        </w:rPr>
        <w:t>Ingeniería</w:t>
      </w:r>
      <w:r w:rsidR="00D136BB">
        <w:rPr>
          <w:b/>
          <w:lang w:val="es-ES"/>
        </w:rPr>
        <w:t xml:space="preserve"> </w:t>
      </w:r>
      <w:r w:rsidRPr="003618E2">
        <w:rPr>
          <w:b/>
          <w:lang w:val="es-ES"/>
        </w:rPr>
        <w:t>costera</w:t>
      </w:r>
      <w:r w:rsidR="00D136BB">
        <w:rPr>
          <w:b/>
          <w:lang w:val="es-ES"/>
        </w:rPr>
        <w:t xml:space="preserve"> </w:t>
      </w:r>
      <w:r w:rsidRPr="003618E2">
        <w:rPr>
          <w:b/>
          <w:lang w:val="es-ES"/>
        </w:rPr>
        <w:t>(T,</w:t>
      </w:r>
      <w:r w:rsidR="00D136BB">
        <w:rPr>
          <w:b/>
          <w:lang w:val="es-ES"/>
        </w:rPr>
        <w:t xml:space="preserve"> </w:t>
      </w:r>
      <w:r w:rsidRPr="003618E2">
        <w:rPr>
          <w:b/>
          <w:lang w:val="es-ES"/>
        </w:rPr>
        <w:t>SCN)</w:t>
      </w:r>
    </w:p>
    <w:p w14:paraId="28C25F82" w14:textId="58469C52" w:rsidR="006D362C" w:rsidRPr="003618E2" w:rsidRDefault="006D362C" w:rsidP="006D362C">
      <w:pPr>
        <w:pStyle w:val="BodyText"/>
        <w:numPr>
          <w:ilvl w:val="0"/>
          <w:numId w:val="30"/>
        </w:numPr>
        <w:rPr>
          <w:lang w:val="es-ES"/>
        </w:rPr>
      </w:pPr>
      <w:r w:rsidRPr="003618E2">
        <w:rPr>
          <w:lang w:val="es-ES"/>
        </w:rPr>
        <w:t>La</w:t>
      </w:r>
      <w:r w:rsidR="00D136BB">
        <w:rPr>
          <w:lang w:val="es-ES"/>
        </w:rPr>
        <w:t xml:space="preserve"> </w:t>
      </w:r>
      <w:r w:rsidRPr="003618E2">
        <w:rPr>
          <w:lang w:val="es-ES"/>
        </w:rPr>
        <w:t>gestión</w:t>
      </w:r>
      <w:r w:rsidR="00D136BB">
        <w:rPr>
          <w:lang w:val="es-ES"/>
        </w:rPr>
        <w:t xml:space="preserve"> </w:t>
      </w:r>
      <w:r w:rsidRPr="003618E2">
        <w:rPr>
          <w:lang w:val="es-ES"/>
        </w:rPr>
        <w:t>costera</w:t>
      </w:r>
      <w:r w:rsidR="00D136BB">
        <w:rPr>
          <w:lang w:val="es-ES"/>
        </w:rPr>
        <w:t xml:space="preserve"> </w:t>
      </w:r>
      <w:r w:rsidRPr="003618E2">
        <w:rPr>
          <w:lang w:val="es-ES"/>
        </w:rPr>
        <w:t>es</w:t>
      </w:r>
      <w:r w:rsidR="00D136BB">
        <w:rPr>
          <w:lang w:val="es-ES"/>
        </w:rPr>
        <w:t xml:space="preserve"> </w:t>
      </w:r>
      <w:r w:rsidRPr="003618E2">
        <w:rPr>
          <w:lang w:val="es-ES"/>
        </w:rPr>
        <w:t>importante</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región.</w:t>
      </w:r>
    </w:p>
    <w:p w14:paraId="43D6D19F" w14:textId="345FE1C7" w:rsidR="006D362C" w:rsidRPr="003618E2" w:rsidRDefault="006D362C" w:rsidP="006D362C">
      <w:pPr>
        <w:pStyle w:val="BodyText"/>
        <w:numPr>
          <w:ilvl w:val="0"/>
          <w:numId w:val="30"/>
        </w:numPr>
        <w:rPr>
          <w:lang w:val="es-ES"/>
        </w:rPr>
      </w:pP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accesible</w:t>
      </w:r>
      <w:r w:rsidR="00D136BB">
        <w:rPr>
          <w:lang w:val="es-ES"/>
        </w:rPr>
        <w:t xml:space="preserve"> </w:t>
      </w:r>
      <w:r w:rsidRPr="003618E2">
        <w:rPr>
          <w:lang w:val="es-ES"/>
        </w:rPr>
        <w:t>y</w:t>
      </w:r>
      <w:r w:rsidR="00D136BB">
        <w:rPr>
          <w:lang w:val="es-ES"/>
        </w:rPr>
        <w:t xml:space="preserve"> </w:t>
      </w:r>
      <w:r w:rsidRPr="003618E2">
        <w:rPr>
          <w:lang w:val="es-ES"/>
        </w:rPr>
        <w:t>validada</w:t>
      </w:r>
      <w:r w:rsidR="00D136BB">
        <w:rPr>
          <w:lang w:val="es-ES"/>
        </w:rPr>
        <w:t xml:space="preserve"> </w:t>
      </w:r>
      <w:r w:rsidRPr="003618E2">
        <w:rPr>
          <w:lang w:val="es-ES"/>
        </w:rPr>
        <w:t>en</w:t>
      </w:r>
      <w:r w:rsidR="00D136BB">
        <w:rPr>
          <w:lang w:val="es-ES"/>
        </w:rPr>
        <w:t xml:space="preserve"> </w:t>
      </w:r>
      <w:r w:rsidRPr="003618E2">
        <w:rPr>
          <w:lang w:val="es-ES"/>
        </w:rPr>
        <w:t>algunos</w:t>
      </w:r>
      <w:r w:rsidR="00D136BB">
        <w:rPr>
          <w:lang w:val="es-ES"/>
        </w:rPr>
        <w:t xml:space="preserve"> </w:t>
      </w:r>
      <w:r w:rsidRPr="003618E2">
        <w:rPr>
          <w:lang w:val="es-ES"/>
        </w:rPr>
        <w:t>países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p>
    <w:p w14:paraId="2334A0F9" w14:textId="32F9A2F1" w:rsidR="006D362C" w:rsidRPr="003618E2" w:rsidRDefault="006D362C" w:rsidP="006D362C">
      <w:pPr>
        <w:pStyle w:val="BodyText"/>
        <w:numPr>
          <w:ilvl w:val="0"/>
          <w:numId w:val="30"/>
        </w:numPr>
        <w:rPr>
          <w:lang w:val="es-ES"/>
        </w:rPr>
      </w:pPr>
      <w:r w:rsidRPr="003618E2">
        <w:rPr>
          <w:lang w:val="es-ES"/>
        </w:rPr>
        <w:lastRenderedPageBreak/>
        <w:t>Alta</w:t>
      </w:r>
      <w:r w:rsidR="00D136BB">
        <w:rPr>
          <w:lang w:val="es-ES"/>
        </w:rPr>
        <w:t xml:space="preserve"> </w:t>
      </w:r>
      <w:r w:rsidRPr="003618E2">
        <w:rPr>
          <w:lang w:val="es-ES"/>
        </w:rPr>
        <w:t>relación</w:t>
      </w:r>
      <w:r w:rsidR="00D136BB">
        <w:rPr>
          <w:lang w:val="es-ES"/>
        </w:rPr>
        <w:t xml:space="preserve"> </w:t>
      </w:r>
      <w:r w:rsidRPr="003618E2">
        <w:rPr>
          <w:lang w:val="es-ES"/>
        </w:rPr>
        <w:t>costo-beneficio.</w:t>
      </w:r>
    </w:p>
    <w:p w14:paraId="35102CA0" w14:textId="6720A0BA" w:rsidR="006D362C" w:rsidRPr="003618E2" w:rsidRDefault="006D362C" w:rsidP="006D362C">
      <w:pPr>
        <w:pStyle w:val="BodyText"/>
        <w:rPr>
          <w:b/>
          <w:lang w:val="es-ES"/>
        </w:rPr>
      </w:pPr>
      <w:r w:rsidRPr="003618E2">
        <w:rPr>
          <w:b/>
          <w:lang w:val="es-ES"/>
        </w:rPr>
        <w:t>Materiales</w:t>
      </w:r>
      <w:r w:rsidR="00D136BB">
        <w:rPr>
          <w:b/>
          <w:lang w:val="es-ES"/>
        </w:rPr>
        <w:t xml:space="preserve"> </w:t>
      </w:r>
      <w:r w:rsidRPr="003618E2">
        <w:rPr>
          <w:b/>
          <w:lang w:val="es-ES"/>
        </w:rPr>
        <w:t>avanzados</w:t>
      </w:r>
      <w:r w:rsidR="00D136BB">
        <w:rPr>
          <w:b/>
          <w:lang w:val="es-ES"/>
        </w:rPr>
        <w:t xml:space="preserve"> </w:t>
      </w:r>
      <w:r w:rsidRPr="003618E2">
        <w:rPr>
          <w:b/>
          <w:lang w:val="es-ES"/>
        </w:rPr>
        <w:t>(PR)</w:t>
      </w:r>
    </w:p>
    <w:p w14:paraId="488CCA7E" w14:textId="6D218550" w:rsidR="006D362C" w:rsidRPr="003618E2" w:rsidRDefault="006D362C" w:rsidP="006D362C">
      <w:pPr>
        <w:pStyle w:val="BodyText"/>
        <w:numPr>
          <w:ilvl w:val="0"/>
          <w:numId w:val="30"/>
        </w:numPr>
        <w:rPr>
          <w:lang w:val="es-ES"/>
        </w:rPr>
      </w:pP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nucleares</w:t>
      </w:r>
      <w:r w:rsidR="00D136BB">
        <w:rPr>
          <w:lang w:val="es-ES"/>
        </w:rPr>
        <w:t xml:space="preserve"> </w:t>
      </w:r>
      <w:r w:rsidRPr="003618E2">
        <w:rPr>
          <w:lang w:val="es-ES"/>
        </w:rPr>
        <w:t>agregan</w:t>
      </w:r>
      <w:r w:rsidR="00D136BB">
        <w:rPr>
          <w:lang w:val="es-ES"/>
        </w:rPr>
        <w:t xml:space="preserve"> </w:t>
      </w:r>
      <w:r w:rsidRPr="003618E2">
        <w:rPr>
          <w:lang w:val="es-ES"/>
        </w:rPr>
        <w:t>valor</w:t>
      </w:r>
      <w:r w:rsidR="00D136BB">
        <w:rPr>
          <w:lang w:val="es-ES"/>
        </w:rPr>
        <w:t xml:space="preserve"> </w:t>
      </w:r>
      <w:r w:rsidRPr="003618E2">
        <w:rPr>
          <w:lang w:val="es-ES"/>
        </w:rPr>
        <w:t>a</w:t>
      </w:r>
      <w:r w:rsidR="00D136BB">
        <w:rPr>
          <w:lang w:val="es-ES"/>
        </w:rPr>
        <w:t xml:space="preserve"> </w:t>
      </w:r>
      <w:r w:rsidRPr="003618E2">
        <w:rPr>
          <w:lang w:val="es-ES"/>
        </w:rPr>
        <w:t>diversos</w:t>
      </w:r>
      <w:r w:rsidR="00D136BB">
        <w:rPr>
          <w:lang w:val="es-ES"/>
        </w:rPr>
        <w:t xml:space="preserve"> </w:t>
      </w:r>
      <w:r w:rsidRPr="003618E2">
        <w:rPr>
          <w:lang w:val="es-ES"/>
        </w:rPr>
        <w:t>materiales.</w:t>
      </w:r>
    </w:p>
    <w:p w14:paraId="5C4131D7" w14:textId="2F426189" w:rsidR="006D362C" w:rsidRPr="003618E2" w:rsidRDefault="006D362C" w:rsidP="006D362C">
      <w:pPr>
        <w:pStyle w:val="BodyText"/>
        <w:numPr>
          <w:ilvl w:val="0"/>
          <w:numId w:val="30"/>
        </w:numPr>
        <w:rPr>
          <w:lang w:val="es-ES"/>
        </w:rPr>
      </w:pPr>
      <w:r w:rsidRPr="003618E2">
        <w:rPr>
          <w:lang w:val="es-ES"/>
        </w:rPr>
        <w:t>Procesos</w:t>
      </w:r>
      <w:r w:rsidR="00D136BB">
        <w:rPr>
          <w:lang w:val="es-ES"/>
        </w:rPr>
        <w:t xml:space="preserve"> </w:t>
      </w:r>
      <w:r w:rsidRPr="003618E2">
        <w:rPr>
          <w:lang w:val="es-ES"/>
        </w:rPr>
        <w:t>energéticamente</w:t>
      </w:r>
      <w:r w:rsidR="00D136BB">
        <w:rPr>
          <w:lang w:val="es-ES"/>
        </w:rPr>
        <w:t xml:space="preserve"> </w:t>
      </w:r>
      <w:r w:rsidRPr="003618E2">
        <w:rPr>
          <w:lang w:val="es-ES"/>
        </w:rPr>
        <w:t>eficientes</w:t>
      </w:r>
      <w:r w:rsidR="00D136BB">
        <w:rPr>
          <w:lang w:val="es-ES"/>
        </w:rPr>
        <w:t xml:space="preserve"> </w:t>
      </w:r>
      <w:r w:rsidRPr="003618E2">
        <w:rPr>
          <w:lang w:val="es-ES"/>
        </w:rPr>
        <w:t>y</w:t>
      </w:r>
      <w:r w:rsidR="00D136BB">
        <w:rPr>
          <w:lang w:val="es-ES"/>
        </w:rPr>
        <w:t xml:space="preserve"> </w:t>
      </w:r>
      <w:r w:rsidRPr="003618E2">
        <w:rPr>
          <w:lang w:val="es-ES"/>
        </w:rPr>
        <w:t>ambientalmente</w:t>
      </w:r>
      <w:r w:rsidR="00D136BB">
        <w:rPr>
          <w:lang w:val="es-ES"/>
        </w:rPr>
        <w:t xml:space="preserve"> </w:t>
      </w:r>
      <w:r w:rsidRPr="003618E2">
        <w:rPr>
          <w:lang w:val="es-ES"/>
        </w:rPr>
        <w:t>amigables.</w:t>
      </w:r>
    </w:p>
    <w:p w14:paraId="4C21FECA" w14:textId="40E7EB80" w:rsidR="006D362C" w:rsidRPr="003618E2" w:rsidRDefault="006D362C" w:rsidP="006D362C">
      <w:pPr>
        <w:pStyle w:val="BodyText"/>
        <w:numPr>
          <w:ilvl w:val="0"/>
          <w:numId w:val="30"/>
        </w:numPr>
        <w:rPr>
          <w:lang w:val="es-ES"/>
        </w:rPr>
      </w:pPr>
      <w:r w:rsidRPr="003618E2">
        <w:rPr>
          <w:lang w:val="es-ES"/>
        </w:rPr>
        <w:t>Mejora</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calidad</w:t>
      </w:r>
      <w:r w:rsidR="00D136BB">
        <w:rPr>
          <w:lang w:val="es-ES"/>
        </w:rPr>
        <w:t xml:space="preserve"> </w:t>
      </w:r>
      <w:r w:rsidRPr="003618E2">
        <w:rPr>
          <w:lang w:val="es-ES"/>
        </w:rPr>
        <w:t>y</w:t>
      </w:r>
      <w:r w:rsidR="00D136BB">
        <w:rPr>
          <w:lang w:val="es-ES"/>
        </w:rPr>
        <w:t xml:space="preserve"> </w:t>
      </w:r>
      <w:r w:rsidRPr="003618E2">
        <w:rPr>
          <w:lang w:val="es-ES"/>
        </w:rPr>
        <w:t>la</w:t>
      </w:r>
      <w:r w:rsidR="00D136BB">
        <w:rPr>
          <w:lang w:val="es-ES"/>
        </w:rPr>
        <w:t xml:space="preserve"> </w:t>
      </w:r>
      <w:r w:rsidRPr="003618E2">
        <w:rPr>
          <w:lang w:val="es-ES"/>
        </w:rPr>
        <w:t>seguridad</w:t>
      </w:r>
      <w:r w:rsidR="00D136BB">
        <w:rPr>
          <w:lang w:val="es-ES"/>
        </w:rPr>
        <w:t xml:space="preserve"> </w:t>
      </w:r>
      <w:r w:rsidRPr="003618E2">
        <w:rPr>
          <w:lang w:val="es-ES"/>
        </w:rPr>
        <w:t>de</w:t>
      </w:r>
      <w:r w:rsidR="00D136BB">
        <w:rPr>
          <w:lang w:val="es-ES"/>
        </w:rPr>
        <w:t xml:space="preserve"> </w:t>
      </w:r>
      <w:r w:rsidRPr="003618E2">
        <w:rPr>
          <w:lang w:val="es-ES"/>
        </w:rPr>
        <w:t>procesos</w:t>
      </w:r>
      <w:r w:rsidR="00D136BB">
        <w:rPr>
          <w:lang w:val="es-ES"/>
        </w:rPr>
        <w:t xml:space="preserve"> </w:t>
      </w:r>
      <w:r w:rsidRPr="003618E2">
        <w:rPr>
          <w:lang w:val="es-ES"/>
        </w:rPr>
        <w:t>y</w:t>
      </w:r>
      <w:r w:rsidR="00D136BB">
        <w:rPr>
          <w:lang w:val="es-ES"/>
        </w:rPr>
        <w:t xml:space="preserve"> </w:t>
      </w:r>
      <w:r w:rsidRPr="003618E2">
        <w:rPr>
          <w:lang w:val="es-ES"/>
        </w:rPr>
        <w:t>productos.</w:t>
      </w:r>
    </w:p>
    <w:p w14:paraId="4F38649F" w14:textId="282D88F4" w:rsidR="006D362C" w:rsidRPr="003618E2" w:rsidRDefault="006D362C" w:rsidP="006D362C">
      <w:pPr>
        <w:pStyle w:val="BodyText"/>
        <w:numPr>
          <w:ilvl w:val="0"/>
          <w:numId w:val="30"/>
        </w:numPr>
        <w:rPr>
          <w:lang w:val="es-ES"/>
        </w:rPr>
      </w:pPr>
      <w:r w:rsidRPr="003618E2">
        <w:rPr>
          <w:lang w:val="es-ES"/>
        </w:rPr>
        <w:t>Infraestructura</w:t>
      </w:r>
      <w:r w:rsidR="00D136BB">
        <w:rPr>
          <w:lang w:val="es-ES"/>
        </w:rPr>
        <w:t xml:space="preserve"> </w:t>
      </w:r>
      <w:r w:rsidRPr="003618E2">
        <w:rPr>
          <w:lang w:val="es-ES"/>
        </w:rPr>
        <w:t>disponible</w:t>
      </w:r>
      <w:r w:rsidR="00D136BB">
        <w:rPr>
          <w:lang w:val="es-ES"/>
        </w:rPr>
        <w:t xml:space="preserve"> </w:t>
      </w:r>
      <w:r w:rsidRPr="003618E2">
        <w:rPr>
          <w:lang w:val="es-ES"/>
        </w:rPr>
        <w:t>en</w:t>
      </w:r>
      <w:r w:rsidR="00D136BB">
        <w:rPr>
          <w:lang w:val="es-ES"/>
        </w:rPr>
        <w:t xml:space="preserve"> </w:t>
      </w:r>
      <w:r w:rsidRPr="003618E2">
        <w:rPr>
          <w:lang w:val="es-ES"/>
        </w:rPr>
        <w:t>algunos</w:t>
      </w:r>
      <w:r w:rsidR="00D136BB">
        <w:rPr>
          <w:lang w:val="es-ES"/>
        </w:rPr>
        <w:t xml:space="preserve"> </w:t>
      </w:r>
      <w:r w:rsidRPr="003618E2">
        <w:rPr>
          <w:lang w:val="es-ES"/>
        </w:rPr>
        <w:t>países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p>
    <w:p w14:paraId="41790E6A" w14:textId="70478943" w:rsidR="006D362C" w:rsidRPr="003618E2" w:rsidRDefault="006D362C" w:rsidP="006D362C">
      <w:pPr>
        <w:pStyle w:val="BodyText"/>
        <w:rPr>
          <w:b/>
          <w:lang w:val="es-ES"/>
        </w:rPr>
      </w:pPr>
      <w:r w:rsidRPr="003618E2">
        <w:rPr>
          <w:b/>
          <w:lang w:val="es-ES"/>
        </w:rPr>
        <w:t>Medicina</w:t>
      </w:r>
      <w:r w:rsidR="00D136BB">
        <w:rPr>
          <w:b/>
          <w:lang w:val="es-ES"/>
        </w:rPr>
        <w:t xml:space="preserve"> </w:t>
      </w:r>
      <w:r w:rsidRPr="003618E2">
        <w:rPr>
          <w:b/>
          <w:lang w:val="es-ES"/>
        </w:rPr>
        <w:t>(PR)</w:t>
      </w:r>
    </w:p>
    <w:p w14:paraId="5C2ACC80" w14:textId="56345B3F" w:rsidR="006D362C" w:rsidRPr="003618E2" w:rsidRDefault="006D362C" w:rsidP="006D362C">
      <w:pPr>
        <w:pStyle w:val="BodyText"/>
        <w:numPr>
          <w:ilvl w:val="0"/>
          <w:numId w:val="30"/>
        </w:numPr>
        <w:rPr>
          <w:lang w:val="es-ES"/>
        </w:rPr>
      </w:pPr>
      <w:r w:rsidRPr="003618E2">
        <w:rPr>
          <w:lang w:val="es-ES"/>
        </w:rPr>
        <w:t>Tecnología</w:t>
      </w:r>
      <w:r w:rsidR="00D136BB">
        <w:rPr>
          <w:lang w:val="es-ES"/>
        </w:rPr>
        <w:t xml:space="preserve"> </w:t>
      </w:r>
      <w:r w:rsidRPr="003618E2">
        <w:rPr>
          <w:lang w:val="es-ES"/>
        </w:rPr>
        <w:t>de</w:t>
      </w:r>
      <w:r w:rsidR="00D136BB">
        <w:rPr>
          <w:lang w:val="es-ES"/>
        </w:rPr>
        <w:t xml:space="preserve"> </w:t>
      </w:r>
      <w:r w:rsidRPr="003618E2">
        <w:rPr>
          <w:lang w:val="es-ES"/>
        </w:rPr>
        <w:t>irradiación</w:t>
      </w:r>
      <w:r w:rsidR="00D136BB">
        <w:rPr>
          <w:lang w:val="es-ES"/>
        </w:rPr>
        <w:t xml:space="preserve"> </w:t>
      </w:r>
      <w:r w:rsidRPr="003618E2">
        <w:rPr>
          <w:lang w:val="es-ES"/>
        </w:rPr>
        <w:t>bien</w:t>
      </w:r>
      <w:r w:rsidR="00D136BB">
        <w:rPr>
          <w:lang w:val="es-ES"/>
        </w:rPr>
        <w:t xml:space="preserve"> </w:t>
      </w:r>
      <w:r w:rsidRPr="003618E2">
        <w:rPr>
          <w:lang w:val="es-ES"/>
        </w:rPr>
        <w:t>establecida,</w:t>
      </w:r>
      <w:r w:rsidR="00D136BB">
        <w:rPr>
          <w:lang w:val="es-ES"/>
        </w:rPr>
        <w:t xml:space="preserve"> </w:t>
      </w:r>
      <w:r w:rsidRPr="003618E2">
        <w:rPr>
          <w:lang w:val="es-ES"/>
        </w:rPr>
        <w:t>disponible</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y</w:t>
      </w:r>
      <w:r w:rsidR="00D136BB">
        <w:rPr>
          <w:lang w:val="es-ES"/>
        </w:rPr>
        <w:t xml:space="preserve"> </w:t>
      </w:r>
      <w:r w:rsidRPr="003618E2">
        <w:rPr>
          <w:lang w:val="es-ES"/>
        </w:rPr>
        <w:t>cuenta</w:t>
      </w:r>
      <w:r w:rsidR="00D136BB">
        <w:rPr>
          <w:lang w:val="es-ES"/>
        </w:rPr>
        <w:t xml:space="preserve"> </w:t>
      </w:r>
      <w:r w:rsidRPr="003618E2">
        <w:rPr>
          <w:lang w:val="es-ES"/>
        </w:rPr>
        <w:t>con</w:t>
      </w:r>
      <w:r w:rsidR="00D136BB">
        <w:rPr>
          <w:lang w:val="es-ES"/>
        </w:rPr>
        <w:t xml:space="preserve"> </w:t>
      </w:r>
      <w:r w:rsidRPr="003618E2">
        <w:rPr>
          <w:lang w:val="es-ES"/>
        </w:rPr>
        <w:t>amplia</w:t>
      </w:r>
      <w:r w:rsidR="00D136BB">
        <w:rPr>
          <w:lang w:val="es-ES"/>
        </w:rPr>
        <w:t xml:space="preserve"> </w:t>
      </w:r>
      <w:r w:rsidRPr="003618E2">
        <w:rPr>
          <w:lang w:val="es-ES"/>
        </w:rPr>
        <w:t>aceptación.</w:t>
      </w:r>
    </w:p>
    <w:p w14:paraId="70F43C17" w14:textId="0D58B998" w:rsidR="006D362C" w:rsidRPr="003618E2" w:rsidRDefault="006D362C" w:rsidP="006D362C">
      <w:pPr>
        <w:pStyle w:val="BodyText"/>
        <w:numPr>
          <w:ilvl w:val="0"/>
          <w:numId w:val="30"/>
        </w:numPr>
        <w:rPr>
          <w:lang w:val="es-ES"/>
        </w:rPr>
      </w:pPr>
      <w:r w:rsidRPr="003618E2">
        <w:rPr>
          <w:lang w:val="es-ES"/>
        </w:rPr>
        <w:t>Existe</w:t>
      </w:r>
      <w:r w:rsidR="00D136BB">
        <w:rPr>
          <w:lang w:val="es-ES"/>
        </w:rPr>
        <w:t xml:space="preserve"> </w:t>
      </w:r>
      <w:r w:rsidRPr="003618E2">
        <w:rPr>
          <w:lang w:val="es-ES"/>
        </w:rPr>
        <w:t>gran</w:t>
      </w:r>
      <w:r w:rsidR="00D136BB">
        <w:rPr>
          <w:lang w:val="es-ES"/>
        </w:rPr>
        <w:t xml:space="preserve"> </w:t>
      </w:r>
      <w:r w:rsidRPr="003618E2">
        <w:rPr>
          <w:lang w:val="es-ES"/>
        </w:rPr>
        <w:t>demanda</w:t>
      </w:r>
      <w:r w:rsidR="00D136BB">
        <w:rPr>
          <w:lang w:val="es-ES"/>
        </w:rPr>
        <w:t xml:space="preserve"> </w:t>
      </w:r>
      <w:r w:rsidRPr="003618E2">
        <w:rPr>
          <w:lang w:val="es-ES"/>
        </w:rPr>
        <w:t>comercial</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esterilización</w:t>
      </w:r>
      <w:r w:rsidR="00D136BB">
        <w:rPr>
          <w:lang w:val="es-ES"/>
        </w:rPr>
        <w:t xml:space="preserve"> </w:t>
      </w:r>
      <w:r w:rsidRPr="003618E2">
        <w:rPr>
          <w:lang w:val="es-ES"/>
        </w:rPr>
        <w:t>de</w:t>
      </w:r>
      <w:r w:rsidR="00D136BB">
        <w:rPr>
          <w:lang w:val="es-ES"/>
        </w:rPr>
        <w:t xml:space="preserve"> </w:t>
      </w:r>
      <w:r w:rsidRPr="003618E2">
        <w:rPr>
          <w:lang w:val="es-ES"/>
        </w:rPr>
        <w:t>instrumentos</w:t>
      </w:r>
      <w:r w:rsidR="00D136BB">
        <w:rPr>
          <w:lang w:val="es-ES"/>
        </w:rPr>
        <w:t xml:space="preserve"> </w:t>
      </w:r>
      <w:r w:rsidRPr="003618E2">
        <w:rPr>
          <w:lang w:val="es-ES"/>
        </w:rPr>
        <w:t>y</w:t>
      </w:r>
      <w:r w:rsidR="00D136BB">
        <w:rPr>
          <w:lang w:val="es-ES"/>
        </w:rPr>
        <w:t xml:space="preserve"> </w:t>
      </w:r>
      <w:r w:rsidRPr="003618E2">
        <w:rPr>
          <w:lang w:val="es-ES"/>
        </w:rPr>
        <w:t>productos</w:t>
      </w:r>
      <w:r w:rsidR="00D136BB">
        <w:rPr>
          <w:lang w:val="es-ES"/>
        </w:rPr>
        <w:t xml:space="preserve"> </w:t>
      </w:r>
      <w:r w:rsidRPr="003618E2">
        <w:rPr>
          <w:lang w:val="es-ES"/>
        </w:rPr>
        <w:t>médicos</w:t>
      </w:r>
      <w:r w:rsidR="00D136BB">
        <w:rPr>
          <w:lang w:val="es-ES"/>
        </w:rPr>
        <w:t xml:space="preserve"> </w:t>
      </w:r>
      <w:r w:rsidRPr="003618E2">
        <w:rPr>
          <w:lang w:val="es-ES"/>
        </w:rPr>
        <w:t>desechables.</w:t>
      </w:r>
    </w:p>
    <w:p w14:paraId="64B22647" w14:textId="7BC54179" w:rsidR="006D362C" w:rsidRPr="003618E2" w:rsidRDefault="006D362C" w:rsidP="006D362C">
      <w:pPr>
        <w:pStyle w:val="BodyText"/>
        <w:numPr>
          <w:ilvl w:val="0"/>
          <w:numId w:val="30"/>
        </w:numPr>
        <w:rPr>
          <w:lang w:val="es-ES"/>
        </w:rPr>
      </w:pPr>
      <w:r w:rsidRPr="003618E2">
        <w:rPr>
          <w:lang w:val="es-ES"/>
        </w:rPr>
        <w:t>Comparada</w:t>
      </w:r>
      <w:r w:rsidR="00D136BB">
        <w:rPr>
          <w:lang w:val="es-ES"/>
        </w:rPr>
        <w:t xml:space="preserve"> </w:t>
      </w:r>
      <w:r w:rsidRPr="003618E2">
        <w:rPr>
          <w:lang w:val="es-ES"/>
        </w:rPr>
        <w:t>con</w:t>
      </w:r>
      <w:r w:rsidR="00D136BB">
        <w:rPr>
          <w:lang w:val="es-ES"/>
        </w:rPr>
        <w:t xml:space="preserve"> </w:t>
      </w:r>
      <w:r w:rsidRPr="003618E2">
        <w:rPr>
          <w:lang w:val="es-ES"/>
        </w:rPr>
        <w:t>otras</w:t>
      </w:r>
      <w:r w:rsidR="00D136BB">
        <w:rPr>
          <w:lang w:val="es-ES"/>
        </w:rPr>
        <w:t xml:space="preserve"> </w:t>
      </w:r>
      <w:r w:rsidRPr="003618E2">
        <w:rPr>
          <w:lang w:val="es-ES"/>
        </w:rPr>
        <w:t>técnicas,</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de</w:t>
      </w:r>
      <w:r w:rsidR="00D136BB">
        <w:rPr>
          <w:lang w:val="es-ES"/>
        </w:rPr>
        <w:t xml:space="preserve"> </w:t>
      </w:r>
      <w:r w:rsidRPr="003618E2">
        <w:rPr>
          <w:lang w:val="es-ES"/>
        </w:rPr>
        <w:t>irradiación</w:t>
      </w:r>
      <w:r w:rsidR="00D136BB">
        <w:rPr>
          <w:lang w:val="es-ES"/>
        </w:rPr>
        <w:t xml:space="preserve"> </w:t>
      </w:r>
      <w:r w:rsidRPr="003618E2">
        <w:rPr>
          <w:lang w:val="es-ES"/>
        </w:rPr>
        <w:t>es</w:t>
      </w:r>
      <w:r w:rsidR="00D136BB">
        <w:rPr>
          <w:lang w:val="es-ES"/>
        </w:rPr>
        <w:t xml:space="preserve"> </w:t>
      </w:r>
      <w:r w:rsidRPr="003618E2">
        <w:rPr>
          <w:lang w:val="es-ES"/>
        </w:rPr>
        <w:t>más</w:t>
      </w:r>
      <w:r w:rsidR="00D136BB">
        <w:rPr>
          <w:lang w:val="es-ES"/>
        </w:rPr>
        <w:t xml:space="preserve"> </w:t>
      </w:r>
      <w:r w:rsidRPr="003618E2">
        <w:rPr>
          <w:lang w:val="es-ES"/>
        </w:rPr>
        <w:t>eficaz,</w:t>
      </w:r>
      <w:r w:rsidR="00D136BB">
        <w:rPr>
          <w:lang w:val="es-ES"/>
        </w:rPr>
        <w:t xml:space="preserve"> </w:t>
      </w:r>
      <w:r w:rsidRPr="003618E2">
        <w:rPr>
          <w:lang w:val="es-ES"/>
        </w:rPr>
        <w:t>competitiva</w:t>
      </w:r>
      <w:r w:rsidR="00D136BB">
        <w:rPr>
          <w:lang w:val="es-ES"/>
        </w:rPr>
        <w:t xml:space="preserve"> </w:t>
      </w:r>
      <w:r w:rsidRPr="003618E2">
        <w:rPr>
          <w:lang w:val="es-ES"/>
        </w:rPr>
        <w:t>y</w:t>
      </w:r>
      <w:r w:rsidR="00D136BB">
        <w:rPr>
          <w:lang w:val="es-ES"/>
        </w:rPr>
        <w:t xml:space="preserve"> </w:t>
      </w:r>
      <w:r w:rsidRPr="003618E2">
        <w:rPr>
          <w:lang w:val="es-ES"/>
        </w:rPr>
        <w:t>no</w:t>
      </w:r>
      <w:r w:rsidR="00D136BB">
        <w:rPr>
          <w:lang w:val="es-ES"/>
        </w:rPr>
        <w:t xml:space="preserve"> </w:t>
      </w:r>
      <w:r w:rsidRPr="003618E2">
        <w:rPr>
          <w:lang w:val="es-ES"/>
        </w:rPr>
        <w:t>genera</w:t>
      </w:r>
      <w:r w:rsidR="00D136BB">
        <w:rPr>
          <w:lang w:val="es-ES"/>
        </w:rPr>
        <w:t xml:space="preserve"> </w:t>
      </w:r>
      <w:r w:rsidRPr="003618E2">
        <w:rPr>
          <w:lang w:val="es-ES"/>
        </w:rPr>
        <w:t>residuos</w:t>
      </w:r>
      <w:r w:rsidR="00D136BB">
        <w:rPr>
          <w:lang w:val="es-ES"/>
        </w:rPr>
        <w:t xml:space="preserve"> </w:t>
      </w:r>
      <w:r w:rsidRPr="003618E2">
        <w:rPr>
          <w:lang w:val="es-ES"/>
        </w:rPr>
        <w:t>en</w:t>
      </w:r>
      <w:r w:rsidR="00D136BB">
        <w:rPr>
          <w:lang w:val="es-ES"/>
        </w:rPr>
        <w:t xml:space="preserve"> </w:t>
      </w:r>
      <w:r w:rsidRPr="003618E2">
        <w:rPr>
          <w:lang w:val="es-ES"/>
        </w:rPr>
        <w:t>los</w:t>
      </w:r>
      <w:r w:rsidR="00D136BB">
        <w:rPr>
          <w:lang w:val="es-ES"/>
        </w:rPr>
        <w:t xml:space="preserve"> </w:t>
      </w:r>
      <w:r w:rsidRPr="003618E2">
        <w:rPr>
          <w:lang w:val="es-ES"/>
        </w:rPr>
        <w:t>productos</w:t>
      </w:r>
      <w:r w:rsidR="00D136BB">
        <w:rPr>
          <w:lang w:val="es-ES"/>
        </w:rPr>
        <w:t xml:space="preserve"> </w:t>
      </w:r>
      <w:r w:rsidRPr="003618E2">
        <w:rPr>
          <w:lang w:val="es-ES"/>
        </w:rPr>
        <w:t>tratados.</w:t>
      </w:r>
    </w:p>
    <w:p w14:paraId="21736F9A" w14:textId="0BD437CB" w:rsidR="006D362C" w:rsidRPr="003618E2" w:rsidRDefault="006D362C" w:rsidP="006D362C">
      <w:pPr>
        <w:pStyle w:val="BodyText"/>
        <w:rPr>
          <w:b/>
          <w:lang w:val="pt-BR"/>
        </w:rPr>
      </w:pPr>
      <w:r w:rsidRPr="006C45C9">
        <w:rPr>
          <w:b/>
          <w:lang w:val="pt-BR"/>
        </w:rPr>
        <w:t>Patrimonio</w:t>
      </w:r>
      <w:r w:rsidR="00D136BB">
        <w:rPr>
          <w:b/>
          <w:lang w:val="pt-BR"/>
        </w:rPr>
        <w:t xml:space="preserve"> </w:t>
      </w:r>
      <w:r w:rsidRPr="006C45C9">
        <w:rPr>
          <w:b/>
          <w:lang w:val="pt-BR"/>
        </w:rPr>
        <w:t>cultural</w:t>
      </w:r>
      <w:r w:rsidR="00D136BB">
        <w:rPr>
          <w:b/>
          <w:lang w:val="pt-BR"/>
        </w:rPr>
        <w:t xml:space="preserve"> </w:t>
      </w:r>
      <w:r w:rsidRPr="003618E2">
        <w:rPr>
          <w:b/>
          <w:lang w:val="pt-BR"/>
        </w:rPr>
        <w:t>(PR,</w:t>
      </w:r>
      <w:r w:rsidR="00D136BB">
        <w:rPr>
          <w:b/>
          <w:lang w:val="pt-BR"/>
        </w:rPr>
        <w:t xml:space="preserve"> </w:t>
      </w:r>
      <w:r w:rsidRPr="003618E2">
        <w:rPr>
          <w:b/>
          <w:lang w:val="pt-BR"/>
        </w:rPr>
        <w:t>T,</w:t>
      </w:r>
      <w:r w:rsidR="00D136BB">
        <w:rPr>
          <w:b/>
          <w:lang w:val="pt-BR"/>
        </w:rPr>
        <w:t xml:space="preserve"> </w:t>
      </w:r>
      <w:r w:rsidRPr="003618E2">
        <w:rPr>
          <w:b/>
          <w:lang w:val="pt-BR"/>
        </w:rPr>
        <w:t>END)</w:t>
      </w:r>
    </w:p>
    <w:p w14:paraId="648D1972" w14:textId="5AF4D092" w:rsidR="006D362C" w:rsidRPr="003618E2" w:rsidRDefault="006D362C" w:rsidP="006D362C">
      <w:pPr>
        <w:pStyle w:val="BodyText"/>
        <w:numPr>
          <w:ilvl w:val="0"/>
          <w:numId w:val="30"/>
        </w:numPr>
        <w:rPr>
          <w:lang w:val="es-ES"/>
        </w:rPr>
      </w:pPr>
      <w:r w:rsidRPr="003618E2">
        <w:rPr>
          <w:lang w:val="es-ES"/>
        </w:rPr>
        <w:t>Latinoamérica</w:t>
      </w:r>
      <w:r w:rsidR="00D136BB">
        <w:rPr>
          <w:lang w:val="es-ES"/>
        </w:rPr>
        <w:t xml:space="preserve"> </w:t>
      </w:r>
      <w:r w:rsidRPr="003618E2">
        <w:rPr>
          <w:lang w:val="es-ES"/>
        </w:rPr>
        <w:t>es</w:t>
      </w:r>
      <w:r w:rsidR="00D136BB">
        <w:rPr>
          <w:lang w:val="es-ES"/>
        </w:rPr>
        <w:t xml:space="preserve"> </w:t>
      </w:r>
      <w:r w:rsidRPr="003618E2">
        <w:rPr>
          <w:lang w:val="es-ES"/>
        </w:rPr>
        <w:t>muy</w:t>
      </w:r>
      <w:r w:rsidR="00D136BB">
        <w:rPr>
          <w:lang w:val="es-ES"/>
        </w:rPr>
        <w:t xml:space="preserve"> </w:t>
      </w:r>
      <w:r w:rsidRPr="003618E2">
        <w:rPr>
          <w:lang w:val="es-ES"/>
        </w:rPr>
        <w:t>rica</w:t>
      </w:r>
      <w:r w:rsidR="00D136BB">
        <w:rPr>
          <w:lang w:val="es-ES"/>
        </w:rPr>
        <w:t xml:space="preserve"> </w:t>
      </w:r>
      <w:r w:rsidRPr="003618E2">
        <w:rPr>
          <w:lang w:val="es-ES"/>
        </w:rPr>
        <w:t>en</w:t>
      </w:r>
      <w:r w:rsidR="00D136BB">
        <w:rPr>
          <w:lang w:val="es-ES"/>
        </w:rPr>
        <w:t xml:space="preserve"> </w:t>
      </w:r>
      <w:r w:rsidRPr="003618E2">
        <w:rPr>
          <w:lang w:val="es-ES"/>
        </w:rPr>
        <w:t>patrimonio</w:t>
      </w:r>
      <w:r w:rsidR="00D136BB">
        <w:rPr>
          <w:lang w:val="es-ES"/>
        </w:rPr>
        <w:t xml:space="preserve"> </w:t>
      </w:r>
      <w:r w:rsidRPr="003618E2">
        <w:rPr>
          <w:lang w:val="es-ES"/>
        </w:rPr>
        <w:t>cultural</w:t>
      </w:r>
      <w:r w:rsidR="00D136BB">
        <w:rPr>
          <w:lang w:val="es-ES"/>
        </w:rPr>
        <w:t xml:space="preserve"> </w:t>
      </w:r>
      <w:r w:rsidRPr="003618E2">
        <w:rPr>
          <w:lang w:val="es-ES"/>
        </w:rPr>
        <w:t>y</w:t>
      </w:r>
      <w:r w:rsidR="00D136BB">
        <w:rPr>
          <w:lang w:val="es-ES"/>
        </w:rPr>
        <w:t xml:space="preserve"> </w:t>
      </w:r>
      <w:r w:rsidRPr="003618E2">
        <w:rPr>
          <w:lang w:val="es-ES"/>
        </w:rPr>
        <w:t>está</w:t>
      </w:r>
      <w:r w:rsidR="00D136BB">
        <w:rPr>
          <w:lang w:val="es-ES"/>
        </w:rPr>
        <w:t xml:space="preserve"> </w:t>
      </w:r>
      <w:r w:rsidRPr="003618E2">
        <w:rPr>
          <w:lang w:val="es-ES"/>
        </w:rPr>
        <w:t>distribuido</w:t>
      </w:r>
      <w:r w:rsidR="00D136BB">
        <w:rPr>
          <w:lang w:val="es-ES"/>
        </w:rPr>
        <w:t xml:space="preserve"> </w:t>
      </w:r>
      <w:r w:rsidRPr="003618E2">
        <w:rPr>
          <w:lang w:val="es-ES"/>
        </w:rPr>
        <w:t>en</w:t>
      </w:r>
      <w:r w:rsidR="00D136BB">
        <w:rPr>
          <w:lang w:val="es-ES"/>
        </w:rPr>
        <w:t xml:space="preserve"> </w:t>
      </w:r>
      <w:r w:rsidRPr="003618E2">
        <w:rPr>
          <w:lang w:val="es-ES"/>
        </w:rPr>
        <w:t>toda</w:t>
      </w:r>
      <w:r w:rsidR="00D136BB">
        <w:rPr>
          <w:lang w:val="es-ES"/>
        </w:rPr>
        <w:t xml:space="preserve"> </w:t>
      </w:r>
      <w:r w:rsidRPr="003618E2">
        <w:rPr>
          <w:lang w:val="es-ES"/>
        </w:rPr>
        <w:t>la</w:t>
      </w:r>
      <w:r w:rsidR="00D136BB">
        <w:rPr>
          <w:lang w:val="es-ES"/>
        </w:rPr>
        <w:t xml:space="preserve"> </w:t>
      </w:r>
      <w:r w:rsidRPr="003618E2">
        <w:rPr>
          <w:lang w:val="es-ES"/>
        </w:rPr>
        <w:t>región.</w:t>
      </w:r>
    </w:p>
    <w:p w14:paraId="14161497" w14:textId="45B0E65E" w:rsidR="006D362C" w:rsidRPr="003618E2" w:rsidRDefault="006D362C" w:rsidP="006D362C">
      <w:pPr>
        <w:pStyle w:val="BodyText"/>
        <w:numPr>
          <w:ilvl w:val="0"/>
          <w:numId w:val="30"/>
        </w:numPr>
        <w:rPr>
          <w:lang w:val="es-ES"/>
        </w:rPr>
      </w:pPr>
      <w:r w:rsidRPr="003618E2">
        <w:rPr>
          <w:lang w:val="es-ES"/>
        </w:rPr>
        <w:t>Al</w:t>
      </w:r>
      <w:r w:rsidR="00D136BB">
        <w:rPr>
          <w:lang w:val="es-ES"/>
        </w:rPr>
        <w:t xml:space="preserve"> </w:t>
      </w:r>
      <w:r w:rsidRPr="003618E2">
        <w:rPr>
          <w:lang w:val="es-ES"/>
        </w:rPr>
        <w:t>menos</w:t>
      </w:r>
      <w:r w:rsidR="00D136BB">
        <w:rPr>
          <w:lang w:val="es-ES"/>
        </w:rPr>
        <w:t xml:space="preserve"> </w:t>
      </w:r>
      <w:r w:rsidRPr="003618E2">
        <w:rPr>
          <w:lang w:val="es-ES"/>
        </w:rPr>
        <w:t>seis</w:t>
      </w:r>
      <w:r w:rsidR="00D136BB">
        <w:rPr>
          <w:lang w:val="es-ES"/>
        </w:rPr>
        <w:t xml:space="preserve"> </w:t>
      </w:r>
      <w:r w:rsidRPr="003618E2">
        <w:rPr>
          <w:lang w:val="es-ES"/>
        </w:rPr>
        <w:t>países</w:t>
      </w:r>
      <w:r w:rsidR="00D136BB">
        <w:rPr>
          <w:lang w:val="es-ES"/>
        </w:rPr>
        <w:t xml:space="preserve"> </w:t>
      </w:r>
      <w:r w:rsidRPr="003618E2">
        <w:rPr>
          <w:lang w:val="es-ES"/>
        </w:rPr>
        <w:t>tienen</w:t>
      </w:r>
      <w:r w:rsidR="00D136BB">
        <w:rPr>
          <w:lang w:val="es-ES"/>
        </w:rPr>
        <w:t xml:space="preserve"> </w:t>
      </w:r>
      <w:r w:rsidRPr="003618E2">
        <w:rPr>
          <w:lang w:val="es-ES"/>
        </w:rPr>
        <w:t>y</w:t>
      </w:r>
      <w:r w:rsidR="00D136BB">
        <w:rPr>
          <w:lang w:val="es-ES"/>
        </w:rPr>
        <w:t xml:space="preserve"> </w:t>
      </w:r>
      <w:r w:rsidRPr="003618E2">
        <w:rPr>
          <w:lang w:val="es-ES"/>
        </w:rPr>
        <w:t>usan</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nucleares</w:t>
      </w:r>
      <w:r w:rsidR="00D136BB">
        <w:rPr>
          <w:lang w:val="es-ES"/>
        </w:rPr>
        <w:t xml:space="preserve"> </w:t>
      </w:r>
      <w:r w:rsidRPr="003618E2">
        <w:rPr>
          <w:lang w:val="es-ES"/>
        </w:rPr>
        <w:t>aplicables.</w:t>
      </w:r>
    </w:p>
    <w:p w14:paraId="2E20A718" w14:textId="32CDF409" w:rsidR="006D362C" w:rsidRPr="003618E2" w:rsidRDefault="006D362C" w:rsidP="006D362C">
      <w:pPr>
        <w:pStyle w:val="BodyText"/>
        <w:numPr>
          <w:ilvl w:val="0"/>
          <w:numId w:val="30"/>
        </w:numPr>
        <w:rPr>
          <w:lang w:val="es-ES"/>
        </w:rPr>
      </w:pPr>
      <w:r w:rsidRPr="003618E2">
        <w:rPr>
          <w:lang w:val="es-ES"/>
        </w:rPr>
        <w:t>El</w:t>
      </w:r>
      <w:r w:rsidR="00D136BB">
        <w:rPr>
          <w:lang w:val="es-ES"/>
        </w:rPr>
        <w:t xml:space="preserve"> </w:t>
      </w:r>
      <w:r w:rsidRPr="003618E2">
        <w:rPr>
          <w:lang w:val="es-ES"/>
        </w:rPr>
        <w:t>OIEA</w:t>
      </w:r>
      <w:r w:rsidR="00D136BB">
        <w:rPr>
          <w:lang w:val="es-ES"/>
        </w:rPr>
        <w:t xml:space="preserve"> </w:t>
      </w:r>
      <w:r w:rsidRPr="003618E2">
        <w:rPr>
          <w:lang w:val="es-ES"/>
        </w:rPr>
        <w:t>apoya</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técnicas</w:t>
      </w:r>
      <w:r w:rsidR="00D136BB">
        <w:rPr>
          <w:lang w:val="es-ES"/>
        </w:rPr>
        <w:t xml:space="preserve"> </w:t>
      </w:r>
      <w:r w:rsidRPr="003618E2">
        <w:rPr>
          <w:lang w:val="es-ES"/>
        </w:rPr>
        <w:t>nucleares</w:t>
      </w:r>
      <w:r w:rsidR="00D136BB">
        <w:rPr>
          <w:lang w:val="es-ES"/>
        </w:rPr>
        <w:t xml:space="preserve"> </w:t>
      </w:r>
      <w:r w:rsidRPr="003618E2">
        <w:rPr>
          <w:lang w:val="es-ES"/>
        </w:rPr>
        <w:t>para</w:t>
      </w:r>
      <w:r w:rsidR="00D136BB">
        <w:rPr>
          <w:lang w:val="es-ES"/>
        </w:rPr>
        <w:t xml:space="preserve"> </w:t>
      </w:r>
      <w:r w:rsidRPr="003618E2">
        <w:rPr>
          <w:lang w:val="es-ES"/>
        </w:rPr>
        <w:t>caracterización</w:t>
      </w:r>
      <w:r w:rsidR="00D136BB">
        <w:rPr>
          <w:lang w:val="es-ES"/>
        </w:rPr>
        <w:t xml:space="preserve"> </w:t>
      </w:r>
      <w:r w:rsidRPr="003618E2">
        <w:rPr>
          <w:lang w:val="es-ES"/>
        </w:rPr>
        <w:t>y</w:t>
      </w:r>
      <w:r w:rsidR="00D136BB">
        <w:rPr>
          <w:lang w:val="es-ES"/>
        </w:rPr>
        <w:t xml:space="preserve"> </w:t>
      </w:r>
      <w:r w:rsidRPr="003618E2">
        <w:rPr>
          <w:lang w:val="es-ES"/>
        </w:rPr>
        <w:t>preservación</w:t>
      </w:r>
      <w:r w:rsidR="00D136BB">
        <w:rPr>
          <w:lang w:val="es-ES"/>
        </w:rPr>
        <w:t xml:space="preserve"> </w:t>
      </w:r>
      <w:r w:rsidRPr="003618E2">
        <w:rPr>
          <w:lang w:val="es-ES"/>
        </w:rPr>
        <w:t>del</w:t>
      </w:r>
      <w:r w:rsidR="00D136BB">
        <w:rPr>
          <w:lang w:val="es-ES"/>
        </w:rPr>
        <w:t xml:space="preserve"> </w:t>
      </w:r>
      <w:r w:rsidRPr="003618E2">
        <w:rPr>
          <w:lang w:val="es-ES"/>
        </w:rPr>
        <w:t>patrimonio</w:t>
      </w:r>
      <w:r w:rsidR="00D136BB">
        <w:rPr>
          <w:lang w:val="es-ES"/>
        </w:rPr>
        <w:t xml:space="preserve"> </w:t>
      </w:r>
      <w:r w:rsidRPr="003618E2">
        <w:rPr>
          <w:lang w:val="es-ES"/>
        </w:rPr>
        <w:t>cultural.</w:t>
      </w:r>
    </w:p>
    <w:p w14:paraId="35B70D13" w14:textId="7ED2EF24" w:rsidR="006D362C" w:rsidRPr="003618E2" w:rsidRDefault="006D362C" w:rsidP="006D362C">
      <w:pPr>
        <w:pStyle w:val="BodyText"/>
        <w:numPr>
          <w:ilvl w:val="0"/>
          <w:numId w:val="30"/>
        </w:numPr>
        <w:rPr>
          <w:lang w:val="es-ES"/>
        </w:rPr>
      </w:pPr>
      <w:r w:rsidRPr="003618E2">
        <w:rPr>
          <w:lang w:val="es-ES"/>
        </w:rPr>
        <w:t>Existen</w:t>
      </w:r>
      <w:r w:rsidR="00D136BB">
        <w:rPr>
          <w:lang w:val="es-ES"/>
        </w:rPr>
        <w:t xml:space="preserve"> </w:t>
      </w:r>
      <w:r w:rsidRPr="003618E2">
        <w:rPr>
          <w:lang w:val="es-ES"/>
        </w:rPr>
        <w:t>diferentes</w:t>
      </w:r>
      <w:r w:rsidR="00D136BB">
        <w:rPr>
          <w:lang w:val="es-ES"/>
        </w:rPr>
        <w:t xml:space="preserve"> </w:t>
      </w:r>
      <w:r w:rsidRPr="003618E2">
        <w:rPr>
          <w:lang w:val="es-ES"/>
        </w:rPr>
        <w:t>técnicas</w:t>
      </w:r>
      <w:r w:rsidR="00D136BB">
        <w:rPr>
          <w:lang w:val="es-ES"/>
        </w:rPr>
        <w:t xml:space="preserve"> </w:t>
      </w:r>
      <w:r w:rsidRPr="003618E2">
        <w:rPr>
          <w:lang w:val="es-ES"/>
        </w:rPr>
        <w:t>nucleares</w:t>
      </w:r>
      <w:r w:rsidR="00D136BB">
        <w:rPr>
          <w:lang w:val="es-ES"/>
        </w:rPr>
        <w:t xml:space="preserve"> </w:t>
      </w:r>
      <w:r w:rsidRPr="003618E2">
        <w:rPr>
          <w:lang w:val="es-ES"/>
        </w:rPr>
        <w:t>accesibles</w:t>
      </w:r>
      <w:r w:rsidR="00D136BB">
        <w:rPr>
          <w:lang w:val="es-ES"/>
        </w:rPr>
        <w:t xml:space="preserve"> </w:t>
      </w:r>
      <w:r w:rsidRPr="003618E2">
        <w:rPr>
          <w:lang w:val="es-ES"/>
        </w:rPr>
        <w:t>y</w:t>
      </w:r>
      <w:r w:rsidR="00D136BB">
        <w:rPr>
          <w:lang w:val="es-ES"/>
        </w:rPr>
        <w:t xml:space="preserve"> </w:t>
      </w:r>
      <w:r w:rsidRPr="003618E2">
        <w:rPr>
          <w:lang w:val="es-ES"/>
        </w:rPr>
        <w:t>eficaces.</w:t>
      </w:r>
    </w:p>
    <w:p w14:paraId="4A7D6513" w14:textId="66244E17" w:rsidR="006D362C" w:rsidRPr="003618E2" w:rsidRDefault="006D362C" w:rsidP="006D362C">
      <w:pPr>
        <w:pStyle w:val="BodyText"/>
        <w:rPr>
          <w:b/>
          <w:lang w:val="es-ES"/>
        </w:rPr>
      </w:pPr>
      <w:r w:rsidRPr="003618E2">
        <w:rPr>
          <w:b/>
          <w:lang w:val="es-ES"/>
        </w:rPr>
        <w:t>Procesos</w:t>
      </w:r>
      <w:r w:rsidR="00D136BB">
        <w:rPr>
          <w:b/>
          <w:lang w:val="es-ES"/>
        </w:rPr>
        <w:t xml:space="preserve"> </w:t>
      </w:r>
      <w:r w:rsidRPr="003618E2">
        <w:rPr>
          <w:b/>
          <w:lang w:val="es-ES"/>
        </w:rPr>
        <w:t>y</w:t>
      </w:r>
      <w:r w:rsidR="00D136BB">
        <w:rPr>
          <w:b/>
          <w:lang w:val="es-ES"/>
        </w:rPr>
        <w:t xml:space="preserve"> </w:t>
      </w:r>
      <w:r w:rsidRPr="003618E2">
        <w:rPr>
          <w:b/>
          <w:lang w:val="es-ES"/>
        </w:rPr>
        <w:t>producción</w:t>
      </w:r>
      <w:r w:rsidR="00D136BB">
        <w:rPr>
          <w:b/>
          <w:lang w:val="es-ES"/>
        </w:rPr>
        <w:t xml:space="preserve"> </w:t>
      </w:r>
      <w:r w:rsidRPr="003618E2">
        <w:rPr>
          <w:b/>
          <w:lang w:val="es-ES"/>
        </w:rPr>
        <w:t>industrial</w:t>
      </w:r>
      <w:r w:rsidR="00D136BB">
        <w:rPr>
          <w:b/>
          <w:lang w:val="es-ES"/>
        </w:rPr>
        <w:t xml:space="preserve"> </w:t>
      </w:r>
      <w:r w:rsidRPr="003618E2">
        <w:rPr>
          <w:b/>
          <w:lang w:val="es-ES"/>
        </w:rPr>
        <w:t>(T,</w:t>
      </w:r>
      <w:r w:rsidR="00D136BB">
        <w:rPr>
          <w:b/>
          <w:lang w:val="es-ES"/>
        </w:rPr>
        <w:t xml:space="preserve"> </w:t>
      </w:r>
      <w:r w:rsidRPr="003618E2">
        <w:rPr>
          <w:b/>
          <w:lang w:val="es-ES"/>
        </w:rPr>
        <w:t>SCN,</w:t>
      </w:r>
      <w:r w:rsidR="00D136BB">
        <w:rPr>
          <w:b/>
          <w:lang w:val="es-ES"/>
        </w:rPr>
        <w:t xml:space="preserve"> </w:t>
      </w:r>
      <w:r w:rsidRPr="003618E2">
        <w:rPr>
          <w:b/>
          <w:lang w:val="es-ES"/>
        </w:rPr>
        <w:t>TAN)</w:t>
      </w:r>
    </w:p>
    <w:p w14:paraId="479B5535" w14:textId="4644E865" w:rsidR="006D362C" w:rsidRPr="003618E2" w:rsidRDefault="006D362C" w:rsidP="006D362C">
      <w:pPr>
        <w:pStyle w:val="BodyText"/>
        <w:numPr>
          <w:ilvl w:val="0"/>
          <w:numId w:val="30"/>
        </w:numPr>
        <w:rPr>
          <w:lang w:val="es-ES"/>
        </w:rPr>
      </w:pPr>
      <w:r w:rsidRPr="003618E2">
        <w:rPr>
          <w:lang w:val="es-ES"/>
        </w:rPr>
        <w:t>Existe</w:t>
      </w:r>
      <w:r w:rsidR="00D136BB">
        <w:rPr>
          <w:lang w:val="es-ES"/>
        </w:rPr>
        <w:t xml:space="preserve"> </w:t>
      </w:r>
      <w:r w:rsidRPr="003618E2">
        <w:rPr>
          <w:lang w:val="es-ES"/>
        </w:rPr>
        <w:t>interés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de</w:t>
      </w:r>
      <w:r w:rsidR="00D136BB">
        <w:rPr>
          <w:lang w:val="es-ES"/>
        </w:rPr>
        <w:t xml:space="preserve"> </w:t>
      </w:r>
      <w:r w:rsidRPr="003618E2">
        <w:rPr>
          <w:lang w:val="es-ES"/>
        </w:rPr>
        <w:t>mejorar</w:t>
      </w:r>
      <w:r w:rsidR="00D136BB">
        <w:rPr>
          <w:lang w:val="es-ES"/>
        </w:rPr>
        <w:t xml:space="preserve"> </w:t>
      </w:r>
      <w:r w:rsidRPr="003618E2">
        <w:rPr>
          <w:lang w:val="es-ES"/>
        </w:rPr>
        <w:t>y</w:t>
      </w:r>
      <w:r w:rsidR="00D136BB">
        <w:rPr>
          <w:lang w:val="es-ES"/>
        </w:rPr>
        <w:t xml:space="preserve"> </w:t>
      </w:r>
      <w:r w:rsidRPr="003618E2">
        <w:rPr>
          <w:lang w:val="es-ES"/>
        </w:rPr>
        <w:t>optimizar</w:t>
      </w:r>
      <w:r w:rsidR="00D136BB">
        <w:rPr>
          <w:lang w:val="es-ES"/>
        </w:rPr>
        <w:t xml:space="preserve"> </w:t>
      </w:r>
      <w:r w:rsidRPr="003618E2">
        <w:rPr>
          <w:lang w:val="es-ES"/>
        </w:rPr>
        <w:t>los</w:t>
      </w:r>
      <w:r w:rsidR="00D136BB">
        <w:rPr>
          <w:lang w:val="es-ES"/>
        </w:rPr>
        <w:t xml:space="preserve"> </w:t>
      </w:r>
      <w:r w:rsidRPr="003618E2">
        <w:rPr>
          <w:lang w:val="es-ES"/>
        </w:rPr>
        <w:t>procesos</w:t>
      </w:r>
      <w:r w:rsidR="00D136BB">
        <w:rPr>
          <w:lang w:val="es-ES"/>
        </w:rPr>
        <w:t xml:space="preserve"> </w:t>
      </w:r>
      <w:r w:rsidRPr="003618E2">
        <w:rPr>
          <w:lang w:val="es-ES"/>
        </w:rPr>
        <w:t>productivos.</w:t>
      </w:r>
    </w:p>
    <w:p w14:paraId="2D209AC9" w14:textId="3CC2C574" w:rsidR="006D362C" w:rsidRPr="003618E2" w:rsidRDefault="006D362C" w:rsidP="006D362C">
      <w:pPr>
        <w:pStyle w:val="BodyText"/>
        <w:numPr>
          <w:ilvl w:val="0"/>
          <w:numId w:val="30"/>
        </w:numPr>
        <w:rPr>
          <w:lang w:val="es-ES"/>
        </w:rPr>
      </w:pP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nucleares</w:t>
      </w:r>
      <w:r w:rsidR="00D136BB">
        <w:rPr>
          <w:lang w:val="es-ES"/>
        </w:rPr>
        <w:t xml:space="preserve"> </w:t>
      </w:r>
      <w:r w:rsidRPr="003618E2">
        <w:rPr>
          <w:lang w:val="es-ES"/>
        </w:rPr>
        <w:t>apoyan</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mejora</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competitividad</w:t>
      </w:r>
      <w:r w:rsidR="00D136BB">
        <w:rPr>
          <w:lang w:val="es-ES"/>
        </w:rPr>
        <w:t xml:space="preserve"> </w:t>
      </w:r>
      <w:r w:rsidRPr="003618E2">
        <w:rPr>
          <w:lang w:val="es-ES"/>
        </w:rPr>
        <w:t>industrial.</w:t>
      </w:r>
    </w:p>
    <w:p w14:paraId="56DEE444" w14:textId="1B7C13A9" w:rsidR="006D362C" w:rsidRPr="003618E2" w:rsidRDefault="006D362C" w:rsidP="006D362C">
      <w:pPr>
        <w:pStyle w:val="BodyText"/>
        <w:numPr>
          <w:ilvl w:val="0"/>
          <w:numId w:val="30"/>
        </w:numPr>
        <w:rPr>
          <w:lang w:val="es-ES"/>
        </w:rPr>
      </w:pPr>
      <w:r w:rsidRPr="003618E2">
        <w:rPr>
          <w:lang w:val="es-ES"/>
        </w:rPr>
        <w:t>Existen</w:t>
      </w:r>
      <w:r w:rsidR="00D136BB">
        <w:rPr>
          <w:lang w:val="es-ES"/>
        </w:rPr>
        <w:t xml:space="preserve"> </w:t>
      </w:r>
      <w:r w:rsidRPr="003618E2">
        <w:rPr>
          <w:lang w:val="es-ES"/>
        </w:rPr>
        <w:t>comercialmente</w:t>
      </w:r>
      <w:r w:rsidR="00D136BB">
        <w:rPr>
          <w:lang w:val="es-ES"/>
        </w:rPr>
        <w:t xml:space="preserve"> </w:t>
      </w:r>
      <w:r w:rsidRPr="003618E2">
        <w:rPr>
          <w:lang w:val="es-ES"/>
        </w:rPr>
        <w:t>sistemas</w:t>
      </w:r>
      <w:r w:rsidR="00D136BB">
        <w:rPr>
          <w:lang w:val="es-ES"/>
        </w:rPr>
        <w:t xml:space="preserve"> </w:t>
      </w:r>
      <w:r w:rsidRPr="003618E2">
        <w:rPr>
          <w:lang w:val="es-ES"/>
        </w:rPr>
        <w:t>de</w:t>
      </w:r>
      <w:r w:rsidR="00D136BB">
        <w:rPr>
          <w:lang w:val="es-ES"/>
        </w:rPr>
        <w:t xml:space="preserve"> </w:t>
      </w:r>
      <w:r w:rsidRPr="003618E2">
        <w:rPr>
          <w:lang w:val="es-ES"/>
        </w:rPr>
        <w:t>control</w:t>
      </w:r>
      <w:r w:rsidR="00D136BB">
        <w:rPr>
          <w:lang w:val="es-ES"/>
        </w:rPr>
        <w:t xml:space="preserve"> </w:t>
      </w:r>
      <w:r w:rsidRPr="003618E2">
        <w:rPr>
          <w:lang w:val="es-ES"/>
        </w:rPr>
        <w:t>nucleónico</w:t>
      </w:r>
      <w:r w:rsidR="00D136BB">
        <w:rPr>
          <w:lang w:val="es-ES"/>
        </w:rPr>
        <w:t xml:space="preserve"> </w:t>
      </w:r>
      <w:r w:rsidRPr="003618E2">
        <w:rPr>
          <w:lang w:val="es-ES"/>
        </w:rPr>
        <w:t>para</w:t>
      </w:r>
      <w:r w:rsidR="00D136BB">
        <w:rPr>
          <w:lang w:val="es-ES"/>
        </w:rPr>
        <w:t xml:space="preserve"> </w:t>
      </w:r>
      <w:r w:rsidRPr="003618E2">
        <w:rPr>
          <w:lang w:val="es-ES"/>
        </w:rPr>
        <w:t>aplicaciones</w:t>
      </w:r>
      <w:r w:rsidR="00D136BB">
        <w:rPr>
          <w:lang w:val="es-ES"/>
        </w:rPr>
        <w:t xml:space="preserve"> </w:t>
      </w:r>
      <w:r w:rsidRPr="003618E2">
        <w:rPr>
          <w:lang w:val="es-ES"/>
        </w:rPr>
        <w:t>industriales</w:t>
      </w:r>
      <w:r w:rsidR="00D136BB">
        <w:rPr>
          <w:lang w:val="es-ES"/>
        </w:rPr>
        <w:t xml:space="preserve"> </w:t>
      </w:r>
      <w:r w:rsidRPr="003618E2">
        <w:rPr>
          <w:lang w:val="es-ES"/>
        </w:rPr>
        <w:t>con</w:t>
      </w:r>
      <w:r w:rsidR="00D136BB">
        <w:rPr>
          <w:lang w:val="es-ES"/>
        </w:rPr>
        <w:t xml:space="preserve"> </w:t>
      </w:r>
      <w:r w:rsidRPr="003618E2">
        <w:rPr>
          <w:lang w:val="es-ES"/>
        </w:rPr>
        <w:t>amplio</w:t>
      </w:r>
      <w:r w:rsidR="00D136BB">
        <w:rPr>
          <w:lang w:val="es-ES"/>
        </w:rPr>
        <w:t xml:space="preserve"> </w:t>
      </w:r>
      <w:r w:rsidRPr="003618E2">
        <w:rPr>
          <w:lang w:val="es-ES"/>
        </w:rPr>
        <w:t>uso</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debido</w:t>
      </w:r>
      <w:r w:rsidR="00D136BB">
        <w:rPr>
          <w:lang w:val="es-ES"/>
        </w:rPr>
        <w:t xml:space="preserve"> </w:t>
      </w:r>
      <w:r w:rsidRPr="003618E2">
        <w:rPr>
          <w:lang w:val="es-ES"/>
        </w:rPr>
        <w:t>a</w:t>
      </w:r>
      <w:r w:rsidR="00D136BB">
        <w:rPr>
          <w:lang w:val="es-ES"/>
        </w:rPr>
        <w:t xml:space="preserve"> </w:t>
      </w:r>
      <w:r w:rsidRPr="003618E2">
        <w:rPr>
          <w:lang w:val="es-ES"/>
        </w:rPr>
        <w:t>que</w:t>
      </w:r>
      <w:r w:rsidR="00D136BB">
        <w:rPr>
          <w:lang w:val="es-ES"/>
        </w:rPr>
        <w:t xml:space="preserve"> </w:t>
      </w:r>
      <w:r w:rsidRPr="003618E2">
        <w:rPr>
          <w:lang w:val="es-ES"/>
        </w:rPr>
        <w:t>existe</w:t>
      </w:r>
      <w:r w:rsidR="00D136BB">
        <w:rPr>
          <w:lang w:val="es-ES"/>
        </w:rPr>
        <w:t xml:space="preserve"> </w:t>
      </w:r>
      <w:r w:rsidRPr="003618E2">
        <w:rPr>
          <w:lang w:val="es-ES"/>
        </w:rPr>
        <w:t>una</w:t>
      </w:r>
      <w:r w:rsidR="00D136BB">
        <w:rPr>
          <w:lang w:val="es-ES"/>
        </w:rPr>
        <w:t xml:space="preserve"> </w:t>
      </w:r>
      <w:r w:rsidRPr="003618E2">
        <w:rPr>
          <w:lang w:val="es-ES"/>
        </w:rPr>
        <w:t>alta</w:t>
      </w:r>
      <w:r w:rsidR="00D136BB">
        <w:rPr>
          <w:lang w:val="es-ES"/>
        </w:rPr>
        <w:t xml:space="preserve"> </w:t>
      </w:r>
      <w:r w:rsidRPr="003618E2">
        <w:rPr>
          <w:lang w:val="es-ES"/>
        </w:rPr>
        <w:t>relación</w:t>
      </w:r>
      <w:r w:rsidR="00D136BB">
        <w:rPr>
          <w:lang w:val="es-ES"/>
        </w:rPr>
        <w:t xml:space="preserve"> </w:t>
      </w:r>
      <w:r w:rsidRPr="003618E2">
        <w:rPr>
          <w:lang w:val="es-ES"/>
        </w:rPr>
        <w:t>costo-beneficio.</w:t>
      </w:r>
    </w:p>
    <w:p w14:paraId="3FE7D6FA" w14:textId="594F71C1" w:rsidR="006D362C" w:rsidRPr="003618E2" w:rsidRDefault="006D362C" w:rsidP="006D362C">
      <w:pPr>
        <w:pStyle w:val="BodyText"/>
        <w:numPr>
          <w:ilvl w:val="0"/>
          <w:numId w:val="30"/>
        </w:numPr>
        <w:rPr>
          <w:lang w:val="es-ES"/>
        </w:rPr>
      </w:pPr>
      <w:r w:rsidRPr="003618E2">
        <w:rPr>
          <w:lang w:val="es-ES"/>
        </w:rPr>
        <w:t>Existen</w:t>
      </w:r>
      <w:r w:rsidR="00D136BB">
        <w:rPr>
          <w:lang w:val="es-ES"/>
        </w:rPr>
        <w:t xml:space="preserve"> </w:t>
      </w:r>
      <w:r w:rsidRPr="003618E2">
        <w:rPr>
          <w:lang w:val="es-ES"/>
        </w:rPr>
        <w:t>universidades,</w:t>
      </w:r>
      <w:r w:rsidR="00D136BB">
        <w:rPr>
          <w:lang w:val="es-ES"/>
        </w:rPr>
        <w:t xml:space="preserve"> </w:t>
      </w:r>
      <w:r w:rsidRPr="003618E2">
        <w:rPr>
          <w:lang w:val="es-ES"/>
        </w:rPr>
        <w:t>institutos</w:t>
      </w:r>
      <w:r w:rsidR="00D136BB">
        <w:rPr>
          <w:lang w:val="es-ES"/>
        </w:rPr>
        <w:t xml:space="preserve"> </w:t>
      </w:r>
      <w:r w:rsidRPr="003618E2">
        <w:rPr>
          <w:lang w:val="es-ES"/>
        </w:rPr>
        <w:t>de</w:t>
      </w:r>
      <w:r w:rsidR="00D136BB">
        <w:rPr>
          <w:lang w:val="es-ES"/>
        </w:rPr>
        <w:t xml:space="preserve"> </w:t>
      </w:r>
      <w:r w:rsidRPr="003618E2">
        <w:rPr>
          <w:lang w:val="es-ES"/>
        </w:rPr>
        <w:t>investigación</w:t>
      </w:r>
      <w:r w:rsidR="00D136BB">
        <w:rPr>
          <w:lang w:val="es-ES"/>
        </w:rPr>
        <w:t xml:space="preserve"> </w:t>
      </w:r>
      <w:r w:rsidRPr="003618E2">
        <w:rPr>
          <w:lang w:val="es-ES"/>
        </w:rPr>
        <w:t>y</w:t>
      </w:r>
      <w:r w:rsidR="00D136BB">
        <w:rPr>
          <w:lang w:val="es-ES"/>
        </w:rPr>
        <w:t xml:space="preserve"> </w:t>
      </w:r>
      <w:r w:rsidRPr="003618E2">
        <w:rPr>
          <w:lang w:val="es-ES"/>
        </w:rPr>
        <w:t>empresas,</w:t>
      </w:r>
      <w:r w:rsidR="00D136BB">
        <w:rPr>
          <w:lang w:val="es-ES"/>
        </w:rPr>
        <w:t xml:space="preserve"> </w:t>
      </w:r>
      <w:r w:rsidRPr="003618E2">
        <w:rPr>
          <w:lang w:val="es-ES"/>
        </w:rPr>
        <w:t>con</w:t>
      </w:r>
      <w:r w:rsidR="00D136BB">
        <w:rPr>
          <w:lang w:val="es-ES"/>
        </w:rPr>
        <w:t xml:space="preserve"> </w:t>
      </w:r>
      <w:r w:rsidRPr="003618E2">
        <w:rPr>
          <w:lang w:val="es-ES"/>
        </w:rPr>
        <w:t>capacidad</w:t>
      </w:r>
      <w:r w:rsidR="00D136BB">
        <w:rPr>
          <w:lang w:val="es-ES"/>
        </w:rPr>
        <w:t xml:space="preserve"> </w:t>
      </w:r>
      <w:r w:rsidRPr="003618E2">
        <w:rPr>
          <w:lang w:val="es-ES"/>
        </w:rPr>
        <w:t>para</w:t>
      </w:r>
      <w:r w:rsidR="00D136BB">
        <w:rPr>
          <w:lang w:val="es-ES"/>
        </w:rPr>
        <w:t xml:space="preserve"> </w:t>
      </w:r>
      <w:r w:rsidRPr="003618E2">
        <w:rPr>
          <w:lang w:val="es-ES"/>
        </w:rPr>
        <w:t>brindar</w:t>
      </w:r>
      <w:r w:rsidR="00D136BB">
        <w:rPr>
          <w:lang w:val="es-ES"/>
        </w:rPr>
        <w:t xml:space="preserve"> </w:t>
      </w:r>
      <w:r w:rsidRPr="003618E2">
        <w:rPr>
          <w:lang w:val="es-ES"/>
        </w:rPr>
        <w:t>servicios</w:t>
      </w:r>
      <w:r w:rsidR="00D136BB">
        <w:rPr>
          <w:lang w:val="es-ES"/>
        </w:rPr>
        <w:t xml:space="preserve"> </w:t>
      </w:r>
      <w:r w:rsidRPr="003618E2">
        <w:rPr>
          <w:lang w:val="es-ES"/>
        </w:rPr>
        <w:t>con</w:t>
      </w:r>
      <w:r w:rsidR="00D136BB">
        <w:rPr>
          <w:lang w:val="es-ES"/>
        </w:rPr>
        <w:t xml:space="preserve"> </w:t>
      </w:r>
      <w:r w:rsidRPr="003618E2">
        <w:rPr>
          <w:lang w:val="es-ES"/>
        </w:rPr>
        <w:t>técnicas</w:t>
      </w:r>
      <w:r w:rsidR="00D136BB">
        <w:rPr>
          <w:lang w:val="es-ES"/>
        </w:rPr>
        <w:t xml:space="preserve"> </w:t>
      </w:r>
      <w:r w:rsidRPr="003618E2">
        <w:rPr>
          <w:lang w:val="es-ES"/>
        </w:rPr>
        <w:t>nucleares</w:t>
      </w:r>
      <w:r w:rsidR="00D136BB">
        <w:rPr>
          <w:lang w:val="es-ES"/>
        </w:rPr>
        <w:t xml:space="preserve"> </w:t>
      </w:r>
      <w:r w:rsidRPr="003618E2">
        <w:rPr>
          <w:lang w:val="es-ES"/>
        </w:rPr>
        <w:t>a</w:t>
      </w:r>
      <w:r w:rsidR="00D136BB">
        <w:rPr>
          <w:lang w:val="es-ES"/>
        </w:rPr>
        <w:t xml:space="preserve"> </w:t>
      </w:r>
      <w:r w:rsidRPr="003618E2">
        <w:rPr>
          <w:lang w:val="es-ES"/>
        </w:rPr>
        <w:t>la</w:t>
      </w:r>
      <w:r w:rsidR="00D136BB">
        <w:rPr>
          <w:lang w:val="es-ES"/>
        </w:rPr>
        <w:t xml:space="preserve"> </w:t>
      </w:r>
      <w:r w:rsidRPr="003618E2">
        <w:rPr>
          <w:lang w:val="es-ES"/>
        </w:rPr>
        <w:t>industria.</w:t>
      </w:r>
    </w:p>
    <w:p w14:paraId="3C2EF93B" w14:textId="4C0ADD93" w:rsidR="006D362C" w:rsidRPr="003618E2" w:rsidRDefault="006D362C" w:rsidP="006D362C">
      <w:pPr>
        <w:pStyle w:val="BodyText"/>
        <w:rPr>
          <w:b/>
          <w:lang w:val="fr-FR"/>
        </w:rPr>
      </w:pPr>
      <w:r w:rsidRPr="006C45C9">
        <w:rPr>
          <w:b/>
          <w:lang w:val="pt-BR"/>
        </w:rPr>
        <w:t>Recursos</w:t>
      </w:r>
      <w:r w:rsidR="00D136BB">
        <w:rPr>
          <w:b/>
          <w:lang w:val="pt-BR"/>
        </w:rPr>
        <w:t xml:space="preserve"> </w:t>
      </w:r>
      <w:r w:rsidRPr="006C45C9">
        <w:rPr>
          <w:b/>
          <w:lang w:val="pt-BR"/>
        </w:rPr>
        <w:t>naturales</w:t>
      </w:r>
      <w:r w:rsidR="00D136BB">
        <w:rPr>
          <w:b/>
          <w:lang w:val="pt-BR"/>
        </w:rPr>
        <w:t xml:space="preserve"> </w:t>
      </w:r>
      <w:r w:rsidRPr="003618E2">
        <w:rPr>
          <w:b/>
          <w:lang w:val="fr-FR"/>
        </w:rPr>
        <w:t>(PR,</w:t>
      </w:r>
      <w:r w:rsidR="00D136BB">
        <w:rPr>
          <w:b/>
          <w:lang w:val="fr-FR"/>
        </w:rPr>
        <w:t xml:space="preserve"> </w:t>
      </w:r>
      <w:r w:rsidRPr="003618E2">
        <w:rPr>
          <w:b/>
          <w:lang w:val="fr-FR"/>
        </w:rPr>
        <w:t>T,</w:t>
      </w:r>
      <w:r w:rsidR="00D136BB">
        <w:rPr>
          <w:b/>
          <w:lang w:val="fr-FR"/>
        </w:rPr>
        <w:t xml:space="preserve"> </w:t>
      </w:r>
      <w:r w:rsidRPr="003618E2">
        <w:rPr>
          <w:b/>
          <w:lang w:val="fr-FR"/>
        </w:rPr>
        <w:t>SCN)</w:t>
      </w:r>
    </w:p>
    <w:p w14:paraId="711C200D" w14:textId="2FB35A16" w:rsidR="006D362C" w:rsidRPr="003618E2" w:rsidRDefault="006D362C" w:rsidP="006D362C">
      <w:pPr>
        <w:pStyle w:val="BodyText"/>
        <w:numPr>
          <w:ilvl w:val="0"/>
          <w:numId w:val="30"/>
        </w:numPr>
        <w:rPr>
          <w:lang w:val="es-ES"/>
        </w:rPr>
      </w:pPr>
      <w:r w:rsidRPr="003618E2">
        <w:rPr>
          <w:lang w:val="es-ES"/>
        </w:rPr>
        <w:lastRenderedPageBreak/>
        <w:t>La</w:t>
      </w:r>
      <w:r w:rsidR="00D136BB">
        <w:rPr>
          <w:lang w:val="es-ES"/>
        </w:rPr>
        <w:t xml:space="preserve"> </w:t>
      </w:r>
      <w:r w:rsidRPr="003618E2">
        <w:rPr>
          <w:lang w:val="es-ES"/>
        </w:rPr>
        <w:t>región</w:t>
      </w:r>
      <w:r w:rsidR="00D136BB">
        <w:rPr>
          <w:lang w:val="es-ES"/>
        </w:rPr>
        <w:t xml:space="preserve"> </w:t>
      </w:r>
      <w:r w:rsidRPr="003618E2">
        <w:rPr>
          <w:lang w:val="es-ES"/>
        </w:rPr>
        <w:t>es</w:t>
      </w:r>
      <w:r w:rsidR="00D136BB">
        <w:rPr>
          <w:lang w:val="es-ES"/>
        </w:rPr>
        <w:t xml:space="preserve"> </w:t>
      </w:r>
      <w:r w:rsidRPr="003618E2">
        <w:rPr>
          <w:lang w:val="es-ES"/>
        </w:rPr>
        <w:t>rica</w:t>
      </w:r>
      <w:r w:rsidR="00D136BB">
        <w:rPr>
          <w:lang w:val="es-ES"/>
        </w:rPr>
        <w:t xml:space="preserve"> </w:t>
      </w:r>
      <w:r w:rsidRPr="003618E2">
        <w:rPr>
          <w:lang w:val="es-ES"/>
        </w:rPr>
        <w:t>en</w:t>
      </w:r>
      <w:r w:rsidR="00D136BB">
        <w:rPr>
          <w:lang w:val="es-ES"/>
        </w:rPr>
        <w:t xml:space="preserve"> </w:t>
      </w:r>
      <w:r w:rsidRPr="003618E2">
        <w:rPr>
          <w:lang w:val="es-ES"/>
        </w:rPr>
        <w:t>recursos</w:t>
      </w:r>
      <w:r w:rsidR="00D136BB">
        <w:rPr>
          <w:lang w:val="es-ES"/>
        </w:rPr>
        <w:t xml:space="preserve"> </w:t>
      </w:r>
      <w:r w:rsidRPr="003618E2">
        <w:rPr>
          <w:lang w:val="es-ES"/>
        </w:rPr>
        <w:t>naturales</w:t>
      </w:r>
      <w:r w:rsidR="00D136BB">
        <w:rPr>
          <w:lang w:val="es-ES"/>
        </w:rPr>
        <w:t xml:space="preserve"> </w:t>
      </w:r>
      <w:r w:rsidRPr="003618E2">
        <w:rPr>
          <w:lang w:val="es-ES"/>
        </w:rPr>
        <w:t>(agricultura,</w:t>
      </w:r>
      <w:r w:rsidR="00D136BB">
        <w:rPr>
          <w:lang w:val="es-ES"/>
        </w:rPr>
        <w:t xml:space="preserve"> </w:t>
      </w:r>
      <w:r w:rsidRPr="003618E2">
        <w:rPr>
          <w:lang w:val="es-ES"/>
        </w:rPr>
        <w:t>productos</w:t>
      </w:r>
      <w:r w:rsidR="00D136BB">
        <w:rPr>
          <w:lang w:val="es-ES"/>
        </w:rPr>
        <w:t xml:space="preserve"> </w:t>
      </w:r>
      <w:r w:rsidRPr="003618E2">
        <w:rPr>
          <w:lang w:val="es-ES"/>
        </w:rPr>
        <w:t>marinos,</w:t>
      </w:r>
      <w:r w:rsidR="00D136BB">
        <w:rPr>
          <w:lang w:val="es-ES"/>
        </w:rPr>
        <w:t xml:space="preserve"> </w:t>
      </w:r>
      <w:r w:rsidRPr="003618E2">
        <w:rPr>
          <w:lang w:val="es-ES"/>
        </w:rPr>
        <w:t>minerales,</w:t>
      </w:r>
      <w:r w:rsidR="00D136BB">
        <w:rPr>
          <w:lang w:val="es-ES"/>
        </w:rPr>
        <w:t xml:space="preserve"> </w:t>
      </w:r>
      <w:r w:rsidRPr="003618E2">
        <w:rPr>
          <w:lang w:val="es-ES"/>
        </w:rPr>
        <w:t>hidrocarburos).</w:t>
      </w:r>
    </w:p>
    <w:p w14:paraId="5F0687D6" w14:textId="42D91123" w:rsidR="006D362C" w:rsidRPr="003618E2" w:rsidRDefault="006D362C" w:rsidP="006D362C">
      <w:pPr>
        <w:pStyle w:val="BodyText"/>
        <w:numPr>
          <w:ilvl w:val="0"/>
          <w:numId w:val="30"/>
        </w:numPr>
        <w:rPr>
          <w:lang w:val="es-ES"/>
        </w:rPr>
      </w:pPr>
      <w:r w:rsidRPr="003618E2">
        <w:rPr>
          <w:lang w:val="es-ES"/>
        </w:rPr>
        <w:t>Existen</w:t>
      </w:r>
      <w:r w:rsidR="00D136BB">
        <w:rPr>
          <w:lang w:val="es-ES"/>
        </w:rPr>
        <w:t xml:space="preserve"> </w:t>
      </w:r>
      <w:r w:rsidRPr="003618E2">
        <w:rPr>
          <w:lang w:val="es-ES"/>
        </w:rPr>
        <w:t>tecnologías</w:t>
      </w:r>
      <w:r w:rsidR="00D136BB">
        <w:rPr>
          <w:lang w:val="es-ES"/>
        </w:rPr>
        <w:t xml:space="preserve"> </w:t>
      </w:r>
      <w:r w:rsidRPr="003618E2">
        <w:rPr>
          <w:lang w:val="es-ES"/>
        </w:rPr>
        <w:t>nucleares</w:t>
      </w:r>
      <w:r w:rsidR="00D136BB">
        <w:rPr>
          <w:lang w:val="es-ES"/>
        </w:rPr>
        <w:t xml:space="preserve"> </w:t>
      </w:r>
      <w:r w:rsidRPr="003618E2">
        <w:rPr>
          <w:lang w:val="es-ES"/>
        </w:rPr>
        <w:t>disponibles</w:t>
      </w:r>
      <w:r w:rsidR="00D136BB">
        <w:rPr>
          <w:lang w:val="es-ES"/>
        </w:rPr>
        <w:t xml:space="preserve"> </w:t>
      </w:r>
      <w:r w:rsidRPr="003618E2">
        <w:rPr>
          <w:lang w:val="es-ES"/>
        </w:rPr>
        <w:t>y</w:t>
      </w:r>
      <w:r w:rsidR="00D136BB">
        <w:rPr>
          <w:lang w:val="es-ES"/>
        </w:rPr>
        <w:t xml:space="preserve"> </w:t>
      </w:r>
      <w:r w:rsidRPr="003618E2">
        <w:rPr>
          <w:lang w:val="es-ES"/>
        </w:rPr>
        <w:t>no</w:t>
      </w:r>
      <w:r w:rsidR="00D136BB">
        <w:rPr>
          <w:lang w:val="es-ES"/>
        </w:rPr>
        <w:t xml:space="preserve"> </w:t>
      </w:r>
      <w:r w:rsidRPr="003618E2">
        <w:rPr>
          <w:lang w:val="es-ES"/>
        </w:rPr>
        <w:t>generan</w:t>
      </w:r>
      <w:r w:rsidR="00D136BB">
        <w:rPr>
          <w:lang w:val="es-ES"/>
        </w:rPr>
        <w:t xml:space="preserve"> </w:t>
      </w:r>
      <w:r w:rsidRPr="003618E2">
        <w:rPr>
          <w:lang w:val="es-ES"/>
        </w:rPr>
        <w:t>residuos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p>
    <w:p w14:paraId="1895F2FD" w14:textId="0B13AE3B" w:rsidR="006D362C" w:rsidRPr="003618E2" w:rsidRDefault="006D362C" w:rsidP="006D362C">
      <w:pPr>
        <w:pStyle w:val="BodyText"/>
        <w:numPr>
          <w:ilvl w:val="0"/>
          <w:numId w:val="30"/>
        </w:numPr>
        <w:rPr>
          <w:lang w:val="es-ES"/>
        </w:rPr>
      </w:pP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permite</w:t>
      </w:r>
      <w:r w:rsidR="00D136BB">
        <w:rPr>
          <w:lang w:val="es-ES"/>
        </w:rPr>
        <w:t xml:space="preserve"> </w:t>
      </w:r>
      <w:r w:rsidRPr="003618E2">
        <w:rPr>
          <w:lang w:val="es-ES"/>
        </w:rPr>
        <w:t>transformar</w:t>
      </w:r>
      <w:r w:rsidR="00D136BB">
        <w:rPr>
          <w:lang w:val="es-ES"/>
        </w:rPr>
        <w:t xml:space="preserve"> </w:t>
      </w:r>
      <w:r w:rsidRPr="003618E2">
        <w:rPr>
          <w:lang w:val="es-ES"/>
        </w:rPr>
        <w:t>residuos</w:t>
      </w:r>
      <w:r w:rsidR="00D136BB">
        <w:rPr>
          <w:lang w:val="es-ES"/>
        </w:rPr>
        <w:t xml:space="preserve"> </w:t>
      </w:r>
      <w:r w:rsidRPr="003618E2">
        <w:rPr>
          <w:lang w:val="es-ES"/>
        </w:rPr>
        <w:t>en</w:t>
      </w:r>
      <w:r w:rsidR="00D136BB">
        <w:rPr>
          <w:lang w:val="es-ES"/>
        </w:rPr>
        <w:t xml:space="preserve"> </w:t>
      </w:r>
      <w:r w:rsidRPr="003618E2">
        <w:rPr>
          <w:lang w:val="es-ES"/>
        </w:rPr>
        <w:t>materiales</w:t>
      </w:r>
      <w:r w:rsidR="00D136BB">
        <w:rPr>
          <w:lang w:val="es-ES"/>
        </w:rPr>
        <w:t xml:space="preserve"> </w:t>
      </w:r>
      <w:r w:rsidRPr="003618E2">
        <w:rPr>
          <w:lang w:val="es-ES"/>
        </w:rPr>
        <w:t>útiles.</w:t>
      </w:r>
    </w:p>
    <w:p w14:paraId="4B978A02" w14:textId="35C58023" w:rsidR="006D362C" w:rsidRPr="003618E2" w:rsidRDefault="006D362C" w:rsidP="006D362C">
      <w:pPr>
        <w:pStyle w:val="BodyText"/>
        <w:rPr>
          <w:b/>
          <w:lang w:val="es-ES"/>
        </w:rPr>
      </w:pPr>
      <w:r w:rsidRPr="003618E2">
        <w:rPr>
          <w:b/>
          <w:lang w:val="es-ES"/>
        </w:rPr>
        <w:t>Tecnologías</w:t>
      </w:r>
      <w:r w:rsidR="00D136BB">
        <w:rPr>
          <w:b/>
          <w:lang w:val="es-ES"/>
        </w:rPr>
        <w:t xml:space="preserve"> </w:t>
      </w:r>
      <w:r w:rsidRPr="003618E2">
        <w:rPr>
          <w:b/>
          <w:lang w:val="es-ES"/>
        </w:rPr>
        <w:t>de</w:t>
      </w:r>
      <w:r w:rsidR="00D136BB">
        <w:rPr>
          <w:b/>
          <w:lang w:val="es-ES"/>
        </w:rPr>
        <w:t xml:space="preserve"> </w:t>
      </w:r>
      <w:r w:rsidRPr="003618E2">
        <w:rPr>
          <w:b/>
          <w:lang w:val="es-ES"/>
        </w:rPr>
        <w:t>inspección</w:t>
      </w:r>
      <w:r w:rsidR="00D136BB">
        <w:rPr>
          <w:b/>
          <w:lang w:val="es-ES"/>
        </w:rPr>
        <w:t xml:space="preserve"> </w:t>
      </w:r>
      <w:r w:rsidRPr="003618E2">
        <w:rPr>
          <w:b/>
          <w:lang w:val="es-ES"/>
        </w:rPr>
        <w:t>(END,</w:t>
      </w:r>
      <w:r w:rsidR="00D136BB">
        <w:rPr>
          <w:b/>
          <w:lang w:val="es-ES"/>
        </w:rPr>
        <w:t xml:space="preserve"> </w:t>
      </w:r>
      <w:r w:rsidRPr="003618E2">
        <w:rPr>
          <w:b/>
          <w:lang w:val="es-ES"/>
        </w:rPr>
        <w:t>SCN)</w:t>
      </w:r>
    </w:p>
    <w:p w14:paraId="0F964E1D" w14:textId="54F11E0A" w:rsidR="006D362C" w:rsidRPr="003618E2" w:rsidRDefault="006D362C" w:rsidP="006D362C">
      <w:pPr>
        <w:pStyle w:val="BodyText"/>
        <w:numPr>
          <w:ilvl w:val="0"/>
          <w:numId w:val="30"/>
        </w:numPr>
        <w:rPr>
          <w:lang w:val="es-ES"/>
        </w:rPr>
      </w:pPr>
      <w:r w:rsidRPr="003618E2">
        <w:rPr>
          <w:lang w:val="es-ES"/>
        </w:rPr>
        <w:t>Existen</w:t>
      </w:r>
      <w:r w:rsidR="00D136BB">
        <w:rPr>
          <w:lang w:val="es-ES"/>
        </w:rPr>
        <w:t xml:space="preserve"> </w:t>
      </w:r>
      <w:r w:rsidRPr="003618E2">
        <w:rPr>
          <w:lang w:val="es-ES"/>
        </w:rPr>
        <w:t>4</w:t>
      </w:r>
      <w:r w:rsidR="00D136BB">
        <w:rPr>
          <w:lang w:val="es-ES"/>
        </w:rPr>
        <w:t xml:space="preserve"> </w:t>
      </w:r>
      <w:r w:rsidRPr="003618E2">
        <w:rPr>
          <w:lang w:val="es-ES"/>
        </w:rPr>
        <w:t>centros</w:t>
      </w:r>
      <w:r w:rsidR="00D136BB">
        <w:rPr>
          <w:lang w:val="es-ES"/>
        </w:rPr>
        <w:t xml:space="preserve"> </w:t>
      </w:r>
      <w:r w:rsidRPr="003618E2">
        <w:rPr>
          <w:lang w:val="es-ES"/>
        </w:rPr>
        <w:t>de</w:t>
      </w:r>
      <w:r w:rsidR="00D136BB">
        <w:rPr>
          <w:lang w:val="es-ES"/>
        </w:rPr>
        <w:t xml:space="preserve"> </w:t>
      </w:r>
      <w:r w:rsidRPr="003618E2">
        <w:rPr>
          <w:lang w:val="es-ES"/>
        </w:rPr>
        <w:t>referencia</w:t>
      </w:r>
      <w:r w:rsidR="00D136BB">
        <w:rPr>
          <w:lang w:val="es-ES"/>
        </w:rPr>
        <w:t xml:space="preserve"> </w:t>
      </w:r>
      <w:r w:rsidRPr="003618E2">
        <w:rPr>
          <w:lang w:val="es-ES"/>
        </w:rPr>
        <w:t>equipados</w:t>
      </w:r>
      <w:r w:rsidR="00D136BB">
        <w:rPr>
          <w:lang w:val="es-ES"/>
        </w:rPr>
        <w:t xml:space="preserve"> </w:t>
      </w:r>
      <w:r w:rsidRPr="003618E2">
        <w:rPr>
          <w:lang w:val="es-ES"/>
        </w:rPr>
        <w:t>en</w:t>
      </w:r>
      <w:r w:rsidR="00D136BB">
        <w:rPr>
          <w:lang w:val="es-ES"/>
        </w:rPr>
        <w:t xml:space="preserve"> </w:t>
      </w:r>
      <w:r w:rsidRPr="003618E2">
        <w:rPr>
          <w:lang w:val="es-ES"/>
        </w:rPr>
        <w:t>END</w:t>
      </w:r>
      <w:r w:rsidR="00D136BB">
        <w:rPr>
          <w:lang w:val="es-ES"/>
        </w:rPr>
        <w:t xml:space="preserve"> </w:t>
      </w:r>
      <w:r w:rsidRPr="003618E2">
        <w:rPr>
          <w:lang w:val="es-ES"/>
        </w:rPr>
        <w:t>(estructuras</w:t>
      </w:r>
      <w:r w:rsidR="00D136BB">
        <w:rPr>
          <w:lang w:val="es-ES"/>
        </w:rPr>
        <w:t xml:space="preserve"> </w:t>
      </w:r>
      <w:r w:rsidRPr="003618E2">
        <w:rPr>
          <w:lang w:val="es-ES"/>
        </w:rPr>
        <w:t>civiles)</w:t>
      </w:r>
      <w:r w:rsidR="00D136BB">
        <w:rPr>
          <w:lang w:val="es-ES"/>
        </w:rPr>
        <w:t xml:space="preserve"> </w:t>
      </w:r>
      <w:r w:rsidRPr="003618E2">
        <w:rPr>
          <w:lang w:val="es-ES"/>
        </w:rPr>
        <w:t>para</w:t>
      </w:r>
      <w:r w:rsidR="00D136BB">
        <w:rPr>
          <w:lang w:val="es-ES"/>
        </w:rPr>
        <w:t xml:space="preserve"> </w:t>
      </w:r>
      <w:r w:rsidRPr="003618E2">
        <w:rPr>
          <w:lang w:val="es-ES"/>
        </w:rPr>
        <w:t>calificación</w:t>
      </w:r>
      <w:r w:rsidR="00D136BB">
        <w:rPr>
          <w:lang w:val="es-ES"/>
        </w:rPr>
        <w:t xml:space="preserve"> </w:t>
      </w:r>
      <w:r w:rsidRPr="003618E2">
        <w:rPr>
          <w:lang w:val="es-ES"/>
        </w:rPr>
        <w:t>de</w:t>
      </w:r>
      <w:r w:rsidR="00D136BB">
        <w:rPr>
          <w:lang w:val="es-ES"/>
        </w:rPr>
        <w:t xml:space="preserve"> </w:t>
      </w:r>
      <w:r w:rsidRPr="003618E2">
        <w:rPr>
          <w:lang w:val="es-ES"/>
        </w:rPr>
        <w:t>personal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con</w:t>
      </w:r>
      <w:r w:rsidR="00D136BB">
        <w:rPr>
          <w:lang w:val="es-ES"/>
        </w:rPr>
        <w:t xml:space="preserve"> </w:t>
      </w:r>
      <w:r w:rsidRPr="003618E2">
        <w:rPr>
          <w:lang w:val="es-ES"/>
        </w:rPr>
        <w:t>esta</w:t>
      </w:r>
      <w:r w:rsidR="00D136BB">
        <w:rPr>
          <w:lang w:val="es-ES"/>
        </w:rPr>
        <w:t xml:space="preserve"> </w:t>
      </w:r>
      <w:r w:rsidRPr="003618E2">
        <w:rPr>
          <w:lang w:val="es-ES"/>
        </w:rPr>
        <w:t>técnica.</w:t>
      </w:r>
    </w:p>
    <w:p w14:paraId="143F6AC8" w14:textId="272844AF" w:rsidR="006D362C" w:rsidRPr="003618E2" w:rsidRDefault="006D362C" w:rsidP="006D362C">
      <w:pPr>
        <w:pStyle w:val="BodyText"/>
        <w:numPr>
          <w:ilvl w:val="0"/>
          <w:numId w:val="30"/>
        </w:numPr>
        <w:rPr>
          <w:lang w:val="es-ES"/>
        </w:rPr>
      </w:pPr>
      <w:r w:rsidRPr="003618E2">
        <w:rPr>
          <w:lang w:val="es-ES"/>
        </w:rPr>
        <w:t>Estas</w:t>
      </w:r>
      <w:r w:rsidR="00D136BB">
        <w:rPr>
          <w:lang w:val="es-ES"/>
        </w:rPr>
        <w:t xml:space="preserve"> </w:t>
      </w:r>
      <w:r w:rsidRPr="003618E2">
        <w:rPr>
          <w:lang w:val="es-ES"/>
        </w:rPr>
        <w:t>técnicas</w:t>
      </w:r>
      <w:r w:rsidR="00D136BB">
        <w:rPr>
          <w:lang w:val="es-ES"/>
        </w:rPr>
        <w:t xml:space="preserve"> </w:t>
      </w:r>
      <w:r w:rsidRPr="003618E2">
        <w:rPr>
          <w:lang w:val="es-ES"/>
        </w:rPr>
        <w:t>contribuyen</w:t>
      </w:r>
      <w:r w:rsidR="00D136BB">
        <w:rPr>
          <w:lang w:val="es-ES"/>
        </w:rPr>
        <w:t xml:space="preserve"> </w:t>
      </w:r>
      <w:r w:rsidRPr="003618E2">
        <w:rPr>
          <w:lang w:val="es-ES"/>
        </w:rPr>
        <w:t>a</w:t>
      </w:r>
      <w:r w:rsidR="00D136BB">
        <w:rPr>
          <w:lang w:val="es-ES"/>
        </w:rPr>
        <w:t xml:space="preserve"> </w:t>
      </w:r>
      <w:r w:rsidRPr="003618E2">
        <w:rPr>
          <w:lang w:val="es-ES"/>
        </w:rPr>
        <w:t>mejorar</w:t>
      </w:r>
      <w:r w:rsidR="00D136BB">
        <w:rPr>
          <w:lang w:val="es-ES"/>
        </w:rPr>
        <w:t xml:space="preserve"> </w:t>
      </w:r>
      <w:r w:rsidRPr="003618E2">
        <w:rPr>
          <w:lang w:val="es-ES"/>
        </w:rPr>
        <w:t>la</w:t>
      </w:r>
      <w:r w:rsidR="00D136BB">
        <w:rPr>
          <w:lang w:val="es-ES"/>
        </w:rPr>
        <w:t xml:space="preserve"> </w:t>
      </w:r>
      <w:r w:rsidRPr="003618E2">
        <w:rPr>
          <w:lang w:val="es-ES"/>
        </w:rPr>
        <w:t>calidad</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productos,</w:t>
      </w:r>
      <w:r w:rsidR="00D136BB">
        <w:rPr>
          <w:lang w:val="es-ES"/>
        </w:rPr>
        <w:t xml:space="preserve"> </w:t>
      </w:r>
      <w:r w:rsidRPr="003618E2">
        <w:rPr>
          <w:lang w:val="es-ES"/>
        </w:rPr>
        <w:t>la</w:t>
      </w:r>
      <w:r w:rsidR="00D136BB">
        <w:rPr>
          <w:lang w:val="es-ES"/>
        </w:rPr>
        <w:t xml:space="preserve"> </w:t>
      </w:r>
      <w:r w:rsidRPr="003618E2">
        <w:rPr>
          <w:lang w:val="es-ES"/>
        </w:rPr>
        <w:t>seguridad</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equipos</w:t>
      </w:r>
      <w:r w:rsidR="00D136BB">
        <w:rPr>
          <w:lang w:val="es-ES"/>
        </w:rPr>
        <w:t xml:space="preserve"> </w:t>
      </w:r>
      <w:r w:rsidRPr="003618E2">
        <w:rPr>
          <w:lang w:val="es-ES"/>
        </w:rPr>
        <w:t>e</w:t>
      </w:r>
      <w:r w:rsidR="00D136BB">
        <w:rPr>
          <w:lang w:val="es-ES"/>
        </w:rPr>
        <w:t xml:space="preserve"> </w:t>
      </w:r>
      <w:r w:rsidRPr="003618E2">
        <w:rPr>
          <w:lang w:val="es-ES"/>
        </w:rPr>
        <w:t>instalaciones</w:t>
      </w:r>
      <w:r w:rsidR="00D136BB">
        <w:rPr>
          <w:lang w:val="es-ES"/>
        </w:rPr>
        <w:t xml:space="preserve"> </w:t>
      </w:r>
      <w:r w:rsidRPr="003618E2">
        <w:rPr>
          <w:lang w:val="es-ES"/>
        </w:rPr>
        <w:t>industriales.</w:t>
      </w:r>
    </w:p>
    <w:p w14:paraId="5FF02FA1" w14:textId="599E8F6B" w:rsidR="006D362C" w:rsidRPr="003618E2" w:rsidRDefault="006D362C" w:rsidP="006D362C">
      <w:pPr>
        <w:pStyle w:val="BodyText"/>
        <w:numPr>
          <w:ilvl w:val="0"/>
          <w:numId w:val="30"/>
        </w:numPr>
        <w:rPr>
          <w:lang w:val="es-ES"/>
        </w:rPr>
      </w:pPr>
      <w:r w:rsidRPr="003618E2">
        <w:rPr>
          <w:lang w:val="es-ES"/>
        </w:rPr>
        <w:t>Alta</w:t>
      </w:r>
      <w:r w:rsidR="00D136BB">
        <w:rPr>
          <w:lang w:val="es-ES"/>
        </w:rPr>
        <w:t xml:space="preserve"> </w:t>
      </w:r>
      <w:r w:rsidRPr="003618E2">
        <w:rPr>
          <w:lang w:val="es-ES"/>
        </w:rPr>
        <w:t>relación</w:t>
      </w:r>
      <w:r w:rsidR="00D136BB">
        <w:rPr>
          <w:lang w:val="es-ES"/>
        </w:rPr>
        <w:t xml:space="preserve"> </w:t>
      </w:r>
      <w:r w:rsidRPr="003618E2">
        <w:rPr>
          <w:lang w:val="es-ES"/>
        </w:rPr>
        <w:t>costo-beneficio.</w:t>
      </w:r>
    </w:p>
    <w:p w14:paraId="1C601D70" w14:textId="2F76F371" w:rsidR="006D362C" w:rsidRPr="003618E2" w:rsidRDefault="006D362C" w:rsidP="006D362C">
      <w:pPr>
        <w:pStyle w:val="BodyText"/>
        <w:numPr>
          <w:ilvl w:val="0"/>
          <w:numId w:val="30"/>
        </w:numPr>
        <w:rPr>
          <w:lang w:val="es-ES"/>
        </w:rPr>
      </w:pPr>
      <w:r w:rsidRPr="003618E2">
        <w:rPr>
          <w:lang w:val="es-ES"/>
        </w:rPr>
        <w:t>Existen</w:t>
      </w:r>
      <w:r w:rsidR="00D136BB">
        <w:rPr>
          <w:lang w:val="es-ES"/>
        </w:rPr>
        <w:t xml:space="preserve"> </w:t>
      </w:r>
      <w:r w:rsidRPr="003618E2">
        <w:rPr>
          <w:lang w:val="es-ES"/>
        </w:rPr>
        <w:t>empresas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estos</w:t>
      </w:r>
      <w:r w:rsidR="00D136BB">
        <w:rPr>
          <w:lang w:val="es-ES"/>
        </w:rPr>
        <w:t xml:space="preserve"> </w:t>
      </w:r>
      <w:r w:rsidRPr="003618E2">
        <w:rPr>
          <w:lang w:val="es-ES"/>
        </w:rPr>
        <w:t>servicios.</w:t>
      </w:r>
    </w:p>
    <w:p w14:paraId="2E562562" w14:textId="543B3E8E" w:rsidR="006D362C" w:rsidRPr="003618E2" w:rsidRDefault="006D362C" w:rsidP="006D362C">
      <w:pPr>
        <w:pStyle w:val="BodyText"/>
        <w:rPr>
          <w:b/>
          <w:bCs/>
          <w:lang w:val="es-MX"/>
        </w:rPr>
      </w:pPr>
      <w:r w:rsidRPr="003618E2">
        <w:rPr>
          <w:b/>
          <w:bCs/>
          <w:lang w:val="es-MX"/>
        </w:rPr>
        <w:t>2.</w:t>
      </w:r>
      <w:r w:rsidR="00D136BB">
        <w:rPr>
          <w:b/>
          <w:bCs/>
          <w:lang w:val="es-MX"/>
        </w:rPr>
        <w:t xml:space="preserve"> </w:t>
      </w:r>
      <w:r w:rsidRPr="003618E2">
        <w:rPr>
          <w:b/>
          <w:bCs/>
          <w:lang w:val="es-MX"/>
        </w:rPr>
        <w:t>Debilidades</w:t>
      </w:r>
      <w:r w:rsidR="00D136BB">
        <w:rPr>
          <w:b/>
          <w:bCs/>
          <w:lang w:val="es-MX"/>
        </w:rPr>
        <w:t xml:space="preserve"> </w:t>
      </w:r>
    </w:p>
    <w:p w14:paraId="39E4F652" w14:textId="7573FFA8" w:rsidR="006D362C" w:rsidRPr="003618E2" w:rsidRDefault="006D362C" w:rsidP="006D362C">
      <w:pPr>
        <w:pStyle w:val="BodyText"/>
        <w:rPr>
          <w:b/>
        </w:rPr>
      </w:pPr>
      <w:r w:rsidRPr="003618E2">
        <w:rPr>
          <w:b/>
        </w:rPr>
        <w:t>Agua</w:t>
      </w:r>
      <w:r w:rsidR="00D136BB">
        <w:rPr>
          <w:b/>
        </w:rPr>
        <w:t xml:space="preserve"> </w:t>
      </w:r>
      <w:r w:rsidRPr="003618E2">
        <w:rPr>
          <w:b/>
        </w:rPr>
        <w:t>(PR,</w:t>
      </w:r>
      <w:r w:rsidR="00D136BB">
        <w:rPr>
          <w:b/>
        </w:rPr>
        <w:t xml:space="preserve"> </w:t>
      </w:r>
      <w:r w:rsidRPr="003618E2">
        <w:rPr>
          <w:b/>
        </w:rPr>
        <w:t>T)</w:t>
      </w:r>
    </w:p>
    <w:p w14:paraId="1FCA79D6" w14:textId="0EB92721" w:rsidR="006D362C" w:rsidRPr="003618E2" w:rsidRDefault="006D362C" w:rsidP="006D362C">
      <w:pPr>
        <w:pStyle w:val="BodyText"/>
        <w:numPr>
          <w:ilvl w:val="0"/>
          <w:numId w:val="31"/>
        </w:numPr>
        <w:rPr>
          <w:lang w:val="es-ES"/>
        </w:rPr>
      </w:pPr>
      <w:r w:rsidRPr="003618E2">
        <w:rPr>
          <w:lang w:val="es-ES"/>
        </w:rPr>
        <w:t>Las</w:t>
      </w:r>
      <w:r w:rsidR="00D136BB">
        <w:rPr>
          <w:lang w:val="es-ES"/>
        </w:rPr>
        <w:t xml:space="preserve"> </w:t>
      </w:r>
      <w:r w:rsidRPr="003618E2">
        <w:rPr>
          <w:lang w:val="es-ES"/>
        </w:rPr>
        <w:t>mejoras</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aguas</w:t>
      </w:r>
      <w:r w:rsidR="00D136BB">
        <w:rPr>
          <w:lang w:val="es-ES"/>
        </w:rPr>
        <w:t xml:space="preserve"> </w:t>
      </w:r>
      <w:r w:rsidRPr="003618E2">
        <w:rPr>
          <w:lang w:val="es-ES"/>
        </w:rPr>
        <w:t>residuales</w:t>
      </w:r>
      <w:r w:rsidR="00D136BB">
        <w:rPr>
          <w:lang w:val="es-ES"/>
        </w:rPr>
        <w:t xml:space="preserve"> </w:t>
      </w:r>
      <w:r w:rsidRPr="003618E2">
        <w:rPr>
          <w:lang w:val="es-ES"/>
        </w:rPr>
        <w:t>no</w:t>
      </w:r>
      <w:r w:rsidR="00D136BB">
        <w:rPr>
          <w:lang w:val="es-ES"/>
        </w:rPr>
        <w:t xml:space="preserve"> </w:t>
      </w:r>
      <w:r w:rsidRPr="003618E2">
        <w:rPr>
          <w:lang w:val="es-ES"/>
        </w:rPr>
        <w:t>han</w:t>
      </w:r>
      <w:r w:rsidR="00D136BB">
        <w:rPr>
          <w:lang w:val="es-ES"/>
        </w:rPr>
        <w:t xml:space="preserve"> </w:t>
      </w:r>
      <w:r w:rsidRPr="003618E2">
        <w:rPr>
          <w:lang w:val="es-ES"/>
        </w:rPr>
        <w:t>acompañado</w:t>
      </w:r>
      <w:r w:rsidR="00D136BB">
        <w:rPr>
          <w:lang w:val="es-ES"/>
        </w:rPr>
        <w:t xml:space="preserve"> </w:t>
      </w:r>
      <w:r w:rsidRPr="003618E2">
        <w:rPr>
          <w:lang w:val="es-ES"/>
        </w:rPr>
        <w:t>la</w:t>
      </w:r>
      <w:r w:rsidR="00D136BB">
        <w:rPr>
          <w:lang w:val="es-ES"/>
        </w:rPr>
        <w:t xml:space="preserve"> </w:t>
      </w:r>
      <w:r w:rsidRPr="003618E2">
        <w:rPr>
          <w:lang w:val="es-ES"/>
        </w:rPr>
        <w:t>tasa</w:t>
      </w:r>
      <w:r w:rsidR="00D136BB">
        <w:rPr>
          <w:lang w:val="es-ES"/>
        </w:rPr>
        <w:t xml:space="preserve"> </w:t>
      </w:r>
      <w:r w:rsidRPr="003618E2">
        <w:rPr>
          <w:lang w:val="es-ES"/>
        </w:rPr>
        <w:t>de</w:t>
      </w:r>
      <w:r w:rsidR="00D136BB">
        <w:rPr>
          <w:lang w:val="es-ES"/>
        </w:rPr>
        <w:t xml:space="preserve"> </w:t>
      </w:r>
      <w:r w:rsidRPr="003618E2">
        <w:rPr>
          <w:lang w:val="es-ES"/>
        </w:rPr>
        <w:t>crecimiento</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población</w:t>
      </w:r>
      <w:r w:rsidR="00D136BB">
        <w:rPr>
          <w:lang w:val="es-ES"/>
        </w:rPr>
        <w:t xml:space="preserve"> </w:t>
      </w:r>
      <w:r w:rsidRPr="003618E2">
        <w:rPr>
          <w:lang w:val="es-ES"/>
        </w:rPr>
        <w:t>(ODS6).</w:t>
      </w:r>
    </w:p>
    <w:p w14:paraId="35B0DC9C" w14:textId="2163136A" w:rsidR="006D362C" w:rsidRPr="003618E2" w:rsidRDefault="006D362C" w:rsidP="006D362C">
      <w:pPr>
        <w:pStyle w:val="BodyText"/>
        <w:numPr>
          <w:ilvl w:val="0"/>
          <w:numId w:val="31"/>
        </w:numPr>
        <w:rPr>
          <w:lang w:val="es-ES"/>
        </w:rPr>
      </w:pPr>
      <w:r w:rsidRPr="003618E2">
        <w:rPr>
          <w:lang w:val="es-ES"/>
        </w:rPr>
        <w:t>La</w:t>
      </w:r>
      <w:r w:rsidR="00D136BB">
        <w:rPr>
          <w:lang w:val="es-ES"/>
        </w:rPr>
        <w:t xml:space="preserve"> </w:t>
      </w:r>
      <w:r w:rsidRPr="003618E2">
        <w:rPr>
          <w:lang w:val="es-ES"/>
        </w:rPr>
        <w:t>mayoría</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ríos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presentan</w:t>
      </w:r>
      <w:r w:rsidR="00D136BB">
        <w:rPr>
          <w:lang w:val="es-ES"/>
        </w:rPr>
        <w:t xml:space="preserve"> </w:t>
      </w:r>
      <w:r w:rsidRPr="003618E2">
        <w:rPr>
          <w:lang w:val="es-ES"/>
        </w:rPr>
        <w:t>mayor</w:t>
      </w:r>
      <w:r w:rsidR="00D136BB">
        <w:rPr>
          <w:lang w:val="es-ES"/>
        </w:rPr>
        <w:t xml:space="preserve"> </w:t>
      </w:r>
      <w:r w:rsidRPr="003618E2">
        <w:rPr>
          <w:lang w:val="es-ES"/>
        </w:rPr>
        <w:t>contaminación</w:t>
      </w:r>
      <w:r w:rsidR="00D136BB">
        <w:rPr>
          <w:lang w:val="es-ES"/>
        </w:rPr>
        <w:t xml:space="preserve"> </w:t>
      </w:r>
      <w:r w:rsidRPr="003618E2">
        <w:rPr>
          <w:lang w:val="es-ES"/>
        </w:rPr>
        <w:t>ahora</w:t>
      </w:r>
      <w:r w:rsidR="00D136BB">
        <w:rPr>
          <w:lang w:val="es-ES"/>
        </w:rPr>
        <w:t xml:space="preserve"> </w:t>
      </w:r>
      <w:r w:rsidRPr="003618E2">
        <w:rPr>
          <w:lang w:val="es-ES"/>
        </w:rPr>
        <w:t>que</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década</w:t>
      </w:r>
      <w:r w:rsidR="00D136BB">
        <w:rPr>
          <w:lang w:val="es-ES"/>
        </w:rPr>
        <w:t xml:space="preserve"> </w:t>
      </w:r>
      <w:r w:rsidRPr="003618E2">
        <w:rPr>
          <w:lang w:val="es-ES"/>
        </w:rPr>
        <w:t>de</w:t>
      </w:r>
      <w:r w:rsidR="00D136BB">
        <w:rPr>
          <w:lang w:val="es-ES"/>
        </w:rPr>
        <w:t xml:space="preserve"> </w:t>
      </w:r>
      <w:r w:rsidRPr="003618E2">
        <w:rPr>
          <w:lang w:val="es-ES"/>
        </w:rPr>
        <w:t>1990</w:t>
      </w:r>
      <w:r w:rsidR="00D136BB">
        <w:rPr>
          <w:lang w:val="es-ES"/>
        </w:rPr>
        <w:t xml:space="preserve"> </w:t>
      </w:r>
      <w:r w:rsidRPr="003618E2">
        <w:rPr>
          <w:lang w:val="es-ES"/>
        </w:rPr>
        <w:t>(ODS6).</w:t>
      </w:r>
    </w:p>
    <w:p w14:paraId="5D0C2CA7" w14:textId="2F55DBE9" w:rsidR="006D362C" w:rsidRPr="003618E2" w:rsidRDefault="006D362C" w:rsidP="006D362C">
      <w:pPr>
        <w:pStyle w:val="BodyText"/>
        <w:numPr>
          <w:ilvl w:val="0"/>
          <w:numId w:val="31"/>
        </w:numPr>
        <w:rPr>
          <w:lang w:val="es-ES"/>
        </w:rPr>
      </w:pPr>
      <w:r w:rsidRPr="003618E2">
        <w:rPr>
          <w:lang w:val="es-ES"/>
        </w:rPr>
        <w:t>Solo</w:t>
      </w:r>
      <w:r w:rsidR="00D136BB">
        <w:rPr>
          <w:lang w:val="es-ES"/>
        </w:rPr>
        <w:t xml:space="preserve"> </w:t>
      </w:r>
      <w:r w:rsidRPr="003618E2">
        <w:rPr>
          <w:lang w:val="es-ES"/>
        </w:rPr>
        <w:t>un</w:t>
      </w:r>
      <w:r w:rsidR="00D136BB">
        <w:rPr>
          <w:lang w:val="es-ES"/>
        </w:rPr>
        <w:t xml:space="preserve"> </w:t>
      </w:r>
      <w:r w:rsidRPr="003618E2">
        <w:rPr>
          <w:lang w:val="es-ES"/>
        </w:rPr>
        <w:t>país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tiene</w:t>
      </w:r>
      <w:r w:rsidR="00D136BB">
        <w:rPr>
          <w:lang w:val="es-ES"/>
        </w:rPr>
        <w:t xml:space="preserve"> </w:t>
      </w:r>
      <w:r w:rsidRPr="003618E2">
        <w:rPr>
          <w:lang w:val="es-ES"/>
        </w:rPr>
        <w:t>instalaciones</w:t>
      </w:r>
      <w:r w:rsidR="00D136BB">
        <w:rPr>
          <w:lang w:val="es-ES"/>
        </w:rPr>
        <w:t xml:space="preserve"> </w:t>
      </w:r>
      <w:r w:rsidRPr="003618E2">
        <w:rPr>
          <w:lang w:val="es-ES"/>
        </w:rPr>
        <w:t>para</w:t>
      </w:r>
      <w:r w:rsidR="00D136BB">
        <w:rPr>
          <w:lang w:val="es-ES"/>
        </w:rPr>
        <w:t xml:space="preserve"> </w:t>
      </w:r>
      <w:r w:rsidRPr="003618E2">
        <w:rPr>
          <w:lang w:val="es-ES"/>
        </w:rPr>
        <w:t>demostrar</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para</w:t>
      </w:r>
      <w:r w:rsidR="00D136BB">
        <w:rPr>
          <w:lang w:val="es-ES"/>
        </w:rPr>
        <w:t xml:space="preserve"> </w:t>
      </w: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agua.</w:t>
      </w:r>
    </w:p>
    <w:p w14:paraId="3719F6A8" w14:textId="3683DB96" w:rsidR="006D362C" w:rsidRPr="003618E2" w:rsidRDefault="006D362C" w:rsidP="006D362C">
      <w:pPr>
        <w:pStyle w:val="BodyText"/>
        <w:numPr>
          <w:ilvl w:val="0"/>
          <w:numId w:val="31"/>
        </w:numPr>
        <w:rPr>
          <w:lang w:val="es-ES"/>
        </w:rPr>
      </w:pPr>
      <w:r w:rsidRPr="003618E2">
        <w:rPr>
          <w:lang w:val="es-ES"/>
        </w:rPr>
        <w:t>Poca</w:t>
      </w:r>
      <w:r w:rsidR="00D136BB">
        <w:rPr>
          <w:lang w:val="es-ES"/>
        </w:rPr>
        <w:t xml:space="preserve"> </w:t>
      </w:r>
      <w:r w:rsidRPr="003618E2">
        <w:rPr>
          <w:lang w:val="es-ES"/>
        </w:rPr>
        <w:t>difusión</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costo</w:t>
      </w:r>
      <w:r w:rsidR="00D136BB">
        <w:rPr>
          <w:lang w:val="es-ES"/>
        </w:rPr>
        <w:t xml:space="preserve"> </w:t>
      </w:r>
      <w:r w:rsidRPr="003618E2">
        <w:rPr>
          <w:lang w:val="es-ES"/>
        </w:rPr>
        <w:t>de</w:t>
      </w:r>
      <w:r w:rsidR="00D136BB">
        <w:rPr>
          <w:lang w:val="es-ES"/>
        </w:rPr>
        <w:t xml:space="preserve"> </w:t>
      </w:r>
      <w:r w:rsidRPr="003618E2">
        <w:rPr>
          <w:lang w:val="es-ES"/>
        </w:rPr>
        <w:t>inversión</w:t>
      </w:r>
      <w:r w:rsidR="00D136BB">
        <w:rPr>
          <w:lang w:val="es-ES"/>
        </w:rPr>
        <w:t xml:space="preserve"> </w:t>
      </w:r>
      <w:r w:rsidRPr="003618E2">
        <w:rPr>
          <w:lang w:val="es-ES"/>
        </w:rPr>
        <w:t>inicial</w:t>
      </w:r>
      <w:r w:rsidR="00D136BB">
        <w:rPr>
          <w:lang w:val="es-ES"/>
        </w:rPr>
        <w:t xml:space="preserve"> </w:t>
      </w:r>
      <w:r w:rsidRPr="003618E2">
        <w:rPr>
          <w:lang w:val="es-ES"/>
        </w:rPr>
        <w:t>es</w:t>
      </w:r>
      <w:r w:rsidR="00D136BB">
        <w:rPr>
          <w:lang w:val="es-ES"/>
        </w:rPr>
        <w:t xml:space="preserve"> </w:t>
      </w:r>
      <w:r w:rsidRPr="003618E2">
        <w:rPr>
          <w:lang w:val="es-ES"/>
        </w:rPr>
        <w:t>elevada.</w:t>
      </w:r>
    </w:p>
    <w:p w14:paraId="7A186BC3" w14:textId="1201CF17" w:rsidR="006D362C" w:rsidRPr="003618E2" w:rsidRDefault="006D362C" w:rsidP="006D362C">
      <w:pPr>
        <w:pStyle w:val="BodyText"/>
        <w:numPr>
          <w:ilvl w:val="0"/>
          <w:numId w:val="31"/>
        </w:numPr>
        <w:rPr>
          <w:lang w:val="es-ES"/>
        </w:rPr>
      </w:pPr>
      <w:r w:rsidRPr="003618E2">
        <w:rPr>
          <w:lang w:val="es-ES"/>
        </w:rPr>
        <w:t>La</w:t>
      </w:r>
      <w:r w:rsidR="00D136BB">
        <w:rPr>
          <w:lang w:val="es-ES"/>
        </w:rPr>
        <w:t xml:space="preserve"> </w:t>
      </w:r>
      <w:r w:rsidRPr="003618E2">
        <w:rPr>
          <w:lang w:val="es-ES"/>
        </w:rPr>
        <w:t>información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actores</w:t>
      </w:r>
      <w:r w:rsidR="00D136BB">
        <w:rPr>
          <w:lang w:val="es-ES"/>
        </w:rPr>
        <w:t xml:space="preserve"> </w:t>
      </w:r>
      <w:r w:rsidRPr="003618E2">
        <w:rPr>
          <w:lang w:val="es-ES"/>
        </w:rPr>
        <w:t>potenciales</w:t>
      </w:r>
      <w:r w:rsidR="00D136BB">
        <w:rPr>
          <w:lang w:val="es-ES"/>
        </w:rPr>
        <w:t xml:space="preserve"> </w:t>
      </w:r>
      <w:r w:rsidRPr="003618E2">
        <w:rPr>
          <w:lang w:val="es-ES"/>
        </w:rPr>
        <w:t>en</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nucleares</w:t>
      </w:r>
      <w:r w:rsidR="00D136BB">
        <w:rPr>
          <w:lang w:val="es-ES"/>
        </w:rPr>
        <w:t xml:space="preserve"> </w:t>
      </w:r>
      <w:r w:rsidRPr="003618E2">
        <w:rPr>
          <w:lang w:val="es-ES"/>
        </w:rPr>
        <w:t>es</w:t>
      </w:r>
      <w:r w:rsidR="00D136BB">
        <w:rPr>
          <w:lang w:val="es-ES"/>
        </w:rPr>
        <w:t xml:space="preserve"> </w:t>
      </w:r>
      <w:r w:rsidRPr="003618E2">
        <w:rPr>
          <w:lang w:val="es-ES"/>
        </w:rPr>
        <w:t>limitada.</w:t>
      </w:r>
    </w:p>
    <w:p w14:paraId="15EB04CA" w14:textId="614694B8" w:rsidR="006D362C" w:rsidRPr="003618E2" w:rsidRDefault="006D362C" w:rsidP="006D362C">
      <w:pPr>
        <w:pStyle w:val="BodyText"/>
        <w:rPr>
          <w:b/>
          <w:lang w:val="es-ES"/>
        </w:rPr>
      </w:pPr>
      <w:r w:rsidRPr="003618E2">
        <w:rPr>
          <w:b/>
          <w:lang w:val="es-ES"/>
        </w:rPr>
        <w:t>Ambiente</w:t>
      </w:r>
      <w:r w:rsidR="00D136BB">
        <w:rPr>
          <w:b/>
          <w:lang w:val="es-ES"/>
        </w:rPr>
        <w:t xml:space="preserve"> </w:t>
      </w:r>
      <w:r w:rsidRPr="003618E2">
        <w:rPr>
          <w:b/>
          <w:lang w:val="es-ES"/>
        </w:rPr>
        <w:t>(TAN,</w:t>
      </w:r>
      <w:r w:rsidR="00D136BB">
        <w:rPr>
          <w:b/>
          <w:lang w:val="es-ES"/>
        </w:rPr>
        <w:t xml:space="preserve"> </w:t>
      </w:r>
      <w:r w:rsidRPr="003618E2">
        <w:rPr>
          <w:b/>
          <w:lang w:val="es-ES"/>
        </w:rPr>
        <w:t>PR,</w:t>
      </w:r>
      <w:r w:rsidR="00D136BB">
        <w:rPr>
          <w:b/>
          <w:lang w:val="es-ES"/>
        </w:rPr>
        <w:t xml:space="preserve"> </w:t>
      </w:r>
      <w:r w:rsidRPr="003618E2">
        <w:rPr>
          <w:b/>
          <w:lang w:val="es-ES"/>
        </w:rPr>
        <w:t>SCN)</w:t>
      </w:r>
    </w:p>
    <w:p w14:paraId="7423710D" w14:textId="0BD3CE47" w:rsidR="006D362C" w:rsidRPr="003618E2" w:rsidRDefault="006D362C" w:rsidP="006D362C">
      <w:pPr>
        <w:pStyle w:val="BodyText"/>
        <w:numPr>
          <w:ilvl w:val="0"/>
          <w:numId w:val="31"/>
        </w:numPr>
        <w:rPr>
          <w:lang w:val="es-ES"/>
        </w:rPr>
      </w:pPr>
      <w:r w:rsidRPr="003618E2">
        <w:rPr>
          <w:lang w:val="es-ES"/>
        </w:rPr>
        <w:t>Poca</w:t>
      </w:r>
      <w:r w:rsidR="00D136BB">
        <w:rPr>
          <w:lang w:val="es-ES"/>
        </w:rPr>
        <w:t xml:space="preserve"> </w:t>
      </w:r>
      <w:r w:rsidRPr="003618E2">
        <w:rPr>
          <w:lang w:val="es-ES"/>
        </w:rPr>
        <w:t>difusión</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costo</w:t>
      </w:r>
      <w:r w:rsidR="00D136BB">
        <w:rPr>
          <w:lang w:val="es-ES"/>
        </w:rPr>
        <w:t xml:space="preserve"> </w:t>
      </w:r>
      <w:r w:rsidRPr="003618E2">
        <w:rPr>
          <w:lang w:val="es-ES"/>
        </w:rPr>
        <w:t>de</w:t>
      </w:r>
      <w:r w:rsidR="00D136BB">
        <w:rPr>
          <w:lang w:val="es-ES"/>
        </w:rPr>
        <w:t xml:space="preserve"> </w:t>
      </w:r>
      <w:r w:rsidRPr="003618E2">
        <w:rPr>
          <w:lang w:val="es-ES"/>
        </w:rPr>
        <w:t>inversión</w:t>
      </w:r>
      <w:r w:rsidR="00D136BB">
        <w:rPr>
          <w:lang w:val="es-ES"/>
        </w:rPr>
        <w:t xml:space="preserve"> </w:t>
      </w:r>
      <w:r w:rsidRPr="003618E2">
        <w:rPr>
          <w:lang w:val="es-ES"/>
        </w:rPr>
        <w:t>inicial</w:t>
      </w:r>
      <w:r w:rsidR="00D136BB">
        <w:rPr>
          <w:lang w:val="es-ES"/>
        </w:rPr>
        <w:t xml:space="preserve"> </w:t>
      </w:r>
      <w:r w:rsidRPr="003618E2">
        <w:rPr>
          <w:lang w:val="es-ES"/>
        </w:rPr>
        <w:t>de</w:t>
      </w:r>
      <w:r w:rsidR="00D136BB">
        <w:rPr>
          <w:lang w:val="es-ES"/>
        </w:rPr>
        <w:t xml:space="preserve"> </w:t>
      </w:r>
      <w:r w:rsidRPr="003618E2">
        <w:rPr>
          <w:lang w:val="es-ES"/>
        </w:rPr>
        <w:t>algunas</w:t>
      </w:r>
      <w:r w:rsidR="00D136BB">
        <w:rPr>
          <w:lang w:val="es-ES"/>
        </w:rPr>
        <w:t xml:space="preserve"> </w:t>
      </w:r>
      <w:r w:rsidRPr="003618E2">
        <w:rPr>
          <w:lang w:val="es-ES"/>
        </w:rPr>
        <w:t>tecnologías</w:t>
      </w:r>
      <w:r w:rsidR="00D136BB">
        <w:rPr>
          <w:lang w:val="es-ES"/>
        </w:rPr>
        <w:t xml:space="preserve"> </w:t>
      </w:r>
      <w:r w:rsidRPr="003618E2">
        <w:rPr>
          <w:lang w:val="es-ES"/>
        </w:rPr>
        <w:t>es</w:t>
      </w:r>
      <w:r w:rsidR="00D136BB">
        <w:rPr>
          <w:lang w:val="es-ES"/>
        </w:rPr>
        <w:t xml:space="preserve"> </w:t>
      </w:r>
      <w:r w:rsidRPr="003618E2">
        <w:rPr>
          <w:lang w:val="es-ES"/>
        </w:rPr>
        <w:t>elevada.</w:t>
      </w:r>
    </w:p>
    <w:p w14:paraId="0EB4FE5B" w14:textId="195B4F65" w:rsidR="006D362C" w:rsidRPr="003618E2" w:rsidRDefault="006D362C" w:rsidP="006D362C">
      <w:pPr>
        <w:pStyle w:val="BodyText"/>
        <w:numPr>
          <w:ilvl w:val="0"/>
          <w:numId w:val="31"/>
        </w:numPr>
        <w:rPr>
          <w:lang w:val="es-ES"/>
        </w:rPr>
      </w:pPr>
      <w:r w:rsidRPr="003618E2">
        <w:rPr>
          <w:lang w:val="es-ES"/>
        </w:rPr>
        <w:t>Existen</w:t>
      </w:r>
      <w:r w:rsidR="00D136BB">
        <w:rPr>
          <w:lang w:val="es-ES"/>
        </w:rPr>
        <w:t xml:space="preserve"> </w:t>
      </w:r>
      <w:r w:rsidRPr="003618E2">
        <w:rPr>
          <w:lang w:val="es-ES"/>
        </w:rPr>
        <w:t>grupos</w:t>
      </w:r>
      <w:r w:rsidR="00D136BB">
        <w:rPr>
          <w:lang w:val="es-ES"/>
        </w:rPr>
        <w:t xml:space="preserve"> </w:t>
      </w:r>
      <w:r w:rsidRPr="003618E2">
        <w:rPr>
          <w:lang w:val="es-ES"/>
        </w:rPr>
        <w:t>de</w:t>
      </w:r>
      <w:r w:rsidR="00D136BB">
        <w:rPr>
          <w:lang w:val="es-ES"/>
        </w:rPr>
        <w:t xml:space="preserve"> </w:t>
      </w:r>
      <w:r w:rsidRPr="003618E2">
        <w:rPr>
          <w:lang w:val="es-ES"/>
        </w:rPr>
        <w:t>investigación</w:t>
      </w:r>
      <w:r w:rsidR="00D136BB">
        <w:rPr>
          <w:lang w:val="es-ES"/>
        </w:rPr>
        <w:t xml:space="preserve"> </w:t>
      </w:r>
      <w:r w:rsidRPr="003618E2">
        <w:rPr>
          <w:lang w:val="es-ES"/>
        </w:rPr>
        <w:t>trabajando</w:t>
      </w:r>
      <w:r w:rsidR="00D136BB">
        <w:rPr>
          <w:lang w:val="es-ES"/>
        </w:rPr>
        <w:t xml:space="preserve"> </w:t>
      </w:r>
      <w:r w:rsidRPr="003618E2">
        <w:rPr>
          <w:lang w:val="es-ES"/>
        </w:rPr>
        <w:t>con</w:t>
      </w:r>
      <w:r w:rsidR="00D136BB">
        <w:rPr>
          <w:lang w:val="es-ES"/>
        </w:rPr>
        <w:t xml:space="preserve"> </w:t>
      </w:r>
      <w:r w:rsidRPr="003618E2">
        <w:rPr>
          <w:lang w:val="es-ES"/>
        </w:rPr>
        <w:t>técnicas</w:t>
      </w:r>
      <w:r w:rsidR="00D136BB">
        <w:rPr>
          <w:lang w:val="es-ES"/>
        </w:rPr>
        <w:t xml:space="preserve"> </w:t>
      </w:r>
      <w:r w:rsidRPr="003618E2">
        <w:rPr>
          <w:lang w:val="es-ES"/>
        </w:rPr>
        <w:t>nucleares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pero</w:t>
      </w:r>
      <w:r w:rsidR="00D136BB">
        <w:rPr>
          <w:lang w:val="es-ES"/>
        </w:rPr>
        <w:t xml:space="preserve"> </w:t>
      </w:r>
      <w:r w:rsidRPr="003618E2">
        <w:rPr>
          <w:lang w:val="es-ES"/>
        </w:rPr>
        <w:t>no</w:t>
      </w:r>
      <w:r w:rsidR="00D136BB">
        <w:rPr>
          <w:lang w:val="es-ES"/>
        </w:rPr>
        <w:t xml:space="preserve"> </w:t>
      </w:r>
      <w:r w:rsidRPr="003618E2">
        <w:rPr>
          <w:lang w:val="es-ES"/>
        </w:rPr>
        <w:t>se</w:t>
      </w:r>
      <w:r w:rsidR="00D136BB">
        <w:rPr>
          <w:lang w:val="es-ES"/>
        </w:rPr>
        <w:t xml:space="preserve"> </w:t>
      </w:r>
      <w:r w:rsidRPr="003618E2">
        <w:rPr>
          <w:lang w:val="es-ES"/>
        </w:rPr>
        <w:t>generan</w:t>
      </w:r>
      <w:r w:rsidR="00D136BB">
        <w:rPr>
          <w:lang w:val="es-ES"/>
        </w:rPr>
        <w:t xml:space="preserve"> </w:t>
      </w:r>
      <w:r w:rsidRPr="003618E2">
        <w:rPr>
          <w:lang w:val="es-ES"/>
        </w:rPr>
        <w:t>las</w:t>
      </w:r>
      <w:r w:rsidR="00D136BB">
        <w:rPr>
          <w:lang w:val="es-ES"/>
        </w:rPr>
        <w:t xml:space="preserve"> </w:t>
      </w:r>
      <w:r w:rsidRPr="003618E2">
        <w:rPr>
          <w:lang w:val="es-ES"/>
        </w:rPr>
        <w:t>innovaciones</w:t>
      </w:r>
      <w:r w:rsidR="00D136BB">
        <w:rPr>
          <w:lang w:val="es-ES"/>
        </w:rPr>
        <w:t xml:space="preserve"> </w:t>
      </w:r>
      <w:r w:rsidRPr="003618E2">
        <w:rPr>
          <w:lang w:val="es-ES"/>
        </w:rPr>
        <w:t>necesarias</w:t>
      </w:r>
      <w:r w:rsidR="00D136BB">
        <w:rPr>
          <w:lang w:val="es-ES"/>
        </w:rPr>
        <w:t xml:space="preserve"> </w:t>
      </w:r>
      <w:r w:rsidRPr="003618E2">
        <w:rPr>
          <w:lang w:val="es-ES"/>
        </w:rPr>
        <w:t>para</w:t>
      </w:r>
      <w:r w:rsidR="00D136BB">
        <w:rPr>
          <w:lang w:val="es-ES"/>
        </w:rPr>
        <w:t xml:space="preserve"> </w:t>
      </w:r>
      <w:r w:rsidRPr="003618E2">
        <w:rPr>
          <w:lang w:val="es-ES"/>
        </w:rPr>
        <w:t>llegar</w:t>
      </w:r>
      <w:r w:rsidR="00D136BB">
        <w:rPr>
          <w:lang w:val="es-ES"/>
        </w:rPr>
        <w:t xml:space="preserve"> </w:t>
      </w:r>
      <w:r w:rsidRPr="003618E2">
        <w:rPr>
          <w:lang w:val="es-ES"/>
        </w:rPr>
        <w:t>al</w:t>
      </w:r>
      <w:r w:rsidR="00D136BB">
        <w:rPr>
          <w:lang w:val="es-ES"/>
        </w:rPr>
        <w:t xml:space="preserve"> </w:t>
      </w:r>
      <w:r w:rsidRPr="003618E2">
        <w:rPr>
          <w:lang w:val="es-ES"/>
        </w:rPr>
        <w:t>usuario</w:t>
      </w:r>
      <w:r w:rsidR="00D136BB">
        <w:rPr>
          <w:lang w:val="es-ES"/>
        </w:rPr>
        <w:t xml:space="preserve"> </w:t>
      </w:r>
      <w:r w:rsidRPr="003618E2">
        <w:rPr>
          <w:lang w:val="es-ES"/>
        </w:rPr>
        <w:t>final.</w:t>
      </w:r>
    </w:p>
    <w:p w14:paraId="508E9BA2" w14:textId="282D983E" w:rsidR="006D362C" w:rsidRPr="003618E2" w:rsidRDefault="006D362C" w:rsidP="006D362C">
      <w:pPr>
        <w:pStyle w:val="BodyText"/>
        <w:numPr>
          <w:ilvl w:val="0"/>
          <w:numId w:val="31"/>
        </w:numPr>
        <w:rPr>
          <w:lang w:val="es-ES"/>
        </w:rPr>
      </w:pPr>
      <w:r w:rsidRPr="003618E2">
        <w:rPr>
          <w:lang w:val="es-ES"/>
        </w:rPr>
        <w:t>Existen</w:t>
      </w:r>
      <w:r w:rsidR="00D136BB">
        <w:rPr>
          <w:lang w:val="es-ES"/>
        </w:rPr>
        <w:t xml:space="preserve"> </w:t>
      </w:r>
      <w:r w:rsidRPr="003618E2">
        <w:rPr>
          <w:lang w:val="es-ES"/>
        </w:rPr>
        <w:t>pocas</w:t>
      </w:r>
      <w:r w:rsidR="00D136BB">
        <w:rPr>
          <w:lang w:val="es-ES"/>
        </w:rPr>
        <w:t xml:space="preserve"> </w:t>
      </w:r>
      <w:r w:rsidRPr="003618E2">
        <w:rPr>
          <w:lang w:val="es-ES"/>
        </w:rPr>
        <w:t>instalaciones</w:t>
      </w:r>
      <w:r w:rsidR="00D136BB">
        <w:rPr>
          <w:lang w:val="es-ES"/>
        </w:rPr>
        <w:t xml:space="preserve"> </w:t>
      </w:r>
      <w:r w:rsidRPr="003618E2">
        <w:rPr>
          <w:lang w:val="es-ES"/>
        </w:rPr>
        <w:t>para</w:t>
      </w:r>
      <w:r w:rsidR="00D136BB">
        <w:rPr>
          <w:lang w:val="es-ES"/>
        </w:rPr>
        <w:t xml:space="preserve"> </w:t>
      </w:r>
      <w:r w:rsidRPr="003618E2">
        <w:rPr>
          <w:lang w:val="es-ES"/>
        </w:rPr>
        <w:t>demostrar</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nuclear.</w:t>
      </w:r>
    </w:p>
    <w:p w14:paraId="09F586FF" w14:textId="2390B45C"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legislación</w:t>
      </w:r>
      <w:r w:rsidR="00D136BB">
        <w:rPr>
          <w:lang w:val="es-ES"/>
        </w:rPr>
        <w:t xml:space="preserve"> </w:t>
      </w:r>
      <w:r w:rsidRPr="003618E2">
        <w:rPr>
          <w:lang w:val="es-ES"/>
        </w:rPr>
        <w:t>relacionada</w:t>
      </w:r>
      <w:r w:rsidR="00D136BB">
        <w:rPr>
          <w:lang w:val="es-ES"/>
        </w:rPr>
        <w:t xml:space="preserve"> </w:t>
      </w:r>
      <w:r w:rsidRPr="003618E2">
        <w:rPr>
          <w:lang w:val="es-ES"/>
        </w:rPr>
        <w:t>con</w:t>
      </w:r>
      <w:r w:rsidR="00D136BB">
        <w:rPr>
          <w:lang w:val="es-ES"/>
        </w:rPr>
        <w:t xml:space="preserve"> </w:t>
      </w:r>
      <w:r w:rsidRPr="003618E2">
        <w:rPr>
          <w:lang w:val="es-ES"/>
        </w:rPr>
        <w:t>las</w:t>
      </w:r>
      <w:r w:rsidR="00D136BB">
        <w:rPr>
          <w:lang w:val="es-ES"/>
        </w:rPr>
        <w:t xml:space="preserve"> </w:t>
      </w:r>
      <w:r w:rsidRPr="003618E2">
        <w:rPr>
          <w:lang w:val="es-ES"/>
        </w:rPr>
        <w:t>aplicaciones</w:t>
      </w:r>
      <w:r w:rsidR="00D136BB">
        <w:rPr>
          <w:lang w:val="es-ES"/>
        </w:rPr>
        <w:t xml:space="preserve"> </w:t>
      </w:r>
      <w:r w:rsidRPr="003618E2">
        <w:rPr>
          <w:lang w:val="es-ES"/>
        </w:rPr>
        <w:t>en</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en</w:t>
      </w:r>
      <w:r w:rsidR="00D136BB">
        <w:rPr>
          <w:lang w:val="es-ES"/>
        </w:rPr>
        <w:t xml:space="preserve"> </w:t>
      </w:r>
      <w:r w:rsidRPr="003618E2">
        <w:rPr>
          <w:lang w:val="es-ES"/>
        </w:rPr>
        <w:t>ambiente</w:t>
      </w:r>
    </w:p>
    <w:p w14:paraId="2B48A2C1" w14:textId="54DC0F83" w:rsidR="006D362C" w:rsidRPr="003618E2" w:rsidRDefault="006D362C" w:rsidP="006D362C">
      <w:pPr>
        <w:pStyle w:val="BodyText"/>
        <w:rPr>
          <w:b/>
          <w:lang w:val="es-ES"/>
        </w:rPr>
      </w:pPr>
      <w:r w:rsidRPr="003618E2">
        <w:rPr>
          <w:b/>
          <w:lang w:val="es-ES"/>
        </w:rPr>
        <w:t>Ingeniería</w:t>
      </w:r>
      <w:r w:rsidR="00D136BB">
        <w:rPr>
          <w:b/>
          <w:lang w:val="es-ES"/>
        </w:rPr>
        <w:t xml:space="preserve"> </w:t>
      </w:r>
      <w:r w:rsidRPr="003618E2">
        <w:rPr>
          <w:b/>
          <w:lang w:val="es-ES"/>
        </w:rPr>
        <w:t>costera</w:t>
      </w:r>
      <w:r w:rsidR="00D136BB">
        <w:rPr>
          <w:b/>
          <w:lang w:val="es-ES"/>
        </w:rPr>
        <w:t xml:space="preserve"> </w:t>
      </w:r>
      <w:r w:rsidRPr="003618E2">
        <w:rPr>
          <w:b/>
          <w:lang w:val="es-ES"/>
        </w:rPr>
        <w:t>(T,</w:t>
      </w:r>
      <w:r w:rsidR="00D136BB">
        <w:rPr>
          <w:b/>
          <w:lang w:val="es-ES"/>
        </w:rPr>
        <w:t xml:space="preserve"> </w:t>
      </w:r>
      <w:r w:rsidRPr="003618E2">
        <w:rPr>
          <w:b/>
          <w:lang w:val="es-ES"/>
        </w:rPr>
        <w:t>SCN)</w:t>
      </w:r>
    </w:p>
    <w:p w14:paraId="1C988FD8" w14:textId="54099CB9" w:rsidR="006D362C" w:rsidRPr="003618E2" w:rsidRDefault="006D362C" w:rsidP="006D362C">
      <w:pPr>
        <w:pStyle w:val="BodyText"/>
        <w:numPr>
          <w:ilvl w:val="0"/>
          <w:numId w:val="31"/>
        </w:numPr>
        <w:rPr>
          <w:lang w:val="es-ES"/>
        </w:rPr>
      </w:pPr>
      <w:r w:rsidRPr="003618E2">
        <w:rPr>
          <w:lang w:val="es-ES"/>
        </w:rPr>
        <w:lastRenderedPageBreak/>
        <w:t>Preocupación</w:t>
      </w:r>
      <w:r w:rsidR="00D136BB">
        <w:rPr>
          <w:lang w:val="es-ES"/>
        </w:rPr>
        <w:t xml:space="preserve"> </w:t>
      </w:r>
      <w:r w:rsidRPr="003618E2">
        <w:rPr>
          <w:lang w:val="es-ES"/>
        </w:rPr>
        <w:t>de</w:t>
      </w:r>
      <w:r w:rsidR="00D136BB">
        <w:rPr>
          <w:lang w:val="es-ES"/>
        </w:rPr>
        <w:t xml:space="preserve"> </w:t>
      </w:r>
      <w:r w:rsidRPr="003618E2">
        <w:rPr>
          <w:lang w:val="es-ES"/>
        </w:rPr>
        <w:t>gobierno</w:t>
      </w:r>
      <w:r w:rsidR="00D136BB">
        <w:rPr>
          <w:lang w:val="es-ES"/>
        </w:rPr>
        <w:t xml:space="preserve"> </w:t>
      </w:r>
      <w:r w:rsidRPr="003618E2">
        <w:rPr>
          <w:lang w:val="es-ES"/>
        </w:rPr>
        <w:t>y</w:t>
      </w:r>
      <w:r w:rsidR="00D136BB">
        <w:rPr>
          <w:lang w:val="es-ES"/>
        </w:rPr>
        <w:t xml:space="preserve"> </w:t>
      </w:r>
      <w:r w:rsidRPr="003618E2">
        <w:rPr>
          <w:lang w:val="es-ES"/>
        </w:rPr>
        <w:t>limitada</w:t>
      </w:r>
      <w:r w:rsidR="00D136BB">
        <w:rPr>
          <w:lang w:val="es-ES"/>
        </w:rPr>
        <w:t xml:space="preserve"> </w:t>
      </w:r>
      <w:r w:rsidRPr="003618E2">
        <w:rPr>
          <w:lang w:val="es-ES"/>
        </w:rPr>
        <w:t>aceptación</w:t>
      </w:r>
      <w:r w:rsidR="00D136BB">
        <w:rPr>
          <w:lang w:val="es-ES"/>
        </w:rPr>
        <w:t xml:space="preserve"> </w:t>
      </w:r>
      <w:r w:rsidRPr="003618E2">
        <w:rPr>
          <w:lang w:val="es-ES"/>
        </w:rPr>
        <w:t>del</w:t>
      </w:r>
      <w:r w:rsidR="00D136BB">
        <w:rPr>
          <w:lang w:val="es-ES"/>
        </w:rPr>
        <w:t xml:space="preserve"> </w:t>
      </w:r>
      <w:r w:rsidRPr="003618E2">
        <w:rPr>
          <w:lang w:val="es-ES"/>
        </w:rPr>
        <w:t>público.</w:t>
      </w:r>
    </w:p>
    <w:p w14:paraId="23D3211F" w14:textId="744B3500"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difusión</w:t>
      </w:r>
      <w:r w:rsidR="00D136BB">
        <w:rPr>
          <w:lang w:val="es-ES"/>
        </w:rPr>
        <w:t xml:space="preserve"> </w:t>
      </w:r>
      <w:r w:rsidRPr="003618E2">
        <w:rPr>
          <w:lang w:val="es-ES"/>
        </w:rPr>
        <w:t>del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en</w:t>
      </w:r>
      <w:r w:rsidR="00D136BB">
        <w:rPr>
          <w:lang w:val="es-ES"/>
        </w:rPr>
        <w:t xml:space="preserve"> </w:t>
      </w:r>
      <w:r w:rsidRPr="003618E2">
        <w:rPr>
          <w:lang w:val="es-ES"/>
        </w:rPr>
        <w:t>esta</w:t>
      </w:r>
      <w:r w:rsidR="00D136BB">
        <w:rPr>
          <w:lang w:val="es-ES"/>
        </w:rPr>
        <w:t xml:space="preserve"> </w:t>
      </w:r>
      <w:r w:rsidRPr="003618E2">
        <w:rPr>
          <w:lang w:val="es-ES"/>
        </w:rPr>
        <w:t>área.</w:t>
      </w:r>
    </w:p>
    <w:p w14:paraId="75AA58F5" w14:textId="0F64CCD8" w:rsidR="006D362C" w:rsidRPr="003618E2" w:rsidRDefault="006D362C" w:rsidP="006D362C">
      <w:pPr>
        <w:pStyle w:val="BodyText"/>
        <w:numPr>
          <w:ilvl w:val="0"/>
          <w:numId w:val="31"/>
        </w:numPr>
        <w:rPr>
          <w:lang w:val="es-ES"/>
        </w:rPr>
      </w:pPr>
      <w:r w:rsidRPr="003618E2">
        <w:rPr>
          <w:lang w:val="es-ES"/>
        </w:rPr>
        <w:t>La</w:t>
      </w:r>
      <w:r w:rsidR="00D136BB">
        <w:rPr>
          <w:lang w:val="es-ES"/>
        </w:rPr>
        <w:t xml:space="preserve"> </w:t>
      </w:r>
      <w:r w:rsidRPr="003618E2">
        <w:rPr>
          <w:lang w:val="es-ES"/>
        </w:rPr>
        <w:t>investigación</w:t>
      </w:r>
      <w:r w:rsidR="00D136BB">
        <w:rPr>
          <w:lang w:val="es-ES"/>
        </w:rPr>
        <w:t xml:space="preserve"> </w:t>
      </w:r>
      <w:r w:rsidRPr="003618E2">
        <w:rPr>
          <w:lang w:val="es-ES"/>
        </w:rPr>
        <w:t>en</w:t>
      </w:r>
      <w:r w:rsidR="00D136BB">
        <w:rPr>
          <w:lang w:val="es-ES"/>
        </w:rPr>
        <w:t xml:space="preserve"> </w:t>
      </w:r>
      <w:r w:rsidRPr="003618E2">
        <w:rPr>
          <w:lang w:val="es-ES"/>
        </w:rPr>
        <w:t>esta</w:t>
      </w:r>
      <w:r w:rsidR="00D136BB">
        <w:rPr>
          <w:lang w:val="es-ES"/>
        </w:rPr>
        <w:t xml:space="preserve"> </w:t>
      </w:r>
      <w:r w:rsidRPr="003618E2">
        <w:rPr>
          <w:lang w:val="es-ES"/>
        </w:rPr>
        <w:t>área</w:t>
      </w:r>
      <w:r w:rsidR="00D136BB">
        <w:rPr>
          <w:lang w:val="es-ES"/>
        </w:rPr>
        <w:t xml:space="preserve"> </w:t>
      </w:r>
      <w:r w:rsidRPr="003618E2">
        <w:rPr>
          <w:lang w:val="es-ES"/>
        </w:rPr>
        <w:t>se</w:t>
      </w:r>
      <w:r w:rsidR="00D136BB">
        <w:rPr>
          <w:lang w:val="es-ES"/>
        </w:rPr>
        <w:t xml:space="preserve"> </w:t>
      </w:r>
      <w:r w:rsidRPr="003618E2">
        <w:rPr>
          <w:lang w:val="es-ES"/>
        </w:rPr>
        <w:t>realiza</w:t>
      </w:r>
      <w:r w:rsidR="00D136BB">
        <w:rPr>
          <w:lang w:val="es-ES"/>
        </w:rPr>
        <w:t xml:space="preserve"> </w:t>
      </w:r>
      <w:r w:rsidRPr="003618E2">
        <w:rPr>
          <w:lang w:val="es-ES"/>
        </w:rPr>
        <w:t>principalmente</w:t>
      </w:r>
      <w:r w:rsidR="00D136BB">
        <w:rPr>
          <w:lang w:val="es-ES"/>
        </w:rPr>
        <w:t xml:space="preserve"> </w:t>
      </w:r>
      <w:r w:rsidRPr="003618E2">
        <w:rPr>
          <w:lang w:val="es-ES"/>
        </w:rPr>
        <w:t>por</w:t>
      </w:r>
      <w:r w:rsidR="00D136BB">
        <w:rPr>
          <w:lang w:val="es-ES"/>
        </w:rPr>
        <w:t xml:space="preserve"> </w:t>
      </w:r>
      <w:r w:rsidRPr="003618E2">
        <w:rPr>
          <w:lang w:val="es-ES"/>
        </w:rPr>
        <w:t>técnicas</w:t>
      </w:r>
      <w:r w:rsidR="00D136BB">
        <w:rPr>
          <w:lang w:val="es-ES"/>
        </w:rPr>
        <w:t xml:space="preserve"> </w:t>
      </w:r>
      <w:r w:rsidRPr="003618E2">
        <w:rPr>
          <w:lang w:val="es-ES"/>
        </w:rPr>
        <w:t>convencionales.</w:t>
      </w:r>
    </w:p>
    <w:p w14:paraId="23239FC6" w14:textId="6B7532BA" w:rsidR="006D362C" w:rsidRPr="003618E2" w:rsidRDefault="006D362C" w:rsidP="006D362C">
      <w:pPr>
        <w:pStyle w:val="BodyText"/>
        <w:rPr>
          <w:b/>
          <w:lang w:val="es-ES"/>
        </w:rPr>
      </w:pPr>
      <w:r w:rsidRPr="003618E2">
        <w:rPr>
          <w:b/>
          <w:lang w:val="es-ES"/>
        </w:rPr>
        <w:t>Materiales</w:t>
      </w:r>
      <w:r w:rsidR="00D136BB">
        <w:rPr>
          <w:b/>
          <w:lang w:val="es-ES"/>
        </w:rPr>
        <w:t xml:space="preserve"> </w:t>
      </w:r>
      <w:r w:rsidRPr="003618E2">
        <w:rPr>
          <w:b/>
          <w:lang w:val="es-ES"/>
        </w:rPr>
        <w:t>avanzados</w:t>
      </w:r>
      <w:r w:rsidR="00D136BB">
        <w:rPr>
          <w:b/>
          <w:lang w:val="es-ES"/>
        </w:rPr>
        <w:t xml:space="preserve"> </w:t>
      </w:r>
      <w:r w:rsidRPr="003618E2">
        <w:rPr>
          <w:b/>
          <w:lang w:val="es-ES"/>
        </w:rPr>
        <w:t>(TAN,</w:t>
      </w:r>
      <w:r w:rsidR="00D136BB">
        <w:rPr>
          <w:b/>
          <w:lang w:val="es-ES"/>
        </w:rPr>
        <w:t xml:space="preserve"> </w:t>
      </w:r>
      <w:r w:rsidRPr="003618E2">
        <w:rPr>
          <w:b/>
          <w:lang w:val="es-ES"/>
        </w:rPr>
        <w:t>PR)</w:t>
      </w:r>
    </w:p>
    <w:p w14:paraId="28B530A5" w14:textId="5FAFD6C3"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difusión</w:t>
      </w:r>
      <w:r w:rsidR="00D136BB">
        <w:rPr>
          <w:lang w:val="es-ES"/>
        </w:rPr>
        <w:t xml:space="preserve"> </w:t>
      </w:r>
      <w:r w:rsidRPr="003618E2">
        <w:rPr>
          <w:lang w:val="es-ES"/>
        </w:rPr>
        <w:t>del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en</w:t>
      </w:r>
      <w:r w:rsidR="00D136BB">
        <w:rPr>
          <w:lang w:val="es-ES"/>
        </w:rPr>
        <w:t xml:space="preserve"> </w:t>
      </w:r>
      <w:r w:rsidRPr="003618E2">
        <w:rPr>
          <w:lang w:val="es-ES"/>
        </w:rPr>
        <w:t>esta</w:t>
      </w:r>
      <w:r w:rsidR="00D136BB">
        <w:rPr>
          <w:lang w:val="es-ES"/>
        </w:rPr>
        <w:t xml:space="preserve"> </w:t>
      </w:r>
      <w:r w:rsidRPr="003618E2">
        <w:rPr>
          <w:lang w:val="es-ES"/>
        </w:rPr>
        <w:t>área.</w:t>
      </w:r>
    </w:p>
    <w:p w14:paraId="4A17E8E2" w14:textId="72353C7D"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transferencia</w:t>
      </w:r>
      <w:r w:rsidR="00D136BB">
        <w:rPr>
          <w:lang w:val="es-ES"/>
        </w:rPr>
        <w:t xml:space="preserve"> </w:t>
      </w:r>
      <w:r w:rsidRPr="003618E2">
        <w:rPr>
          <w:lang w:val="es-ES"/>
        </w:rPr>
        <w:t>tecnológica.</w:t>
      </w:r>
    </w:p>
    <w:p w14:paraId="124DEFC2" w14:textId="66D3573C" w:rsidR="006D362C" w:rsidRPr="003618E2" w:rsidRDefault="006D362C" w:rsidP="006D362C">
      <w:pPr>
        <w:pStyle w:val="BodyText"/>
        <w:rPr>
          <w:b/>
          <w:lang w:val="es-ES"/>
        </w:rPr>
      </w:pPr>
      <w:r w:rsidRPr="003618E2">
        <w:rPr>
          <w:b/>
          <w:lang w:val="es-ES"/>
        </w:rPr>
        <w:t>Medicina</w:t>
      </w:r>
      <w:r w:rsidR="00D136BB">
        <w:rPr>
          <w:b/>
          <w:lang w:val="es-ES"/>
        </w:rPr>
        <w:t xml:space="preserve"> </w:t>
      </w:r>
      <w:r w:rsidRPr="003618E2">
        <w:rPr>
          <w:b/>
          <w:lang w:val="es-ES"/>
        </w:rPr>
        <w:t>(PR)</w:t>
      </w:r>
    </w:p>
    <w:p w14:paraId="52F3AE28" w14:textId="3CA8357D" w:rsidR="006D362C" w:rsidRPr="003618E2" w:rsidRDefault="006D362C" w:rsidP="006D362C">
      <w:pPr>
        <w:pStyle w:val="BodyText"/>
        <w:numPr>
          <w:ilvl w:val="0"/>
          <w:numId w:val="31"/>
        </w:numPr>
        <w:rPr>
          <w:lang w:val="es-ES"/>
        </w:rPr>
      </w:pPr>
      <w:r w:rsidRPr="003618E2">
        <w:rPr>
          <w:lang w:val="es-ES"/>
        </w:rPr>
        <w:t>Algunos</w:t>
      </w:r>
      <w:r w:rsidR="00D136BB">
        <w:rPr>
          <w:lang w:val="es-ES"/>
        </w:rPr>
        <w:t xml:space="preserve"> </w:t>
      </w:r>
      <w:r w:rsidRPr="003618E2">
        <w:rPr>
          <w:lang w:val="es-ES"/>
        </w:rPr>
        <w:t>países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no</w:t>
      </w:r>
      <w:r w:rsidR="00D136BB">
        <w:rPr>
          <w:lang w:val="es-ES"/>
        </w:rPr>
        <w:t xml:space="preserve"> </w:t>
      </w:r>
      <w:r w:rsidRPr="003618E2">
        <w:rPr>
          <w:lang w:val="es-ES"/>
        </w:rPr>
        <w:t>cuentan</w:t>
      </w:r>
      <w:r w:rsidR="00D136BB">
        <w:rPr>
          <w:lang w:val="es-ES"/>
        </w:rPr>
        <w:t xml:space="preserve"> </w:t>
      </w:r>
      <w:r w:rsidRPr="003618E2">
        <w:rPr>
          <w:lang w:val="es-ES"/>
        </w:rPr>
        <w:t>con</w:t>
      </w:r>
      <w:r w:rsidR="00D136BB">
        <w:rPr>
          <w:lang w:val="es-ES"/>
        </w:rPr>
        <w:t xml:space="preserve"> </w:t>
      </w:r>
      <w:r w:rsidRPr="003618E2">
        <w:rPr>
          <w:lang w:val="es-ES"/>
        </w:rPr>
        <w:t>instalaciones</w:t>
      </w:r>
      <w:r w:rsidR="00D136BB">
        <w:rPr>
          <w:lang w:val="es-ES"/>
        </w:rPr>
        <w:t xml:space="preserve"> </w:t>
      </w:r>
      <w:r w:rsidRPr="003618E2">
        <w:rPr>
          <w:lang w:val="es-ES"/>
        </w:rPr>
        <w:t>de</w:t>
      </w:r>
      <w:r w:rsidR="00D136BB">
        <w:rPr>
          <w:lang w:val="es-ES"/>
        </w:rPr>
        <w:t xml:space="preserve"> </w:t>
      </w:r>
      <w:r w:rsidRPr="003618E2">
        <w:rPr>
          <w:lang w:val="es-ES"/>
        </w:rPr>
        <w:t>irradiación.</w:t>
      </w:r>
    </w:p>
    <w:p w14:paraId="696D15B6" w14:textId="26CEEC24" w:rsidR="006D362C" w:rsidRPr="003618E2" w:rsidRDefault="006D362C" w:rsidP="006D362C">
      <w:pPr>
        <w:pStyle w:val="BodyText"/>
        <w:numPr>
          <w:ilvl w:val="0"/>
          <w:numId w:val="31"/>
        </w:numPr>
        <w:rPr>
          <w:lang w:val="es-ES"/>
        </w:rPr>
      </w:pP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la</w:t>
      </w:r>
      <w:r w:rsidR="00D136BB">
        <w:rPr>
          <w:lang w:val="es-ES"/>
        </w:rPr>
        <w:t xml:space="preserve"> </w:t>
      </w:r>
      <w:r w:rsidRPr="003618E2">
        <w:rPr>
          <w:lang w:val="es-ES"/>
        </w:rPr>
        <w:t>esterilización</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médicos</w:t>
      </w:r>
      <w:r w:rsidR="00D136BB">
        <w:rPr>
          <w:lang w:val="es-ES"/>
        </w:rPr>
        <w:t xml:space="preserve"> </w:t>
      </w:r>
      <w:r w:rsidRPr="003618E2">
        <w:rPr>
          <w:lang w:val="es-ES"/>
        </w:rPr>
        <w:t>desechable</w:t>
      </w:r>
      <w:r w:rsidR="00D136BB">
        <w:rPr>
          <w:lang w:val="es-ES"/>
        </w:rPr>
        <w:t xml:space="preserve"> </w:t>
      </w:r>
      <w:r w:rsidRPr="003618E2">
        <w:rPr>
          <w:lang w:val="es-ES"/>
        </w:rPr>
        <w:t>con</w:t>
      </w:r>
      <w:r w:rsidR="00D136BB">
        <w:rPr>
          <w:lang w:val="es-ES"/>
        </w:rPr>
        <w:t xml:space="preserve"> </w:t>
      </w:r>
      <w:r w:rsidRPr="003618E2">
        <w:rPr>
          <w:lang w:val="es-ES"/>
        </w:rPr>
        <w:t>gases</w:t>
      </w:r>
      <w:r w:rsidR="00D136BB">
        <w:rPr>
          <w:lang w:val="es-ES"/>
        </w:rPr>
        <w:t xml:space="preserve"> </w:t>
      </w:r>
      <w:r w:rsidRPr="003618E2">
        <w:rPr>
          <w:lang w:val="es-ES"/>
        </w:rPr>
        <w:t>tóxicos</w:t>
      </w:r>
      <w:r w:rsidR="00D136BB">
        <w:rPr>
          <w:lang w:val="es-ES"/>
        </w:rPr>
        <w:t xml:space="preserve"> </w:t>
      </w:r>
      <w:r w:rsidRPr="003618E2">
        <w:rPr>
          <w:lang w:val="es-ES"/>
        </w:rPr>
        <w:t>(óxido</w:t>
      </w:r>
      <w:r w:rsidR="00D136BB">
        <w:rPr>
          <w:lang w:val="es-ES"/>
        </w:rPr>
        <w:t xml:space="preserve"> </w:t>
      </w:r>
      <w:r w:rsidRPr="003618E2">
        <w:rPr>
          <w:lang w:val="es-ES"/>
        </w:rPr>
        <w:t>de</w:t>
      </w:r>
      <w:r w:rsidR="00D136BB">
        <w:rPr>
          <w:lang w:val="es-ES"/>
        </w:rPr>
        <w:t xml:space="preserve"> </w:t>
      </w:r>
      <w:r w:rsidRPr="003618E2">
        <w:rPr>
          <w:lang w:val="es-ES"/>
        </w:rPr>
        <w:t>etileno)</w:t>
      </w:r>
      <w:r w:rsidR="00D136BB">
        <w:rPr>
          <w:lang w:val="es-ES"/>
        </w:rPr>
        <w:t xml:space="preserve"> </w:t>
      </w:r>
      <w:r w:rsidRPr="003618E2">
        <w:rPr>
          <w:lang w:val="es-ES"/>
        </w:rPr>
        <w:t>tiene</w:t>
      </w:r>
      <w:r w:rsidR="00D136BB">
        <w:rPr>
          <w:lang w:val="es-ES"/>
        </w:rPr>
        <w:t xml:space="preserve"> </w:t>
      </w:r>
      <w:r w:rsidRPr="003618E2">
        <w:rPr>
          <w:lang w:val="es-ES"/>
        </w:rPr>
        <w:t>amplia</w:t>
      </w:r>
      <w:r w:rsidR="00D136BB">
        <w:rPr>
          <w:lang w:val="es-ES"/>
        </w:rPr>
        <w:t xml:space="preserve"> </w:t>
      </w:r>
      <w:r w:rsidRPr="003618E2">
        <w:rPr>
          <w:lang w:val="es-ES"/>
        </w:rPr>
        <w:t>utilización,</w:t>
      </w:r>
      <w:r w:rsidR="00D136BB">
        <w:rPr>
          <w:lang w:val="es-ES"/>
        </w:rPr>
        <w:t xml:space="preserve"> </w:t>
      </w:r>
      <w:r w:rsidRPr="003618E2">
        <w:rPr>
          <w:lang w:val="es-ES"/>
        </w:rPr>
        <w:t>con</w:t>
      </w:r>
      <w:r w:rsidR="00D136BB">
        <w:rPr>
          <w:lang w:val="es-ES"/>
        </w:rPr>
        <w:t xml:space="preserve"> </w:t>
      </w:r>
      <w:r w:rsidRPr="003618E2">
        <w:rPr>
          <w:lang w:val="es-ES"/>
        </w:rPr>
        <w:t>respecto</w:t>
      </w:r>
      <w:r w:rsidR="00D136BB">
        <w:rPr>
          <w:lang w:val="es-ES"/>
        </w:rPr>
        <w:t xml:space="preserve"> </w:t>
      </w:r>
      <w:r w:rsidRPr="003618E2">
        <w:rPr>
          <w:lang w:val="es-ES"/>
        </w:rPr>
        <w:t>a</w:t>
      </w:r>
      <w:r w:rsidR="00D136BB">
        <w:rPr>
          <w:lang w:val="es-ES"/>
        </w:rPr>
        <w:t xml:space="preserve"> </w:t>
      </w:r>
      <w:r w:rsidRPr="003618E2">
        <w:rPr>
          <w:lang w:val="es-ES"/>
        </w:rPr>
        <w:t>radiación</w:t>
      </w:r>
      <w:r w:rsidR="00D136BB">
        <w:rPr>
          <w:lang w:val="es-ES"/>
        </w:rPr>
        <w:t xml:space="preserve"> </w:t>
      </w:r>
      <w:r w:rsidRPr="003618E2">
        <w:rPr>
          <w:lang w:val="es-ES"/>
        </w:rPr>
        <w:t>ionizante.</w:t>
      </w:r>
    </w:p>
    <w:p w14:paraId="18E6D783" w14:textId="709DE92E"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difusión</w:t>
      </w:r>
      <w:r w:rsidR="00D136BB">
        <w:rPr>
          <w:lang w:val="es-ES"/>
        </w:rPr>
        <w:t xml:space="preserve"> </w:t>
      </w:r>
      <w:r w:rsidRPr="003618E2">
        <w:rPr>
          <w:lang w:val="es-ES"/>
        </w:rPr>
        <w:t>del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en</w:t>
      </w:r>
      <w:r w:rsidR="00D136BB">
        <w:rPr>
          <w:lang w:val="es-ES"/>
        </w:rPr>
        <w:t xml:space="preserve"> </w:t>
      </w:r>
      <w:r w:rsidRPr="003618E2">
        <w:rPr>
          <w:lang w:val="es-ES"/>
        </w:rPr>
        <w:t>irradiación</w:t>
      </w:r>
      <w:r w:rsidR="00D136BB">
        <w:rPr>
          <w:lang w:val="es-ES"/>
        </w:rPr>
        <w:t xml:space="preserve"> </w:t>
      </w:r>
      <w:r w:rsidRPr="003618E2">
        <w:rPr>
          <w:lang w:val="es-ES"/>
        </w:rPr>
        <w:t>de</w:t>
      </w:r>
      <w:r w:rsidR="00D136BB">
        <w:rPr>
          <w:lang w:val="es-ES"/>
        </w:rPr>
        <w:t xml:space="preserve"> </w:t>
      </w:r>
      <w:r w:rsidRPr="003618E2">
        <w:rPr>
          <w:lang w:val="es-ES"/>
        </w:rPr>
        <w:t>tejidos</w:t>
      </w:r>
      <w:r w:rsidR="00D136BB">
        <w:rPr>
          <w:lang w:val="es-ES"/>
        </w:rPr>
        <w:t xml:space="preserve"> </w:t>
      </w:r>
      <w:r w:rsidRPr="003618E2">
        <w:rPr>
          <w:lang w:val="es-ES"/>
        </w:rPr>
        <w:t>biológicos.</w:t>
      </w:r>
    </w:p>
    <w:p w14:paraId="6AE681BF" w14:textId="66410DB9" w:rsidR="006D362C" w:rsidRPr="003618E2" w:rsidRDefault="006D362C" w:rsidP="006D362C">
      <w:pPr>
        <w:pStyle w:val="BodyText"/>
        <w:numPr>
          <w:ilvl w:val="0"/>
          <w:numId w:val="31"/>
        </w:numPr>
        <w:rPr>
          <w:lang w:val="es-ES"/>
        </w:rPr>
      </w:pPr>
      <w:r w:rsidRPr="003618E2">
        <w:rPr>
          <w:lang w:val="es-ES"/>
        </w:rPr>
        <w:t>Necesidad</w:t>
      </w:r>
      <w:r w:rsidR="00D136BB">
        <w:rPr>
          <w:lang w:val="es-ES"/>
        </w:rPr>
        <w:t xml:space="preserve"> </w:t>
      </w:r>
      <w:r w:rsidRPr="003618E2">
        <w:rPr>
          <w:lang w:val="es-ES"/>
        </w:rPr>
        <w:t>de</w:t>
      </w:r>
      <w:r w:rsidR="00D136BB">
        <w:rPr>
          <w:lang w:val="es-ES"/>
        </w:rPr>
        <w:t xml:space="preserve"> </w:t>
      </w:r>
      <w:r w:rsidRPr="003618E2">
        <w:rPr>
          <w:lang w:val="es-ES"/>
        </w:rPr>
        <w:t>mejorar</w:t>
      </w:r>
      <w:r w:rsidR="00D136BB">
        <w:rPr>
          <w:lang w:val="es-ES"/>
        </w:rPr>
        <w:t xml:space="preserve"> </w:t>
      </w:r>
      <w:r w:rsidRPr="003618E2">
        <w:rPr>
          <w:lang w:val="es-ES"/>
        </w:rPr>
        <w:t>los</w:t>
      </w:r>
      <w:r w:rsidR="00D136BB">
        <w:rPr>
          <w:lang w:val="es-ES"/>
        </w:rPr>
        <w:t xml:space="preserve"> </w:t>
      </w:r>
      <w:r w:rsidRPr="003618E2">
        <w:rPr>
          <w:lang w:val="es-ES"/>
        </w:rPr>
        <w:t>mecanismos</w:t>
      </w:r>
      <w:r w:rsidR="00D136BB">
        <w:rPr>
          <w:lang w:val="es-ES"/>
        </w:rPr>
        <w:t xml:space="preserve"> </w:t>
      </w:r>
      <w:r w:rsidRPr="003618E2">
        <w:rPr>
          <w:lang w:val="es-ES"/>
        </w:rPr>
        <w:t>de</w:t>
      </w:r>
      <w:r w:rsidR="00D136BB">
        <w:rPr>
          <w:lang w:val="es-ES"/>
        </w:rPr>
        <w:t xml:space="preserve"> </w:t>
      </w:r>
      <w:r w:rsidRPr="003618E2">
        <w:rPr>
          <w:lang w:val="es-ES"/>
        </w:rPr>
        <w:t>actualización</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normas</w:t>
      </w:r>
      <w:r w:rsidR="00D136BB">
        <w:rPr>
          <w:lang w:val="es-ES"/>
        </w:rPr>
        <w:t xml:space="preserve"> </w:t>
      </w:r>
      <w:r w:rsidRPr="003618E2">
        <w:rPr>
          <w:lang w:val="es-ES"/>
        </w:rPr>
        <w:t>nacionales</w:t>
      </w:r>
      <w:r w:rsidR="00D136BB">
        <w:rPr>
          <w:lang w:val="es-ES"/>
        </w:rPr>
        <w:t xml:space="preserve"> </w:t>
      </w:r>
      <w:r w:rsidRPr="003618E2">
        <w:rPr>
          <w:lang w:val="es-ES"/>
        </w:rPr>
        <w:t>vigentes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aplicables</w:t>
      </w:r>
      <w:r w:rsidR="00D136BB">
        <w:rPr>
          <w:lang w:val="es-ES"/>
        </w:rPr>
        <w:t xml:space="preserve"> </w:t>
      </w:r>
      <w:r w:rsidRPr="003618E2">
        <w:rPr>
          <w:lang w:val="es-ES"/>
        </w:rPr>
        <w:t>a</w:t>
      </w:r>
      <w:r w:rsidR="00D136BB">
        <w:rPr>
          <w:lang w:val="es-ES"/>
        </w:rPr>
        <w:t xml:space="preserve"> </w:t>
      </w:r>
      <w:r w:rsidRPr="003618E2">
        <w:rPr>
          <w:lang w:val="es-ES"/>
        </w:rPr>
        <w:t>esterilización</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médicos,</w:t>
      </w:r>
      <w:r w:rsidR="00D136BB">
        <w:rPr>
          <w:lang w:val="es-ES"/>
        </w:rPr>
        <w:t xml:space="preserve"> </w:t>
      </w:r>
      <w:r w:rsidRPr="003618E2">
        <w:rPr>
          <w:lang w:val="es-ES"/>
        </w:rPr>
        <w:t>utilizando</w:t>
      </w:r>
      <w:r w:rsidR="00D136BB">
        <w:rPr>
          <w:lang w:val="es-ES"/>
        </w:rPr>
        <w:t xml:space="preserve"> </w:t>
      </w:r>
      <w:r w:rsidRPr="003618E2">
        <w:rPr>
          <w:lang w:val="es-ES"/>
        </w:rPr>
        <w:t>radiación</w:t>
      </w:r>
      <w:r w:rsidR="00D136BB">
        <w:rPr>
          <w:lang w:val="es-ES"/>
        </w:rPr>
        <w:t xml:space="preserve"> </w:t>
      </w:r>
      <w:r w:rsidRPr="003618E2">
        <w:rPr>
          <w:lang w:val="es-ES"/>
        </w:rPr>
        <w:t>ionizante.</w:t>
      </w:r>
    </w:p>
    <w:p w14:paraId="280C6F54" w14:textId="78920D5B" w:rsidR="006D362C" w:rsidRPr="003618E2" w:rsidRDefault="006D362C" w:rsidP="006D362C">
      <w:pPr>
        <w:pStyle w:val="BodyText"/>
        <w:rPr>
          <w:b/>
          <w:lang w:val="es-ES"/>
        </w:rPr>
      </w:pPr>
      <w:r w:rsidRPr="003618E2">
        <w:rPr>
          <w:b/>
          <w:lang w:val="es-ES"/>
        </w:rPr>
        <w:t>Patrimonio</w:t>
      </w:r>
      <w:r w:rsidR="00D136BB">
        <w:rPr>
          <w:b/>
          <w:lang w:val="es-ES"/>
        </w:rPr>
        <w:t xml:space="preserve"> </w:t>
      </w:r>
      <w:r w:rsidRPr="003618E2">
        <w:rPr>
          <w:b/>
          <w:lang w:val="es-ES"/>
        </w:rPr>
        <w:t>cultural</w:t>
      </w:r>
      <w:r w:rsidR="00D136BB">
        <w:rPr>
          <w:b/>
          <w:lang w:val="es-ES"/>
        </w:rPr>
        <w:t xml:space="preserve"> </w:t>
      </w:r>
      <w:r w:rsidRPr="003618E2">
        <w:rPr>
          <w:b/>
          <w:lang w:val="es-ES"/>
        </w:rPr>
        <w:t>(RT,</w:t>
      </w:r>
      <w:r w:rsidR="00D136BB">
        <w:rPr>
          <w:b/>
          <w:lang w:val="es-ES"/>
        </w:rPr>
        <w:t xml:space="preserve">  </w:t>
      </w:r>
      <w:r w:rsidRPr="003618E2">
        <w:rPr>
          <w:b/>
          <w:lang w:val="es-ES"/>
        </w:rPr>
        <w:t>END,</w:t>
      </w:r>
      <w:r w:rsidR="00D136BB">
        <w:rPr>
          <w:b/>
          <w:lang w:val="es-ES"/>
        </w:rPr>
        <w:t xml:space="preserve"> </w:t>
      </w:r>
      <w:r w:rsidRPr="003618E2">
        <w:rPr>
          <w:b/>
          <w:lang w:val="es-ES"/>
        </w:rPr>
        <w:t>TAN)</w:t>
      </w:r>
    </w:p>
    <w:p w14:paraId="0017B592" w14:textId="3AF55BA3"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difusión</w:t>
      </w:r>
      <w:r w:rsidR="00D136BB">
        <w:rPr>
          <w:lang w:val="es-ES"/>
        </w:rPr>
        <w:t xml:space="preserve"> </w:t>
      </w:r>
      <w:r w:rsidRPr="003618E2">
        <w:rPr>
          <w:lang w:val="es-ES"/>
        </w:rPr>
        <w:t>del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nuclear</w:t>
      </w:r>
      <w:r w:rsidR="00D136BB">
        <w:rPr>
          <w:lang w:val="es-ES"/>
        </w:rPr>
        <w:t xml:space="preserve"> </w:t>
      </w:r>
      <w:r w:rsidRPr="003618E2">
        <w:rPr>
          <w:lang w:val="es-ES"/>
        </w:rPr>
        <w:t>en</w:t>
      </w:r>
      <w:r w:rsidR="00D136BB">
        <w:rPr>
          <w:lang w:val="es-ES"/>
        </w:rPr>
        <w:t xml:space="preserve"> </w:t>
      </w:r>
      <w:r w:rsidRPr="003618E2">
        <w:rPr>
          <w:lang w:val="es-ES"/>
        </w:rPr>
        <w:t>esta</w:t>
      </w:r>
      <w:r w:rsidR="00D136BB">
        <w:rPr>
          <w:lang w:val="es-ES"/>
        </w:rPr>
        <w:t xml:space="preserve"> </w:t>
      </w:r>
      <w:r w:rsidRPr="003618E2">
        <w:rPr>
          <w:lang w:val="es-ES"/>
        </w:rPr>
        <w:t>área</w:t>
      </w:r>
      <w:r w:rsidR="00D136BB">
        <w:rPr>
          <w:lang w:val="es-ES"/>
        </w:rPr>
        <w:t xml:space="preserve"> </w:t>
      </w:r>
      <w:r w:rsidRPr="003618E2">
        <w:rPr>
          <w:lang w:val="es-ES"/>
        </w:rPr>
        <w:t>y</w:t>
      </w:r>
      <w:r w:rsidR="00D136BB">
        <w:rPr>
          <w:lang w:val="es-ES"/>
        </w:rPr>
        <w:t xml:space="preserve"> </w:t>
      </w: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aceptación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profesionales</w:t>
      </w:r>
      <w:r w:rsidR="00D136BB">
        <w:rPr>
          <w:lang w:val="es-ES"/>
        </w:rPr>
        <w:t xml:space="preserve"> </w:t>
      </w:r>
      <w:r w:rsidRPr="003618E2">
        <w:rPr>
          <w:lang w:val="es-ES"/>
        </w:rPr>
        <w:t>de</w:t>
      </w:r>
      <w:r w:rsidR="00D136BB">
        <w:rPr>
          <w:lang w:val="es-ES"/>
        </w:rPr>
        <w:t xml:space="preserve"> </w:t>
      </w:r>
      <w:r w:rsidRPr="003618E2">
        <w:rPr>
          <w:lang w:val="es-ES"/>
        </w:rPr>
        <w:t>preservación</w:t>
      </w:r>
      <w:r w:rsidR="00D136BB">
        <w:rPr>
          <w:lang w:val="es-ES"/>
        </w:rPr>
        <w:t xml:space="preserve"> </w:t>
      </w:r>
      <w:r w:rsidRPr="003618E2">
        <w:rPr>
          <w:lang w:val="es-ES"/>
        </w:rPr>
        <w:t>y</w:t>
      </w:r>
      <w:r w:rsidR="00D136BB">
        <w:rPr>
          <w:lang w:val="es-ES"/>
        </w:rPr>
        <w:t xml:space="preserve"> </w:t>
      </w:r>
      <w:r w:rsidRPr="003618E2">
        <w:rPr>
          <w:lang w:val="es-ES"/>
        </w:rPr>
        <w:t>conservación</w:t>
      </w:r>
      <w:r w:rsidR="00D136BB">
        <w:rPr>
          <w:lang w:val="es-ES"/>
        </w:rPr>
        <w:t xml:space="preserve"> </w:t>
      </w:r>
      <w:r w:rsidRPr="003618E2">
        <w:rPr>
          <w:lang w:val="es-ES"/>
        </w:rPr>
        <w:t>de</w:t>
      </w:r>
      <w:r w:rsidR="00D136BB">
        <w:rPr>
          <w:lang w:val="es-ES"/>
        </w:rPr>
        <w:t xml:space="preserve"> </w:t>
      </w:r>
      <w:r w:rsidRPr="003618E2">
        <w:rPr>
          <w:lang w:val="es-ES"/>
        </w:rPr>
        <w:t>patrimonio</w:t>
      </w:r>
      <w:r w:rsidR="00D136BB">
        <w:rPr>
          <w:lang w:val="es-ES"/>
        </w:rPr>
        <w:t xml:space="preserve"> </w:t>
      </w:r>
      <w:r w:rsidRPr="003618E2">
        <w:rPr>
          <w:lang w:val="es-ES"/>
        </w:rPr>
        <w:t>cultural.</w:t>
      </w:r>
    </w:p>
    <w:p w14:paraId="289D6387" w14:textId="2A35D6CB"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experiencia</w:t>
      </w:r>
      <w:r w:rsidR="00D136BB">
        <w:rPr>
          <w:lang w:val="es-ES"/>
        </w:rPr>
        <w:t xml:space="preserve"> </w:t>
      </w:r>
      <w:r w:rsidRPr="003618E2">
        <w:rPr>
          <w:lang w:val="es-ES"/>
        </w:rPr>
        <w:t>y</w:t>
      </w:r>
      <w:r w:rsidR="00D136BB">
        <w:rPr>
          <w:lang w:val="es-ES"/>
        </w:rPr>
        <w:t xml:space="preserve"> </w:t>
      </w:r>
      <w:r w:rsidRPr="003618E2">
        <w:rPr>
          <w:lang w:val="es-ES"/>
        </w:rPr>
        <w:t>conocimientos</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adecuado</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tecnologías.</w:t>
      </w:r>
    </w:p>
    <w:p w14:paraId="39000271" w14:textId="5093562D" w:rsidR="006D362C" w:rsidRPr="003618E2" w:rsidRDefault="006D362C" w:rsidP="006D362C">
      <w:pPr>
        <w:pStyle w:val="BodyText"/>
        <w:numPr>
          <w:ilvl w:val="0"/>
          <w:numId w:val="31"/>
        </w:numPr>
        <w:rPr>
          <w:lang w:val="es-ES"/>
        </w:rPr>
      </w:pPr>
      <w:r w:rsidRPr="003618E2">
        <w:rPr>
          <w:lang w:val="es-ES"/>
        </w:rPr>
        <w:t>Debilidad</w:t>
      </w:r>
      <w:r w:rsidR="00D136BB">
        <w:rPr>
          <w:lang w:val="es-ES"/>
        </w:rPr>
        <w:t xml:space="preserve"> </w:t>
      </w:r>
      <w:r w:rsidRPr="003618E2">
        <w:rPr>
          <w:lang w:val="es-ES"/>
        </w:rPr>
        <w:t>en</w:t>
      </w:r>
      <w:r w:rsidR="00D136BB">
        <w:rPr>
          <w:lang w:val="es-ES"/>
        </w:rPr>
        <w:t xml:space="preserve"> </w:t>
      </w:r>
      <w:r w:rsidRPr="003618E2">
        <w:rPr>
          <w:lang w:val="es-ES"/>
        </w:rPr>
        <w:t>las</w:t>
      </w:r>
      <w:r w:rsidR="00D136BB">
        <w:rPr>
          <w:lang w:val="es-ES"/>
        </w:rPr>
        <w:t xml:space="preserve"> </w:t>
      </w:r>
      <w:r w:rsidRPr="003618E2">
        <w:rPr>
          <w:lang w:val="es-ES"/>
        </w:rPr>
        <w:t>redes</w:t>
      </w:r>
      <w:r w:rsidR="00D136BB">
        <w:rPr>
          <w:lang w:val="es-ES"/>
        </w:rPr>
        <w:t xml:space="preserve"> </w:t>
      </w:r>
      <w:r w:rsidRPr="003618E2">
        <w:rPr>
          <w:lang w:val="es-ES"/>
        </w:rPr>
        <w:t>colaborativas</w:t>
      </w:r>
      <w:r w:rsidR="00D136BB">
        <w:rPr>
          <w:lang w:val="es-ES"/>
        </w:rPr>
        <w:t xml:space="preserve"> </w:t>
      </w:r>
      <w:r w:rsidRPr="003618E2">
        <w:rPr>
          <w:lang w:val="es-ES"/>
        </w:rPr>
        <w:t>entre</w:t>
      </w:r>
      <w:r w:rsidR="00D136BB">
        <w:rPr>
          <w:lang w:val="es-ES"/>
        </w:rPr>
        <w:t xml:space="preserve"> </w:t>
      </w:r>
      <w:r w:rsidRPr="003618E2">
        <w:rPr>
          <w:lang w:val="es-ES"/>
        </w:rPr>
        <w:t>institucionales</w:t>
      </w:r>
      <w:r w:rsidR="00D136BB">
        <w:rPr>
          <w:lang w:val="es-ES"/>
        </w:rPr>
        <w:t xml:space="preserve"> </w:t>
      </w:r>
      <w:r w:rsidRPr="003618E2">
        <w:rPr>
          <w:lang w:val="es-ES"/>
        </w:rPr>
        <w:t>nucleares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profesionales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preservación</w:t>
      </w:r>
      <w:r w:rsidR="00D136BB">
        <w:rPr>
          <w:lang w:val="es-ES"/>
        </w:rPr>
        <w:t xml:space="preserve"> </w:t>
      </w:r>
      <w:r w:rsidRPr="003618E2">
        <w:rPr>
          <w:lang w:val="es-ES"/>
        </w:rPr>
        <w:t>y</w:t>
      </w:r>
      <w:r w:rsidR="00D136BB">
        <w:rPr>
          <w:lang w:val="es-ES"/>
        </w:rPr>
        <w:t xml:space="preserve"> </w:t>
      </w:r>
      <w:r w:rsidRPr="003618E2">
        <w:rPr>
          <w:lang w:val="es-ES"/>
        </w:rPr>
        <w:t>conservación</w:t>
      </w:r>
      <w:r w:rsidR="00D136BB">
        <w:rPr>
          <w:lang w:val="es-ES"/>
        </w:rPr>
        <w:t xml:space="preserve"> </w:t>
      </w:r>
      <w:r w:rsidRPr="003618E2">
        <w:rPr>
          <w:lang w:val="es-ES"/>
        </w:rPr>
        <w:t>del</w:t>
      </w:r>
      <w:r w:rsidR="00D136BB">
        <w:rPr>
          <w:lang w:val="es-ES"/>
        </w:rPr>
        <w:t xml:space="preserve"> </w:t>
      </w:r>
      <w:r w:rsidRPr="003618E2">
        <w:rPr>
          <w:lang w:val="es-ES"/>
        </w:rPr>
        <w:t>patrimonio</w:t>
      </w:r>
      <w:r w:rsidR="00D136BB">
        <w:rPr>
          <w:lang w:val="es-ES"/>
        </w:rPr>
        <w:t xml:space="preserve"> </w:t>
      </w:r>
      <w:r w:rsidRPr="003618E2">
        <w:rPr>
          <w:lang w:val="es-ES"/>
        </w:rPr>
        <w:t>cultural.</w:t>
      </w:r>
    </w:p>
    <w:p w14:paraId="506A8CB4" w14:textId="6E94E985" w:rsidR="006D362C" w:rsidRPr="003618E2" w:rsidRDefault="006D362C" w:rsidP="006D362C">
      <w:pPr>
        <w:pStyle w:val="BodyText"/>
        <w:numPr>
          <w:ilvl w:val="0"/>
          <w:numId w:val="31"/>
        </w:numPr>
        <w:rPr>
          <w:lang w:val="es-ES"/>
        </w:rPr>
      </w:pPr>
      <w:r w:rsidRPr="003618E2">
        <w:rPr>
          <w:lang w:val="es-ES"/>
        </w:rPr>
        <w:t>Cifras</w:t>
      </w:r>
      <w:r w:rsidR="00D136BB">
        <w:rPr>
          <w:lang w:val="es-ES"/>
        </w:rPr>
        <w:t xml:space="preserve"> </w:t>
      </w:r>
      <w:r w:rsidRPr="003618E2">
        <w:rPr>
          <w:lang w:val="es-ES"/>
        </w:rPr>
        <w:t>de</w:t>
      </w:r>
      <w:r w:rsidR="00D136BB">
        <w:rPr>
          <w:lang w:val="es-ES"/>
        </w:rPr>
        <w:t xml:space="preserve"> </w:t>
      </w:r>
      <w:r w:rsidRPr="003618E2">
        <w:rPr>
          <w:lang w:val="es-ES"/>
        </w:rPr>
        <w:t>referencia</w:t>
      </w:r>
      <w:r w:rsidR="00D136BB">
        <w:rPr>
          <w:lang w:val="es-ES"/>
        </w:rPr>
        <w:t xml:space="preserve"> </w:t>
      </w:r>
      <w:r w:rsidRPr="003618E2">
        <w:rPr>
          <w:lang w:val="es-ES"/>
        </w:rPr>
        <w:t>incompletas</w:t>
      </w:r>
      <w:r w:rsidR="00D136BB">
        <w:rPr>
          <w:lang w:val="es-ES"/>
        </w:rPr>
        <w:t xml:space="preserve"> </w:t>
      </w:r>
      <w:r w:rsidRPr="003618E2">
        <w:rPr>
          <w:lang w:val="es-ES"/>
        </w:rPr>
        <w:t>sobre</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p>
    <w:p w14:paraId="22A4C58F" w14:textId="24070937" w:rsidR="006D362C" w:rsidRPr="003618E2" w:rsidRDefault="006D362C" w:rsidP="006D362C">
      <w:pPr>
        <w:pStyle w:val="BodyText"/>
        <w:rPr>
          <w:b/>
          <w:bCs/>
          <w:lang w:val="es-ES"/>
        </w:rPr>
      </w:pPr>
      <w:r w:rsidRPr="003618E2">
        <w:rPr>
          <w:b/>
          <w:bCs/>
          <w:lang w:val="es-ES"/>
        </w:rPr>
        <w:t>Procesos</w:t>
      </w:r>
      <w:r w:rsidR="00D136BB">
        <w:rPr>
          <w:b/>
          <w:bCs/>
          <w:lang w:val="es-ES"/>
        </w:rPr>
        <w:t xml:space="preserve"> </w:t>
      </w:r>
      <w:r w:rsidRPr="003618E2">
        <w:rPr>
          <w:b/>
          <w:bCs/>
          <w:lang w:val="es-ES"/>
        </w:rPr>
        <w:t>y</w:t>
      </w:r>
      <w:r w:rsidR="00D136BB">
        <w:rPr>
          <w:b/>
          <w:bCs/>
          <w:lang w:val="es-ES"/>
        </w:rPr>
        <w:t xml:space="preserve"> </w:t>
      </w:r>
      <w:r w:rsidRPr="003618E2">
        <w:rPr>
          <w:b/>
          <w:bCs/>
          <w:lang w:val="es-ES"/>
        </w:rPr>
        <w:t>producción</w:t>
      </w:r>
      <w:r w:rsidR="00D136BB">
        <w:rPr>
          <w:b/>
          <w:bCs/>
          <w:lang w:val="es-ES"/>
        </w:rPr>
        <w:t xml:space="preserve"> </w:t>
      </w:r>
      <w:r w:rsidRPr="003618E2">
        <w:rPr>
          <w:b/>
          <w:bCs/>
          <w:lang w:val="es-ES"/>
        </w:rPr>
        <w:t>industrial</w:t>
      </w:r>
      <w:r w:rsidR="00D136BB">
        <w:rPr>
          <w:b/>
          <w:bCs/>
          <w:lang w:val="es-ES"/>
        </w:rPr>
        <w:t xml:space="preserve"> </w:t>
      </w:r>
      <w:r w:rsidRPr="003618E2">
        <w:rPr>
          <w:b/>
          <w:bCs/>
          <w:lang w:val="es-ES"/>
        </w:rPr>
        <w:t>(T,</w:t>
      </w:r>
      <w:r w:rsidR="00D136BB">
        <w:rPr>
          <w:b/>
          <w:bCs/>
          <w:lang w:val="es-ES"/>
        </w:rPr>
        <w:t xml:space="preserve"> </w:t>
      </w:r>
      <w:r w:rsidRPr="003618E2">
        <w:rPr>
          <w:b/>
          <w:bCs/>
          <w:lang w:val="es-ES"/>
        </w:rPr>
        <w:t>SCN,</w:t>
      </w:r>
      <w:r w:rsidR="00D136BB">
        <w:rPr>
          <w:b/>
          <w:bCs/>
          <w:lang w:val="es-ES"/>
        </w:rPr>
        <w:t xml:space="preserve"> </w:t>
      </w:r>
      <w:r w:rsidRPr="003618E2">
        <w:rPr>
          <w:b/>
          <w:bCs/>
          <w:lang w:val="es-ES"/>
        </w:rPr>
        <w:t>TAN).</w:t>
      </w:r>
    </w:p>
    <w:p w14:paraId="263BD591" w14:textId="25E52305" w:rsidR="006D362C" w:rsidRPr="003618E2" w:rsidRDefault="006D362C" w:rsidP="006D362C">
      <w:pPr>
        <w:pStyle w:val="BodyText"/>
        <w:numPr>
          <w:ilvl w:val="0"/>
          <w:numId w:val="31"/>
        </w:numPr>
        <w:rPr>
          <w:lang w:val="es-ES"/>
        </w:rPr>
      </w:pPr>
      <w:r w:rsidRPr="003618E2">
        <w:rPr>
          <w:lang w:val="es-ES"/>
        </w:rPr>
        <w:t>Disponibilidad</w:t>
      </w:r>
      <w:r w:rsidR="00D136BB">
        <w:rPr>
          <w:lang w:val="es-ES"/>
        </w:rPr>
        <w:t xml:space="preserve"> </w:t>
      </w:r>
      <w:r w:rsidRPr="003618E2">
        <w:rPr>
          <w:lang w:val="es-ES"/>
        </w:rPr>
        <w:t>limitada</w:t>
      </w:r>
      <w:r w:rsidR="00D136BB">
        <w:rPr>
          <w:lang w:val="es-ES"/>
        </w:rPr>
        <w:t xml:space="preserve"> </w:t>
      </w:r>
      <w:r w:rsidRPr="003618E2">
        <w:rPr>
          <w:lang w:val="es-ES"/>
        </w:rPr>
        <w:t>de</w:t>
      </w:r>
      <w:r w:rsidR="00D136BB">
        <w:rPr>
          <w:lang w:val="es-ES"/>
        </w:rPr>
        <w:t xml:space="preserve"> </w:t>
      </w:r>
      <w:r w:rsidRPr="003618E2">
        <w:rPr>
          <w:lang w:val="es-ES"/>
        </w:rPr>
        <w:t>radiotrazadores.</w:t>
      </w:r>
    </w:p>
    <w:p w14:paraId="607CF49D" w14:textId="787B7D84" w:rsidR="006D362C" w:rsidRPr="003618E2" w:rsidRDefault="006D362C" w:rsidP="006D362C">
      <w:pPr>
        <w:pStyle w:val="BodyText"/>
        <w:numPr>
          <w:ilvl w:val="0"/>
          <w:numId w:val="31"/>
        </w:numPr>
        <w:rPr>
          <w:lang w:val="es-ES"/>
        </w:rPr>
      </w:pPr>
      <w:r w:rsidRPr="003618E2">
        <w:rPr>
          <w:lang w:val="es-ES"/>
        </w:rPr>
        <w:t>Regulación</w:t>
      </w:r>
      <w:r w:rsidR="00D136BB">
        <w:rPr>
          <w:lang w:val="es-ES"/>
        </w:rPr>
        <w:t xml:space="preserve"> </w:t>
      </w:r>
      <w:r w:rsidRPr="003618E2">
        <w:rPr>
          <w:lang w:val="es-ES"/>
        </w:rPr>
        <w:t>restrictiva.</w:t>
      </w:r>
    </w:p>
    <w:p w14:paraId="34C11C2E" w14:textId="7F66DC93" w:rsidR="006D362C" w:rsidRPr="003618E2" w:rsidRDefault="006D362C" w:rsidP="006D362C">
      <w:pPr>
        <w:pStyle w:val="BodyText"/>
        <w:rPr>
          <w:b/>
          <w:lang w:val="fr-FR"/>
        </w:rPr>
      </w:pPr>
      <w:r w:rsidRPr="003618E2">
        <w:rPr>
          <w:b/>
          <w:lang w:val="fr-FR"/>
        </w:rPr>
        <w:t>Recursos</w:t>
      </w:r>
      <w:r w:rsidR="00D136BB">
        <w:rPr>
          <w:b/>
          <w:lang w:val="fr-FR"/>
        </w:rPr>
        <w:t xml:space="preserve"> </w:t>
      </w:r>
      <w:r w:rsidRPr="003618E2">
        <w:rPr>
          <w:b/>
          <w:lang w:val="fr-FR"/>
        </w:rPr>
        <w:t>naturales</w:t>
      </w:r>
      <w:r w:rsidR="00D136BB">
        <w:rPr>
          <w:b/>
          <w:lang w:val="fr-FR"/>
        </w:rPr>
        <w:t xml:space="preserve"> </w:t>
      </w:r>
      <w:r w:rsidRPr="003618E2">
        <w:rPr>
          <w:b/>
          <w:lang w:val="fr-FR"/>
        </w:rPr>
        <w:t>(PR,</w:t>
      </w:r>
      <w:r w:rsidR="00D136BB">
        <w:rPr>
          <w:b/>
          <w:lang w:val="fr-FR"/>
        </w:rPr>
        <w:t xml:space="preserve"> </w:t>
      </w:r>
      <w:r w:rsidRPr="003618E2">
        <w:rPr>
          <w:b/>
          <w:lang w:val="fr-FR"/>
        </w:rPr>
        <w:t>T,</w:t>
      </w:r>
      <w:r w:rsidR="00D136BB">
        <w:rPr>
          <w:b/>
          <w:lang w:val="fr-FR"/>
        </w:rPr>
        <w:t xml:space="preserve"> </w:t>
      </w:r>
      <w:r w:rsidRPr="003618E2">
        <w:rPr>
          <w:b/>
          <w:lang w:val="fr-FR"/>
        </w:rPr>
        <w:t>SCN,</w:t>
      </w:r>
      <w:r w:rsidR="00D136BB">
        <w:rPr>
          <w:b/>
          <w:lang w:val="fr-FR"/>
        </w:rPr>
        <w:t xml:space="preserve"> </w:t>
      </w:r>
      <w:r w:rsidRPr="003618E2">
        <w:rPr>
          <w:b/>
          <w:lang w:val="fr-FR"/>
        </w:rPr>
        <w:t>TAN)</w:t>
      </w:r>
    </w:p>
    <w:p w14:paraId="6F62CED3" w14:textId="2235FD7E" w:rsidR="006D362C" w:rsidRPr="003618E2" w:rsidRDefault="006D362C" w:rsidP="006D362C">
      <w:pPr>
        <w:pStyle w:val="BodyText"/>
        <w:numPr>
          <w:ilvl w:val="0"/>
          <w:numId w:val="31"/>
        </w:numPr>
        <w:rPr>
          <w:lang w:val="es-ES"/>
        </w:rPr>
      </w:pPr>
      <w:r w:rsidRPr="003618E2">
        <w:rPr>
          <w:lang w:val="es-ES"/>
        </w:rPr>
        <w:t>Etapa</w:t>
      </w:r>
      <w:r w:rsidR="00D136BB">
        <w:rPr>
          <w:lang w:val="es-ES"/>
        </w:rPr>
        <w:t xml:space="preserve"> </w:t>
      </w:r>
      <w:r w:rsidRPr="003618E2">
        <w:rPr>
          <w:lang w:val="es-ES"/>
        </w:rPr>
        <w:t>temprana</w:t>
      </w:r>
      <w:r w:rsidR="00D136BB">
        <w:rPr>
          <w:lang w:val="es-ES"/>
        </w:rPr>
        <w:t xml:space="preserve"> </w:t>
      </w:r>
      <w:r w:rsidRPr="003618E2">
        <w:rPr>
          <w:lang w:val="es-ES"/>
        </w:rPr>
        <w:t>de</w:t>
      </w:r>
      <w:r w:rsidR="00D136BB">
        <w:rPr>
          <w:lang w:val="es-ES"/>
        </w:rPr>
        <w:t xml:space="preserve"> </w:t>
      </w:r>
      <w:r w:rsidRPr="003618E2">
        <w:rPr>
          <w:lang w:val="es-ES"/>
        </w:rPr>
        <w:t>desarrollo</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p>
    <w:p w14:paraId="3CA564BF" w14:textId="7E84F1C1"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continuidad</w:t>
      </w:r>
      <w:r w:rsidR="00D136BB">
        <w:rPr>
          <w:lang w:val="es-ES"/>
        </w:rPr>
        <w:t xml:space="preserve"> </w:t>
      </w:r>
      <w:r w:rsidRPr="003618E2">
        <w:rPr>
          <w:lang w:val="es-ES"/>
        </w:rPr>
        <w:t>en</w:t>
      </w:r>
      <w:r w:rsidR="00D136BB">
        <w:rPr>
          <w:lang w:val="es-ES"/>
        </w:rPr>
        <w:t xml:space="preserve"> </w:t>
      </w:r>
      <w:r w:rsidRPr="003618E2">
        <w:rPr>
          <w:lang w:val="es-ES"/>
        </w:rPr>
        <w:t>los</w:t>
      </w:r>
      <w:r w:rsidR="00D136BB">
        <w:rPr>
          <w:lang w:val="es-ES"/>
        </w:rPr>
        <w:t xml:space="preserve"> </w:t>
      </w:r>
      <w:r w:rsidRPr="003618E2">
        <w:rPr>
          <w:lang w:val="es-ES"/>
        </w:rPr>
        <w:t>grupos</w:t>
      </w:r>
      <w:r w:rsidR="00D136BB">
        <w:rPr>
          <w:lang w:val="es-ES"/>
        </w:rPr>
        <w:t xml:space="preserve"> </w:t>
      </w:r>
      <w:r w:rsidRPr="003618E2">
        <w:rPr>
          <w:lang w:val="es-ES"/>
        </w:rPr>
        <w:t>de</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radiotrazadores.</w:t>
      </w:r>
    </w:p>
    <w:p w14:paraId="3016C309" w14:textId="55016FAD" w:rsidR="006D362C" w:rsidRPr="003618E2" w:rsidRDefault="006D362C" w:rsidP="006D362C">
      <w:pPr>
        <w:pStyle w:val="BodyText"/>
        <w:numPr>
          <w:ilvl w:val="0"/>
          <w:numId w:val="31"/>
        </w:numPr>
        <w:rPr>
          <w:lang w:val="es-ES"/>
        </w:rPr>
      </w:pP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estandarización</w:t>
      </w:r>
      <w:r w:rsidR="00D136BB">
        <w:rPr>
          <w:lang w:val="es-ES"/>
        </w:rPr>
        <w:t xml:space="preserve"> </w:t>
      </w:r>
      <w:r w:rsidRPr="003618E2">
        <w:rPr>
          <w:lang w:val="es-ES"/>
        </w:rPr>
        <w:t>de</w:t>
      </w:r>
      <w:r w:rsidR="00D136BB">
        <w:rPr>
          <w:lang w:val="es-ES"/>
        </w:rPr>
        <w:t xml:space="preserve"> </w:t>
      </w:r>
      <w:r w:rsidRPr="003618E2">
        <w:rPr>
          <w:lang w:val="es-ES"/>
        </w:rPr>
        <w:t>ciertos</w:t>
      </w:r>
      <w:r w:rsidR="00D136BB">
        <w:rPr>
          <w:lang w:val="es-ES"/>
        </w:rPr>
        <w:t xml:space="preserve"> </w:t>
      </w:r>
      <w:r w:rsidRPr="003618E2">
        <w:rPr>
          <w:lang w:val="es-ES"/>
        </w:rPr>
        <w:t>procesos</w:t>
      </w:r>
      <w:r w:rsidR="00D136BB">
        <w:rPr>
          <w:lang w:val="es-ES"/>
        </w:rPr>
        <w:t xml:space="preserve"> </w:t>
      </w:r>
      <w:r w:rsidRPr="003618E2">
        <w:rPr>
          <w:lang w:val="es-ES"/>
        </w:rPr>
        <w:t>y</w:t>
      </w:r>
      <w:r w:rsidR="00D136BB">
        <w:rPr>
          <w:lang w:val="es-ES"/>
        </w:rPr>
        <w:t xml:space="preserve"> </w:t>
      </w:r>
      <w:r w:rsidRPr="003618E2">
        <w:rPr>
          <w:lang w:val="es-ES"/>
        </w:rPr>
        <w:t>productos</w:t>
      </w:r>
      <w:r w:rsidR="00D136BB">
        <w:rPr>
          <w:lang w:val="es-ES"/>
        </w:rPr>
        <w:t xml:space="preserve"> </w:t>
      </w:r>
      <w:r w:rsidRPr="003618E2">
        <w:rPr>
          <w:lang w:val="es-ES"/>
        </w:rPr>
        <w:t>(para</w:t>
      </w:r>
      <w:r w:rsidR="00D136BB">
        <w:rPr>
          <w:lang w:val="es-ES"/>
        </w:rPr>
        <w:t xml:space="preserve"> </w:t>
      </w:r>
      <w:r w:rsidRPr="003618E2">
        <w:rPr>
          <w:lang w:val="es-ES"/>
        </w:rPr>
        <w:t>uso</w:t>
      </w:r>
      <w:r w:rsidR="00D136BB">
        <w:rPr>
          <w:lang w:val="es-ES"/>
        </w:rPr>
        <w:t xml:space="preserve"> </w:t>
      </w:r>
      <w:r w:rsidRPr="003618E2">
        <w:rPr>
          <w:lang w:val="es-ES"/>
        </w:rPr>
        <w:t>comercial).</w:t>
      </w:r>
    </w:p>
    <w:p w14:paraId="74450D54" w14:textId="7A281F01" w:rsidR="006D362C" w:rsidRPr="003618E2" w:rsidRDefault="006D362C" w:rsidP="006D362C">
      <w:pPr>
        <w:pStyle w:val="BodyText"/>
        <w:rPr>
          <w:b/>
          <w:lang w:val="es-ES"/>
        </w:rPr>
      </w:pPr>
      <w:r w:rsidRPr="003618E2">
        <w:rPr>
          <w:b/>
          <w:lang w:val="es-ES"/>
        </w:rPr>
        <w:lastRenderedPageBreak/>
        <w:t>Tecnologías</w:t>
      </w:r>
      <w:r w:rsidR="00D136BB">
        <w:rPr>
          <w:b/>
          <w:lang w:val="es-ES"/>
        </w:rPr>
        <w:t xml:space="preserve"> </w:t>
      </w:r>
      <w:r w:rsidRPr="003618E2">
        <w:rPr>
          <w:b/>
          <w:lang w:val="es-ES"/>
        </w:rPr>
        <w:t>de</w:t>
      </w:r>
      <w:r w:rsidR="00D136BB">
        <w:rPr>
          <w:b/>
          <w:lang w:val="es-ES"/>
        </w:rPr>
        <w:t xml:space="preserve"> </w:t>
      </w:r>
      <w:r w:rsidRPr="003618E2">
        <w:rPr>
          <w:b/>
          <w:lang w:val="es-ES"/>
        </w:rPr>
        <w:t>inspección</w:t>
      </w:r>
      <w:r w:rsidR="00D136BB">
        <w:rPr>
          <w:b/>
          <w:lang w:val="es-ES"/>
        </w:rPr>
        <w:t xml:space="preserve"> </w:t>
      </w:r>
      <w:r w:rsidRPr="003618E2">
        <w:rPr>
          <w:b/>
          <w:lang w:val="es-ES"/>
        </w:rPr>
        <w:t>(END,</w:t>
      </w:r>
      <w:r w:rsidR="00D136BB">
        <w:rPr>
          <w:b/>
          <w:lang w:val="es-ES"/>
        </w:rPr>
        <w:t xml:space="preserve"> </w:t>
      </w:r>
      <w:r w:rsidRPr="003618E2">
        <w:rPr>
          <w:b/>
          <w:lang w:val="es-ES"/>
        </w:rPr>
        <w:t>SCN)</w:t>
      </w:r>
    </w:p>
    <w:p w14:paraId="46E8AA56" w14:textId="75420912" w:rsidR="00853115" w:rsidRDefault="006D362C" w:rsidP="00853115">
      <w:pPr>
        <w:pStyle w:val="BodyText"/>
        <w:numPr>
          <w:ilvl w:val="0"/>
          <w:numId w:val="31"/>
        </w:numPr>
        <w:rPr>
          <w:lang w:val="es-ES"/>
        </w:rPr>
      </w:pPr>
      <w:r w:rsidRPr="003618E2">
        <w:rPr>
          <w:lang w:val="es-ES"/>
        </w:rPr>
        <w:t>No</w:t>
      </w:r>
      <w:r w:rsidR="00D136BB">
        <w:rPr>
          <w:lang w:val="es-ES"/>
        </w:rPr>
        <w:t xml:space="preserve"> </w:t>
      </w:r>
      <w:r w:rsidRPr="003618E2">
        <w:rPr>
          <w:lang w:val="es-ES"/>
        </w:rPr>
        <w:t>está</w:t>
      </w:r>
      <w:r w:rsidR="00D136BB">
        <w:rPr>
          <w:lang w:val="es-ES"/>
        </w:rPr>
        <w:t xml:space="preserve"> </w:t>
      </w:r>
      <w:r w:rsidRPr="003618E2">
        <w:rPr>
          <w:lang w:val="es-ES"/>
        </w:rPr>
        <w:t>armonizada</w:t>
      </w:r>
      <w:r w:rsidR="00D136BB">
        <w:rPr>
          <w:lang w:val="es-ES"/>
        </w:rPr>
        <w:t xml:space="preserve"> </w:t>
      </w:r>
      <w:r w:rsidRPr="003618E2">
        <w:rPr>
          <w:lang w:val="es-ES"/>
        </w:rPr>
        <w:t>la</w:t>
      </w:r>
      <w:r w:rsidR="00D136BB">
        <w:rPr>
          <w:lang w:val="es-ES"/>
        </w:rPr>
        <w:t xml:space="preserve"> </w:t>
      </w:r>
      <w:r w:rsidRPr="003618E2">
        <w:rPr>
          <w:lang w:val="es-ES"/>
        </w:rPr>
        <w:t>certificación</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capacidad</w:t>
      </w:r>
      <w:r w:rsidR="00D136BB">
        <w:rPr>
          <w:lang w:val="es-ES"/>
        </w:rPr>
        <w:t xml:space="preserve"> </w:t>
      </w:r>
      <w:r w:rsidRPr="003618E2">
        <w:rPr>
          <w:lang w:val="es-ES"/>
        </w:rPr>
        <w:t>del</w:t>
      </w:r>
      <w:r w:rsidR="00D136BB">
        <w:rPr>
          <w:lang w:val="es-ES"/>
        </w:rPr>
        <w:t xml:space="preserve"> </w:t>
      </w:r>
      <w:r w:rsidRPr="003618E2">
        <w:rPr>
          <w:lang w:val="es-ES"/>
        </w:rPr>
        <w:t>personal</w:t>
      </w:r>
      <w:r w:rsidR="00D136BB">
        <w:rPr>
          <w:lang w:val="es-ES"/>
        </w:rPr>
        <w:t xml:space="preserve"> </w:t>
      </w:r>
      <w:r w:rsidRPr="003618E2">
        <w:rPr>
          <w:lang w:val="es-ES"/>
        </w:rPr>
        <w:t>entre</w:t>
      </w:r>
      <w:r w:rsidR="00D136BB">
        <w:rPr>
          <w:lang w:val="es-ES"/>
        </w:rPr>
        <w:t xml:space="preserve"> </w:t>
      </w:r>
      <w:r w:rsidRPr="003618E2">
        <w:rPr>
          <w:lang w:val="es-ES"/>
        </w:rPr>
        <w:t>las</w:t>
      </w:r>
      <w:r w:rsidR="00D136BB">
        <w:rPr>
          <w:lang w:val="es-ES"/>
        </w:rPr>
        <w:t xml:space="preserve"> </w:t>
      </w:r>
      <w:r w:rsidRPr="003618E2">
        <w:rPr>
          <w:lang w:val="es-ES"/>
        </w:rPr>
        <w:t>normas</w:t>
      </w:r>
      <w:r w:rsidR="00D136BB">
        <w:rPr>
          <w:lang w:val="es-ES"/>
        </w:rPr>
        <w:t xml:space="preserve"> </w:t>
      </w:r>
      <w:r w:rsidRPr="003618E2">
        <w:rPr>
          <w:lang w:val="es-ES"/>
        </w:rPr>
        <w:t>internacionales</w:t>
      </w:r>
      <w:r w:rsidR="00D136BB">
        <w:rPr>
          <w:lang w:val="es-ES"/>
        </w:rPr>
        <w:t xml:space="preserve"> </w:t>
      </w:r>
      <w:r w:rsidRPr="003618E2">
        <w:rPr>
          <w:lang w:val="es-ES"/>
        </w:rPr>
        <w:t>ISO9712</w:t>
      </w:r>
      <w:r w:rsidR="00D136BB">
        <w:rPr>
          <w:lang w:val="es-ES"/>
        </w:rPr>
        <w:t xml:space="preserve"> </w:t>
      </w:r>
      <w:r w:rsidRPr="003618E2">
        <w:rPr>
          <w:lang w:val="es-ES"/>
        </w:rPr>
        <w:t>y</w:t>
      </w:r>
      <w:r w:rsidR="00D136BB">
        <w:rPr>
          <w:lang w:val="es-ES"/>
        </w:rPr>
        <w:t xml:space="preserve"> </w:t>
      </w:r>
      <w:r w:rsidRPr="003618E2">
        <w:rPr>
          <w:lang w:val="es-ES"/>
        </w:rPr>
        <w:t>SNT</w:t>
      </w:r>
      <w:r w:rsidR="00D136BB">
        <w:rPr>
          <w:lang w:val="es-ES"/>
        </w:rPr>
        <w:t xml:space="preserve"> </w:t>
      </w:r>
      <w:r w:rsidRPr="003618E2">
        <w:rPr>
          <w:lang w:val="es-ES"/>
        </w:rPr>
        <w:t>TC1A.</w:t>
      </w:r>
    </w:p>
    <w:p w14:paraId="0162F845" w14:textId="77777777" w:rsidR="003D5081" w:rsidRPr="003D5081" w:rsidRDefault="003D5081" w:rsidP="003D5081">
      <w:pPr>
        <w:pStyle w:val="BodyText"/>
        <w:ind w:left="930"/>
        <w:rPr>
          <w:lang w:val="es-ES"/>
        </w:rPr>
      </w:pPr>
    </w:p>
    <w:p w14:paraId="1D025D50" w14:textId="77777777" w:rsidR="003D5081" w:rsidRPr="003618E2" w:rsidRDefault="003D5081" w:rsidP="003D5081">
      <w:pPr>
        <w:pStyle w:val="BodyText"/>
        <w:rPr>
          <w:b/>
          <w:bCs/>
          <w:lang w:val="es-MX"/>
        </w:rPr>
      </w:pPr>
      <w:r w:rsidRPr="003618E2">
        <w:rPr>
          <w:b/>
          <w:bCs/>
          <w:lang w:val="es-MX"/>
        </w:rPr>
        <w:t>4.</w:t>
      </w:r>
      <w:r>
        <w:rPr>
          <w:b/>
          <w:bCs/>
          <w:lang w:val="es-MX"/>
        </w:rPr>
        <w:t xml:space="preserve"> </w:t>
      </w:r>
      <w:r w:rsidRPr="003618E2">
        <w:rPr>
          <w:b/>
          <w:bCs/>
          <w:lang w:val="es-MX"/>
        </w:rPr>
        <w:t>Amenazas</w:t>
      </w:r>
    </w:p>
    <w:p w14:paraId="7EC2854C" w14:textId="77777777" w:rsidR="003D5081" w:rsidRPr="003618E2" w:rsidRDefault="003D5081" w:rsidP="003D5081">
      <w:pPr>
        <w:pStyle w:val="BodyText"/>
        <w:rPr>
          <w:b/>
        </w:rPr>
      </w:pPr>
      <w:r>
        <w:rPr>
          <w:lang w:val="es-ES"/>
        </w:rPr>
        <w:t xml:space="preserve"> </w:t>
      </w:r>
      <w:r w:rsidRPr="003618E2">
        <w:rPr>
          <w:lang w:val="es-ES"/>
        </w:rPr>
        <w:tab/>
      </w:r>
      <w:r w:rsidRPr="003618E2">
        <w:rPr>
          <w:b/>
        </w:rPr>
        <w:t>Agua</w:t>
      </w:r>
      <w:r>
        <w:rPr>
          <w:b/>
        </w:rPr>
        <w:t xml:space="preserve"> </w:t>
      </w:r>
      <w:r w:rsidRPr="003618E2">
        <w:rPr>
          <w:b/>
        </w:rPr>
        <w:t>(PR,</w:t>
      </w:r>
      <w:r>
        <w:rPr>
          <w:b/>
        </w:rPr>
        <w:t xml:space="preserve"> </w:t>
      </w:r>
      <w:r w:rsidRPr="003618E2">
        <w:rPr>
          <w:b/>
        </w:rPr>
        <w:t>T)</w:t>
      </w:r>
    </w:p>
    <w:p w14:paraId="0780C081" w14:textId="77777777" w:rsidR="003D5081" w:rsidRPr="003618E2" w:rsidRDefault="003D5081" w:rsidP="003D5081">
      <w:pPr>
        <w:pStyle w:val="BodyText"/>
        <w:numPr>
          <w:ilvl w:val="0"/>
          <w:numId w:val="32"/>
        </w:numPr>
        <w:rPr>
          <w:lang w:val="es-ES"/>
        </w:rPr>
      </w:pPr>
      <w:r w:rsidRPr="003618E2">
        <w:rPr>
          <w:lang w:val="es-ES"/>
        </w:rPr>
        <w:t>Percepción</w:t>
      </w:r>
      <w:r>
        <w:rPr>
          <w:lang w:val="es-ES"/>
        </w:rPr>
        <w:t xml:space="preserve"> </w:t>
      </w:r>
      <w:r w:rsidRPr="003618E2">
        <w:rPr>
          <w:lang w:val="es-ES"/>
        </w:rPr>
        <w:t>pública</w:t>
      </w:r>
      <w:r>
        <w:rPr>
          <w:lang w:val="es-ES"/>
        </w:rPr>
        <w:t xml:space="preserve"> </w:t>
      </w:r>
      <w:r w:rsidRPr="003618E2">
        <w:rPr>
          <w:lang w:val="es-ES"/>
        </w:rPr>
        <w:t>negativa</w:t>
      </w:r>
      <w:r>
        <w:rPr>
          <w:lang w:val="es-ES"/>
        </w:rPr>
        <w:t xml:space="preserve"> </w:t>
      </w:r>
      <w:r w:rsidRPr="003618E2">
        <w:rPr>
          <w:lang w:val="es-ES"/>
        </w:rPr>
        <w:t>y</w:t>
      </w:r>
      <w:r>
        <w:rPr>
          <w:lang w:val="es-ES"/>
        </w:rPr>
        <w:t xml:space="preserve"> </w:t>
      </w:r>
      <w:r w:rsidRPr="003618E2">
        <w:rPr>
          <w:lang w:val="es-ES"/>
        </w:rPr>
        <w:t>desconocimiento</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ventajas</w:t>
      </w:r>
      <w:r>
        <w:rPr>
          <w:lang w:val="es-ES"/>
        </w:rPr>
        <w:t xml:space="preserve"> </w:t>
      </w:r>
      <w:r w:rsidRPr="003618E2">
        <w:rPr>
          <w:lang w:val="es-ES"/>
        </w:rPr>
        <w:t>de</w:t>
      </w:r>
      <w:r>
        <w:rPr>
          <w:lang w:val="es-ES"/>
        </w:rPr>
        <w:t xml:space="preserve"> </w:t>
      </w:r>
      <w:r w:rsidRPr="003618E2">
        <w:rPr>
          <w:lang w:val="es-ES"/>
        </w:rPr>
        <w:t>la</w:t>
      </w:r>
      <w:r>
        <w:rPr>
          <w:lang w:val="es-ES"/>
        </w:rPr>
        <w:t xml:space="preserve"> </w:t>
      </w:r>
      <w:r w:rsidRPr="003618E2">
        <w:rPr>
          <w:lang w:val="es-ES"/>
        </w:rPr>
        <w:t>gestión</w:t>
      </w:r>
      <w:r>
        <w:rPr>
          <w:lang w:val="es-ES"/>
        </w:rPr>
        <w:t xml:space="preserve"> </w:t>
      </w:r>
      <w:r w:rsidRPr="003618E2">
        <w:rPr>
          <w:lang w:val="es-ES"/>
        </w:rPr>
        <w:t>los</w:t>
      </w:r>
      <w:r>
        <w:rPr>
          <w:lang w:val="es-ES"/>
        </w:rPr>
        <w:t xml:space="preserve"> </w:t>
      </w:r>
      <w:r w:rsidRPr="003618E2">
        <w:rPr>
          <w:lang w:val="es-ES"/>
        </w:rPr>
        <w:t>recursos</w:t>
      </w:r>
      <w:r>
        <w:rPr>
          <w:lang w:val="es-ES"/>
        </w:rPr>
        <w:t xml:space="preserve"> </w:t>
      </w:r>
      <w:r w:rsidRPr="003618E2">
        <w:rPr>
          <w:lang w:val="es-ES"/>
        </w:rPr>
        <w:t>hídricos</w:t>
      </w:r>
      <w:r>
        <w:rPr>
          <w:lang w:val="es-ES"/>
        </w:rPr>
        <w:t xml:space="preserve"> </w:t>
      </w:r>
      <w:r w:rsidRPr="003618E2">
        <w:rPr>
          <w:lang w:val="es-ES"/>
        </w:rPr>
        <w:t>con</w:t>
      </w:r>
      <w:r>
        <w:rPr>
          <w:lang w:val="es-ES"/>
        </w:rPr>
        <w:t xml:space="preserve"> </w:t>
      </w:r>
      <w:r w:rsidRPr="003618E2">
        <w:rPr>
          <w:lang w:val="es-ES"/>
        </w:rPr>
        <w:t>tecnologías</w:t>
      </w:r>
      <w:r>
        <w:rPr>
          <w:lang w:val="es-ES"/>
        </w:rPr>
        <w:t xml:space="preserve"> </w:t>
      </w:r>
      <w:r w:rsidRPr="003618E2">
        <w:rPr>
          <w:lang w:val="es-ES"/>
        </w:rPr>
        <w:t>con</w:t>
      </w:r>
      <w:r>
        <w:rPr>
          <w:lang w:val="es-ES"/>
        </w:rPr>
        <w:t xml:space="preserve"> </w:t>
      </w:r>
      <w:r w:rsidRPr="003618E2">
        <w:rPr>
          <w:lang w:val="es-ES"/>
        </w:rPr>
        <w:t>radiación.</w:t>
      </w:r>
    </w:p>
    <w:p w14:paraId="7165CD22" w14:textId="77777777" w:rsidR="003D5081" w:rsidRPr="003618E2" w:rsidRDefault="003D5081" w:rsidP="003D5081">
      <w:pPr>
        <w:pStyle w:val="BodyText"/>
        <w:rPr>
          <w:b/>
          <w:lang w:val="es-MX"/>
        </w:rPr>
      </w:pPr>
      <w:r w:rsidRPr="003618E2">
        <w:rPr>
          <w:b/>
          <w:lang w:val="es-MX"/>
        </w:rPr>
        <w:t>Ambiente</w:t>
      </w:r>
      <w:r>
        <w:rPr>
          <w:b/>
          <w:lang w:val="es-MX"/>
        </w:rPr>
        <w:t xml:space="preserve"> </w:t>
      </w:r>
      <w:r w:rsidRPr="003618E2">
        <w:rPr>
          <w:b/>
          <w:lang w:val="es-MX"/>
        </w:rPr>
        <w:t>(PR,</w:t>
      </w:r>
      <w:r>
        <w:rPr>
          <w:b/>
          <w:lang w:val="es-MX"/>
        </w:rPr>
        <w:t xml:space="preserve"> </w:t>
      </w:r>
      <w:r w:rsidRPr="003618E2">
        <w:rPr>
          <w:b/>
          <w:lang w:val="es-MX"/>
        </w:rPr>
        <w:t>SNC,</w:t>
      </w:r>
      <w:r>
        <w:rPr>
          <w:b/>
          <w:lang w:val="es-MX"/>
        </w:rPr>
        <w:t xml:space="preserve"> </w:t>
      </w:r>
      <w:r w:rsidRPr="003618E2">
        <w:rPr>
          <w:b/>
          <w:lang w:val="es-MX"/>
        </w:rPr>
        <w:t>TAN,</w:t>
      </w:r>
      <w:r>
        <w:rPr>
          <w:b/>
          <w:lang w:val="es-MX"/>
        </w:rPr>
        <w:t xml:space="preserve"> </w:t>
      </w:r>
      <w:r w:rsidRPr="003618E2">
        <w:rPr>
          <w:b/>
          <w:lang w:val="es-MX"/>
        </w:rPr>
        <w:t>SCN)</w:t>
      </w:r>
    </w:p>
    <w:p w14:paraId="697B7B00" w14:textId="77777777" w:rsidR="003D5081" w:rsidRPr="003618E2" w:rsidRDefault="003D5081" w:rsidP="003D5081">
      <w:pPr>
        <w:pStyle w:val="BodyText"/>
        <w:numPr>
          <w:ilvl w:val="0"/>
          <w:numId w:val="32"/>
        </w:numPr>
        <w:rPr>
          <w:lang w:val="es-ES"/>
        </w:rPr>
      </w:pPr>
      <w:r w:rsidRPr="003618E2">
        <w:rPr>
          <w:lang w:val="es-ES"/>
        </w:rPr>
        <w:t>Percepción</w:t>
      </w:r>
      <w:r>
        <w:rPr>
          <w:lang w:val="es-ES"/>
        </w:rPr>
        <w:t xml:space="preserve"> </w:t>
      </w:r>
      <w:r w:rsidRPr="003618E2">
        <w:rPr>
          <w:lang w:val="es-ES"/>
        </w:rPr>
        <w:t>pública</w:t>
      </w:r>
      <w:r>
        <w:rPr>
          <w:lang w:val="es-ES"/>
        </w:rPr>
        <w:t xml:space="preserve"> </w:t>
      </w:r>
      <w:r w:rsidRPr="003618E2">
        <w:rPr>
          <w:lang w:val="es-ES"/>
        </w:rPr>
        <w:t>negativa</w:t>
      </w:r>
      <w:r>
        <w:rPr>
          <w:lang w:val="es-ES"/>
        </w:rPr>
        <w:t xml:space="preserve"> </w:t>
      </w:r>
      <w:r w:rsidRPr="003618E2">
        <w:rPr>
          <w:lang w:val="es-ES"/>
        </w:rPr>
        <w:t>y</w:t>
      </w:r>
      <w:r>
        <w:rPr>
          <w:lang w:val="es-ES"/>
        </w:rPr>
        <w:t xml:space="preserve"> </w:t>
      </w:r>
      <w:r w:rsidRPr="003618E2">
        <w:rPr>
          <w:lang w:val="es-ES"/>
        </w:rPr>
        <w:t>desconocimiento</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ventajas</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tecnologías</w:t>
      </w:r>
      <w:r>
        <w:rPr>
          <w:lang w:val="es-ES"/>
        </w:rPr>
        <w:t xml:space="preserve"> </w:t>
      </w:r>
      <w:r w:rsidRPr="003618E2">
        <w:rPr>
          <w:lang w:val="es-ES"/>
        </w:rPr>
        <w:t>con</w:t>
      </w:r>
      <w:r>
        <w:rPr>
          <w:lang w:val="es-ES"/>
        </w:rPr>
        <w:t xml:space="preserve"> </w:t>
      </w:r>
      <w:r w:rsidRPr="003618E2">
        <w:rPr>
          <w:lang w:val="es-ES"/>
        </w:rPr>
        <w:t>radiación.</w:t>
      </w:r>
    </w:p>
    <w:p w14:paraId="412A8D56" w14:textId="77777777" w:rsidR="003D5081" w:rsidRPr="003618E2" w:rsidRDefault="003D5081" w:rsidP="003D5081">
      <w:pPr>
        <w:pStyle w:val="BodyText"/>
        <w:rPr>
          <w:b/>
          <w:lang w:val="es-ES"/>
        </w:rPr>
      </w:pPr>
      <w:r w:rsidRPr="003618E2">
        <w:rPr>
          <w:b/>
          <w:lang w:val="es-ES"/>
        </w:rPr>
        <w:t>Ingeniería</w:t>
      </w:r>
      <w:r>
        <w:rPr>
          <w:b/>
          <w:lang w:val="es-ES"/>
        </w:rPr>
        <w:t xml:space="preserve"> </w:t>
      </w:r>
      <w:r w:rsidRPr="003618E2">
        <w:rPr>
          <w:b/>
          <w:lang w:val="es-ES"/>
        </w:rPr>
        <w:t>costera</w:t>
      </w:r>
      <w:r>
        <w:rPr>
          <w:b/>
          <w:lang w:val="es-ES"/>
        </w:rPr>
        <w:t xml:space="preserve"> </w:t>
      </w:r>
      <w:r w:rsidRPr="003618E2">
        <w:rPr>
          <w:b/>
          <w:lang w:val="es-ES"/>
        </w:rPr>
        <w:t>(T,</w:t>
      </w:r>
      <w:r>
        <w:rPr>
          <w:b/>
          <w:lang w:val="es-ES"/>
        </w:rPr>
        <w:t xml:space="preserve"> </w:t>
      </w:r>
      <w:r w:rsidRPr="003618E2">
        <w:rPr>
          <w:b/>
          <w:lang w:val="es-ES"/>
        </w:rPr>
        <w:t>SCN)</w:t>
      </w:r>
    </w:p>
    <w:p w14:paraId="187CEA05" w14:textId="77777777" w:rsidR="003D5081" w:rsidRPr="003618E2" w:rsidRDefault="003D5081" w:rsidP="003D5081">
      <w:pPr>
        <w:pStyle w:val="BodyText"/>
        <w:numPr>
          <w:ilvl w:val="0"/>
          <w:numId w:val="32"/>
        </w:numPr>
        <w:rPr>
          <w:lang w:val="es-ES"/>
        </w:rPr>
      </w:pPr>
      <w:r w:rsidRPr="003618E2">
        <w:rPr>
          <w:lang w:val="es-ES"/>
        </w:rPr>
        <w:t>Existen</w:t>
      </w:r>
      <w:r>
        <w:rPr>
          <w:lang w:val="es-ES"/>
        </w:rPr>
        <w:t xml:space="preserve"> </w:t>
      </w:r>
      <w:r w:rsidRPr="003618E2">
        <w:rPr>
          <w:lang w:val="es-ES"/>
        </w:rPr>
        <w:t>tecnologías</w:t>
      </w:r>
      <w:r>
        <w:rPr>
          <w:lang w:val="es-ES"/>
        </w:rPr>
        <w:t xml:space="preserve"> </w:t>
      </w:r>
      <w:r w:rsidRPr="003618E2">
        <w:rPr>
          <w:lang w:val="es-ES"/>
        </w:rPr>
        <w:t>alternativas</w:t>
      </w:r>
      <w:r>
        <w:rPr>
          <w:lang w:val="es-ES"/>
        </w:rPr>
        <w:t xml:space="preserve"> </w:t>
      </w:r>
      <w:r w:rsidRPr="003618E2">
        <w:rPr>
          <w:lang w:val="es-ES"/>
        </w:rPr>
        <w:t>con</w:t>
      </w:r>
      <w:r>
        <w:rPr>
          <w:lang w:val="es-ES"/>
        </w:rPr>
        <w:t xml:space="preserve"> </w:t>
      </w:r>
      <w:r w:rsidRPr="003618E2">
        <w:rPr>
          <w:lang w:val="es-ES"/>
        </w:rPr>
        <w:t>menor</w:t>
      </w:r>
      <w:r>
        <w:rPr>
          <w:lang w:val="es-ES"/>
        </w:rPr>
        <w:t xml:space="preserve"> </w:t>
      </w:r>
      <w:r w:rsidRPr="003618E2">
        <w:rPr>
          <w:lang w:val="es-ES"/>
        </w:rPr>
        <w:t>rendimiento</w:t>
      </w:r>
      <w:r>
        <w:rPr>
          <w:lang w:val="es-ES"/>
        </w:rPr>
        <w:t xml:space="preserve"> </w:t>
      </w:r>
      <w:r w:rsidRPr="003618E2">
        <w:rPr>
          <w:lang w:val="es-ES"/>
        </w:rPr>
        <w:t>y</w:t>
      </w:r>
      <w:r>
        <w:rPr>
          <w:lang w:val="es-ES"/>
        </w:rPr>
        <w:t xml:space="preserve"> </w:t>
      </w:r>
      <w:r w:rsidRPr="003618E2">
        <w:rPr>
          <w:lang w:val="es-ES"/>
        </w:rPr>
        <w:t>regulación.</w:t>
      </w:r>
    </w:p>
    <w:p w14:paraId="0B2A8A20" w14:textId="77777777" w:rsidR="003D5081" w:rsidRPr="003618E2" w:rsidRDefault="003D5081" w:rsidP="003D5081">
      <w:pPr>
        <w:pStyle w:val="BodyText"/>
        <w:rPr>
          <w:b/>
          <w:lang w:val="es-ES"/>
        </w:rPr>
      </w:pPr>
      <w:r w:rsidRPr="003618E2">
        <w:rPr>
          <w:b/>
          <w:lang w:val="es-ES"/>
        </w:rPr>
        <w:t>Materiales</w:t>
      </w:r>
      <w:r>
        <w:rPr>
          <w:b/>
          <w:lang w:val="es-ES"/>
        </w:rPr>
        <w:t xml:space="preserve"> </w:t>
      </w:r>
      <w:r w:rsidRPr="003618E2">
        <w:rPr>
          <w:b/>
          <w:lang w:val="es-ES"/>
        </w:rPr>
        <w:t>avanzados</w:t>
      </w:r>
      <w:r>
        <w:rPr>
          <w:b/>
          <w:lang w:val="es-ES"/>
        </w:rPr>
        <w:t xml:space="preserve"> </w:t>
      </w:r>
      <w:r w:rsidRPr="003618E2">
        <w:rPr>
          <w:b/>
          <w:lang w:val="es-ES"/>
        </w:rPr>
        <w:t>(PR,</w:t>
      </w:r>
      <w:r>
        <w:rPr>
          <w:b/>
          <w:lang w:val="es-ES"/>
        </w:rPr>
        <w:t xml:space="preserve"> </w:t>
      </w:r>
      <w:r w:rsidRPr="003618E2">
        <w:rPr>
          <w:b/>
          <w:lang w:val="es-ES"/>
        </w:rPr>
        <w:t>TAN)</w:t>
      </w:r>
    </w:p>
    <w:p w14:paraId="7A01ABF6" w14:textId="77777777" w:rsidR="003D5081" w:rsidRPr="003618E2" w:rsidRDefault="003D5081" w:rsidP="003D5081">
      <w:pPr>
        <w:pStyle w:val="BodyText"/>
        <w:numPr>
          <w:ilvl w:val="0"/>
          <w:numId w:val="32"/>
        </w:numPr>
        <w:rPr>
          <w:lang w:val="es-ES"/>
        </w:rPr>
      </w:pPr>
      <w:r w:rsidRPr="003618E2">
        <w:rPr>
          <w:lang w:val="es-ES"/>
        </w:rPr>
        <w:t>Desconocimiento</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ventajas</w:t>
      </w:r>
      <w:r>
        <w:rPr>
          <w:lang w:val="es-ES"/>
        </w:rPr>
        <w:t xml:space="preserve"> </w:t>
      </w:r>
      <w:r w:rsidRPr="003618E2">
        <w:rPr>
          <w:lang w:val="es-ES"/>
        </w:rPr>
        <w:t>del</w:t>
      </w:r>
      <w:r>
        <w:rPr>
          <w:lang w:val="es-ES"/>
        </w:rPr>
        <w:t xml:space="preserve"> </w:t>
      </w:r>
      <w:r w:rsidRPr="003618E2">
        <w:rPr>
          <w:lang w:val="es-ES"/>
        </w:rPr>
        <w:t>uso</w:t>
      </w:r>
      <w:r>
        <w:rPr>
          <w:lang w:val="es-ES"/>
        </w:rPr>
        <w:t xml:space="preserve"> </w:t>
      </w:r>
      <w:r w:rsidRPr="003618E2">
        <w:rPr>
          <w:lang w:val="es-ES"/>
        </w:rPr>
        <w:t>de</w:t>
      </w:r>
      <w:r>
        <w:rPr>
          <w:lang w:val="es-ES"/>
        </w:rPr>
        <w:t xml:space="preserve"> </w:t>
      </w:r>
      <w:r w:rsidRPr="003618E2">
        <w:rPr>
          <w:lang w:val="es-ES"/>
        </w:rPr>
        <w:t>tecnología</w:t>
      </w:r>
      <w:r>
        <w:rPr>
          <w:lang w:val="es-ES"/>
        </w:rPr>
        <w:t xml:space="preserve"> </w:t>
      </w:r>
      <w:r w:rsidRPr="003618E2">
        <w:rPr>
          <w:lang w:val="es-ES"/>
        </w:rPr>
        <w:t>nuclear.</w:t>
      </w:r>
    </w:p>
    <w:p w14:paraId="2D2F015E" w14:textId="77777777" w:rsidR="003D5081" w:rsidRPr="003618E2" w:rsidRDefault="003D5081" w:rsidP="003D5081">
      <w:pPr>
        <w:pStyle w:val="BodyText"/>
        <w:rPr>
          <w:b/>
          <w:lang w:val="es-ES"/>
        </w:rPr>
      </w:pPr>
      <w:r w:rsidRPr="003618E2">
        <w:rPr>
          <w:b/>
          <w:lang w:val="es-ES"/>
        </w:rPr>
        <w:t>Medicina</w:t>
      </w:r>
      <w:r>
        <w:rPr>
          <w:b/>
          <w:lang w:val="es-ES"/>
        </w:rPr>
        <w:t xml:space="preserve"> </w:t>
      </w:r>
      <w:r w:rsidRPr="003618E2">
        <w:rPr>
          <w:b/>
          <w:lang w:val="es-ES"/>
        </w:rPr>
        <w:t>(PR)</w:t>
      </w:r>
    </w:p>
    <w:p w14:paraId="7F543681" w14:textId="77777777" w:rsidR="003D5081" w:rsidRPr="003618E2" w:rsidRDefault="003D5081" w:rsidP="003D5081">
      <w:pPr>
        <w:pStyle w:val="BodyText"/>
        <w:numPr>
          <w:ilvl w:val="0"/>
          <w:numId w:val="32"/>
        </w:numPr>
        <w:rPr>
          <w:lang w:val="es-ES"/>
        </w:rPr>
      </w:pPr>
      <w:r w:rsidRPr="003618E2">
        <w:rPr>
          <w:lang w:val="es-ES"/>
        </w:rPr>
        <w:t>Falta</w:t>
      </w:r>
      <w:r>
        <w:rPr>
          <w:lang w:val="es-ES"/>
        </w:rPr>
        <w:t xml:space="preserve"> </w:t>
      </w:r>
      <w:r w:rsidRPr="003618E2">
        <w:rPr>
          <w:lang w:val="es-ES"/>
        </w:rPr>
        <w:t>de</w:t>
      </w:r>
      <w:r>
        <w:rPr>
          <w:lang w:val="es-ES"/>
        </w:rPr>
        <w:t xml:space="preserve"> </w:t>
      </w:r>
      <w:r w:rsidRPr="003618E2">
        <w:rPr>
          <w:lang w:val="es-ES"/>
        </w:rPr>
        <w:t>infraestructura</w:t>
      </w:r>
      <w:r>
        <w:rPr>
          <w:lang w:val="es-ES"/>
        </w:rPr>
        <w:t xml:space="preserve"> </w:t>
      </w:r>
      <w:r w:rsidRPr="003618E2">
        <w:rPr>
          <w:lang w:val="es-ES"/>
        </w:rPr>
        <w:t>suficiente</w:t>
      </w:r>
      <w:r>
        <w:rPr>
          <w:lang w:val="es-ES"/>
        </w:rPr>
        <w:t xml:space="preserve"> </w:t>
      </w:r>
      <w:r w:rsidRPr="003618E2">
        <w:rPr>
          <w:lang w:val="es-ES"/>
        </w:rPr>
        <w:t>en</w:t>
      </w:r>
      <w:r>
        <w:rPr>
          <w:lang w:val="es-ES"/>
        </w:rPr>
        <w:t xml:space="preserve"> </w:t>
      </w:r>
      <w:r w:rsidRPr="003618E2">
        <w:rPr>
          <w:lang w:val="es-ES"/>
        </w:rPr>
        <w:t>la</w:t>
      </w:r>
      <w:r>
        <w:rPr>
          <w:lang w:val="es-ES"/>
        </w:rPr>
        <w:t xml:space="preserve"> </w:t>
      </w:r>
      <w:r w:rsidRPr="003618E2">
        <w:rPr>
          <w:lang w:val="es-ES"/>
        </w:rPr>
        <w:t>región</w:t>
      </w:r>
      <w:r>
        <w:rPr>
          <w:lang w:val="es-ES"/>
        </w:rPr>
        <w:t xml:space="preserve"> </w:t>
      </w:r>
      <w:r w:rsidRPr="003618E2">
        <w:rPr>
          <w:lang w:val="es-ES"/>
        </w:rPr>
        <w:t>para</w:t>
      </w:r>
      <w:r>
        <w:rPr>
          <w:lang w:val="es-ES"/>
        </w:rPr>
        <w:t xml:space="preserve"> </w:t>
      </w:r>
      <w:r w:rsidRPr="003618E2">
        <w:rPr>
          <w:lang w:val="es-ES"/>
        </w:rPr>
        <w:t>cubrir</w:t>
      </w:r>
      <w:r>
        <w:rPr>
          <w:lang w:val="es-ES"/>
        </w:rPr>
        <w:t xml:space="preserve"> </w:t>
      </w:r>
      <w:r w:rsidRPr="003618E2">
        <w:rPr>
          <w:lang w:val="es-ES"/>
        </w:rPr>
        <w:t>la</w:t>
      </w:r>
      <w:r>
        <w:rPr>
          <w:lang w:val="es-ES"/>
        </w:rPr>
        <w:t xml:space="preserve"> </w:t>
      </w:r>
      <w:r w:rsidRPr="003618E2">
        <w:rPr>
          <w:lang w:val="es-ES"/>
        </w:rPr>
        <w:t>necesidad</w:t>
      </w:r>
      <w:r>
        <w:rPr>
          <w:lang w:val="es-ES"/>
        </w:rPr>
        <w:t xml:space="preserve"> </w:t>
      </w:r>
      <w:r w:rsidRPr="003618E2">
        <w:rPr>
          <w:lang w:val="es-ES"/>
        </w:rPr>
        <w:t>de</w:t>
      </w:r>
      <w:r>
        <w:rPr>
          <w:lang w:val="es-ES"/>
        </w:rPr>
        <w:t xml:space="preserve"> </w:t>
      </w:r>
      <w:r w:rsidRPr="003618E2">
        <w:rPr>
          <w:lang w:val="es-ES"/>
        </w:rPr>
        <w:t>procesos</w:t>
      </w:r>
      <w:r>
        <w:rPr>
          <w:lang w:val="es-ES"/>
        </w:rPr>
        <w:t xml:space="preserve"> </w:t>
      </w:r>
      <w:r w:rsidRPr="003618E2">
        <w:rPr>
          <w:lang w:val="es-ES"/>
        </w:rPr>
        <w:t>de</w:t>
      </w:r>
      <w:r>
        <w:rPr>
          <w:lang w:val="es-ES"/>
        </w:rPr>
        <w:t xml:space="preserve"> </w:t>
      </w:r>
      <w:r w:rsidRPr="003618E2">
        <w:rPr>
          <w:lang w:val="es-ES"/>
        </w:rPr>
        <w:t>esterilización</w:t>
      </w:r>
      <w:r>
        <w:rPr>
          <w:lang w:val="es-ES"/>
        </w:rPr>
        <w:t xml:space="preserve"> </w:t>
      </w:r>
      <w:r w:rsidRPr="003618E2">
        <w:rPr>
          <w:lang w:val="es-ES"/>
        </w:rPr>
        <w:t>con</w:t>
      </w:r>
      <w:r>
        <w:rPr>
          <w:lang w:val="es-ES"/>
        </w:rPr>
        <w:t xml:space="preserve"> </w:t>
      </w:r>
      <w:r w:rsidRPr="003618E2">
        <w:rPr>
          <w:lang w:val="es-ES"/>
        </w:rPr>
        <w:t>radiación</w:t>
      </w:r>
      <w:r>
        <w:rPr>
          <w:lang w:val="es-ES"/>
        </w:rPr>
        <w:t xml:space="preserve"> </w:t>
      </w:r>
      <w:r w:rsidRPr="003618E2">
        <w:rPr>
          <w:lang w:val="es-ES"/>
        </w:rPr>
        <w:t>ionizante.</w:t>
      </w:r>
    </w:p>
    <w:p w14:paraId="5CBBFE61" w14:textId="77777777" w:rsidR="003D5081" w:rsidRPr="003618E2" w:rsidRDefault="003D5081" w:rsidP="003D5081">
      <w:pPr>
        <w:pStyle w:val="BodyText"/>
        <w:rPr>
          <w:b/>
          <w:lang w:val="pt-BR"/>
        </w:rPr>
      </w:pPr>
      <w:r w:rsidRPr="003618E2">
        <w:rPr>
          <w:b/>
          <w:lang w:val="es-MX"/>
        </w:rPr>
        <w:t>Patrimonio</w:t>
      </w:r>
      <w:r>
        <w:rPr>
          <w:b/>
          <w:lang w:val="es-MX"/>
        </w:rPr>
        <w:t xml:space="preserve"> </w:t>
      </w:r>
      <w:r w:rsidRPr="003618E2">
        <w:rPr>
          <w:b/>
          <w:lang w:val="es-MX"/>
        </w:rPr>
        <w:t>cultural</w:t>
      </w:r>
      <w:r>
        <w:rPr>
          <w:b/>
          <w:lang w:val="pt-BR"/>
        </w:rPr>
        <w:t xml:space="preserve"> </w:t>
      </w:r>
      <w:r w:rsidRPr="003618E2">
        <w:rPr>
          <w:b/>
          <w:lang w:val="pt-BR"/>
        </w:rPr>
        <w:t>(PR,</w:t>
      </w:r>
      <w:r>
        <w:rPr>
          <w:b/>
          <w:lang w:val="pt-BR"/>
        </w:rPr>
        <w:t xml:space="preserve"> </w:t>
      </w:r>
      <w:r w:rsidRPr="003618E2">
        <w:rPr>
          <w:b/>
          <w:lang w:val="pt-BR"/>
        </w:rPr>
        <w:t>L,</w:t>
      </w:r>
      <w:r>
        <w:rPr>
          <w:b/>
          <w:lang w:val="pt-BR"/>
        </w:rPr>
        <w:t xml:space="preserve"> </w:t>
      </w:r>
      <w:r w:rsidRPr="003618E2">
        <w:rPr>
          <w:b/>
          <w:lang w:val="pt-BR"/>
        </w:rPr>
        <w:t>T,</w:t>
      </w:r>
      <w:r>
        <w:rPr>
          <w:b/>
          <w:lang w:val="pt-BR"/>
        </w:rPr>
        <w:t xml:space="preserve"> </w:t>
      </w:r>
      <w:r w:rsidRPr="003618E2">
        <w:rPr>
          <w:b/>
          <w:lang w:val="pt-BR"/>
        </w:rPr>
        <w:t>END,</w:t>
      </w:r>
      <w:r>
        <w:rPr>
          <w:b/>
          <w:lang w:val="pt-BR"/>
        </w:rPr>
        <w:t xml:space="preserve"> </w:t>
      </w:r>
      <w:r w:rsidRPr="003618E2">
        <w:rPr>
          <w:b/>
          <w:lang w:val="pt-BR"/>
        </w:rPr>
        <w:t>TAN)</w:t>
      </w:r>
    </w:p>
    <w:p w14:paraId="331AB178" w14:textId="77777777" w:rsidR="003D5081" w:rsidRPr="003618E2" w:rsidRDefault="003D5081" w:rsidP="003D5081">
      <w:pPr>
        <w:pStyle w:val="BodyText"/>
        <w:numPr>
          <w:ilvl w:val="0"/>
          <w:numId w:val="32"/>
        </w:numPr>
        <w:rPr>
          <w:lang w:val="es-ES"/>
        </w:rPr>
      </w:pPr>
      <w:r w:rsidRPr="003618E2">
        <w:rPr>
          <w:lang w:val="es-ES"/>
        </w:rPr>
        <w:t>Desconocimiento</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ventajas</w:t>
      </w:r>
      <w:r>
        <w:rPr>
          <w:lang w:val="es-ES"/>
        </w:rPr>
        <w:t xml:space="preserve"> </w:t>
      </w:r>
      <w:r w:rsidRPr="003618E2">
        <w:rPr>
          <w:lang w:val="es-ES"/>
        </w:rPr>
        <w:t>del</w:t>
      </w:r>
      <w:r>
        <w:rPr>
          <w:lang w:val="es-ES"/>
        </w:rPr>
        <w:t xml:space="preserve"> </w:t>
      </w:r>
      <w:r w:rsidRPr="003618E2">
        <w:rPr>
          <w:lang w:val="es-ES"/>
        </w:rPr>
        <w:t>uso</w:t>
      </w:r>
      <w:r>
        <w:rPr>
          <w:lang w:val="es-ES"/>
        </w:rPr>
        <w:t xml:space="preserve"> </w:t>
      </w:r>
      <w:r w:rsidRPr="003618E2">
        <w:rPr>
          <w:lang w:val="es-ES"/>
        </w:rPr>
        <w:t>de</w:t>
      </w:r>
      <w:r>
        <w:rPr>
          <w:lang w:val="es-ES"/>
        </w:rPr>
        <w:t xml:space="preserve"> </w:t>
      </w:r>
      <w:r w:rsidRPr="003618E2">
        <w:rPr>
          <w:lang w:val="es-ES"/>
        </w:rPr>
        <w:t>tecnología</w:t>
      </w:r>
      <w:r>
        <w:rPr>
          <w:lang w:val="es-ES"/>
        </w:rPr>
        <w:t xml:space="preserve"> </w:t>
      </w:r>
      <w:r w:rsidRPr="003618E2">
        <w:rPr>
          <w:lang w:val="es-ES"/>
        </w:rPr>
        <w:t>nuclear.</w:t>
      </w:r>
    </w:p>
    <w:p w14:paraId="22172775" w14:textId="77777777" w:rsidR="003D5081" w:rsidRPr="003618E2" w:rsidRDefault="003D5081" w:rsidP="003D5081">
      <w:pPr>
        <w:pStyle w:val="BodyText"/>
        <w:rPr>
          <w:b/>
          <w:lang w:val="es-ES"/>
        </w:rPr>
      </w:pPr>
      <w:r w:rsidRPr="003618E2">
        <w:rPr>
          <w:b/>
          <w:lang w:val="es-ES"/>
        </w:rPr>
        <w:t>Procesos</w:t>
      </w:r>
      <w:r>
        <w:rPr>
          <w:b/>
          <w:lang w:val="es-ES"/>
        </w:rPr>
        <w:t xml:space="preserve"> </w:t>
      </w:r>
      <w:r w:rsidRPr="003618E2">
        <w:rPr>
          <w:b/>
          <w:lang w:val="es-ES"/>
        </w:rPr>
        <w:t>y</w:t>
      </w:r>
      <w:r>
        <w:rPr>
          <w:b/>
          <w:lang w:val="es-ES"/>
        </w:rPr>
        <w:t xml:space="preserve"> </w:t>
      </w:r>
      <w:r w:rsidRPr="003618E2">
        <w:rPr>
          <w:b/>
          <w:lang w:val="es-ES"/>
        </w:rPr>
        <w:t>producción</w:t>
      </w:r>
      <w:r>
        <w:rPr>
          <w:b/>
          <w:lang w:val="es-ES"/>
        </w:rPr>
        <w:t xml:space="preserve"> </w:t>
      </w:r>
      <w:r w:rsidRPr="003618E2">
        <w:rPr>
          <w:b/>
          <w:lang w:val="es-ES"/>
        </w:rPr>
        <w:t>industrial</w:t>
      </w:r>
      <w:r>
        <w:rPr>
          <w:b/>
          <w:lang w:val="es-ES"/>
        </w:rPr>
        <w:t xml:space="preserve"> </w:t>
      </w:r>
      <w:r w:rsidRPr="003618E2">
        <w:rPr>
          <w:b/>
          <w:lang w:val="es-ES"/>
        </w:rPr>
        <w:t>(T,</w:t>
      </w:r>
      <w:r>
        <w:rPr>
          <w:b/>
          <w:lang w:val="es-ES"/>
        </w:rPr>
        <w:t xml:space="preserve"> </w:t>
      </w:r>
      <w:r w:rsidRPr="003618E2">
        <w:rPr>
          <w:b/>
          <w:lang w:val="es-ES"/>
        </w:rPr>
        <w:t>SCN,</w:t>
      </w:r>
      <w:r>
        <w:rPr>
          <w:b/>
          <w:lang w:val="es-ES"/>
        </w:rPr>
        <w:t xml:space="preserve"> </w:t>
      </w:r>
      <w:r w:rsidRPr="003618E2">
        <w:rPr>
          <w:b/>
          <w:lang w:val="es-ES"/>
        </w:rPr>
        <w:t>L)</w:t>
      </w:r>
    </w:p>
    <w:p w14:paraId="6D516554" w14:textId="77777777" w:rsidR="003D5081" w:rsidRPr="003618E2" w:rsidRDefault="003D5081" w:rsidP="003D5081">
      <w:pPr>
        <w:pStyle w:val="BodyText"/>
        <w:numPr>
          <w:ilvl w:val="0"/>
          <w:numId w:val="32"/>
        </w:numPr>
        <w:rPr>
          <w:lang w:val="es-ES"/>
        </w:rPr>
      </w:pPr>
      <w:r w:rsidRPr="003618E2">
        <w:rPr>
          <w:lang w:val="es-ES"/>
        </w:rPr>
        <w:t>Percepción</w:t>
      </w:r>
      <w:r>
        <w:rPr>
          <w:lang w:val="es-ES"/>
        </w:rPr>
        <w:t xml:space="preserve"> </w:t>
      </w:r>
      <w:r w:rsidRPr="003618E2">
        <w:rPr>
          <w:lang w:val="es-ES"/>
        </w:rPr>
        <w:t>pública</w:t>
      </w:r>
      <w:r>
        <w:rPr>
          <w:lang w:val="es-ES"/>
        </w:rPr>
        <w:t xml:space="preserve"> </w:t>
      </w:r>
      <w:r w:rsidRPr="003618E2">
        <w:rPr>
          <w:lang w:val="es-ES"/>
        </w:rPr>
        <w:t>negativa</w:t>
      </w:r>
      <w:r>
        <w:rPr>
          <w:lang w:val="es-ES"/>
        </w:rPr>
        <w:t xml:space="preserve"> </w:t>
      </w:r>
      <w:r w:rsidRPr="003618E2">
        <w:rPr>
          <w:lang w:val="es-ES"/>
        </w:rPr>
        <w:t>y</w:t>
      </w:r>
      <w:r>
        <w:rPr>
          <w:lang w:val="es-ES"/>
        </w:rPr>
        <w:t xml:space="preserve"> </w:t>
      </w:r>
      <w:r w:rsidRPr="003618E2">
        <w:rPr>
          <w:lang w:val="es-ES"/>
        </w:rPr>
        <w:t>desconocimiento</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ventajas</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tecnologías</w:t>
      </w:r>
      <w:r>
        <w:rPr>
          <w:lang w:val="es-ES"/>
        </w:rPr>
        <w:t xml:space="preserve"> </w:t>
      </w:r>
      <w:r w:rsidRPr="003618E2">
        <w:rPr>
          <w:lang w:val="es-ES"/>
        </w:rPr>
        <w:t>con</w:t>
      </w:r>
      <w:r>
        <w:rPr>
          <w:lang w:val="es-ES"/>
        </w:rPr>
        <w:t xml:space="preserve"> </w:t>
      </w:r>
      <w:r w:rsidRPr="003618E2">
        <w:rPr>
          <w:lang w:val="es-ES"/>
        </w:rPr>
        <w:t>radiación.</w:t>
      </w:r>
    </w:p>
    <w:p w14:paraId="66A93FB3" w14:textId="77777777" w:rsidR="003D5081" w:rsidRPr="003618E2" w:rsidRDefault="003D5081" w:rsidP="003D5081">
      <w:pPr>
        <w:pStyle w:val="BodyText"/>
        <w:rPr>
          <w:b/>
          <w:lang w:val="fr-FR"/>
        </w:rPr>
      </w:pPr>
      <w:r w:rsidRPr="003618E2">
        <w:rPr>
          <w:b/>
          <w:lang w:val="es-MX"/>
        </w:rPr>
        <w:t>Recursos</w:t>
      </w:r>
      <w:r>
        <w:rPr>
          <w:b/>
          <w:lang w:val="es-MX"/>
        </w:rPr>
        <w:t xml:space="preserve"> </w:t>
      </w:r>
      <w:r w:rsidRPr="003618E2">
        <w:rPr>
          <w:b/>
          <w:lang w:val="es-MX"/>
        </w:rPr>
        <w:t>naturales</w:t>
      </w:r>
      <w:r>
        <w:rPr>
          <w:b/>
          <w:lang w:val="es-MX"/>
        </w:rPr>
        <w:t xml:space="preserve"> </w:t>
      </w:r>
      <w:r w:rsidRPr="003618E2">
        <w:rPr>
          <w:b/>
          <w:lang w:val="fr-FR"/>
        </w:rPr>
        <w:t>(PR,</w:t>
      </w:r>
      <w:r>
        <w:rPr>
          <w:b/>
          <w:lang w:val="fr-FR"/>
        </w:rPr>
        <w:t xml:space="preserve"> </w:t>
      </w:r>
      <w:r w:rsidRPr="003618E2">
        <w:rPr>
          <w:b/>
          <w:lang w:val="fr-FR"/>
        </w:rPr>
        <w:t>T,</w:t>
      </w:r>
      <w:r>
        <w:rPr>
          <w:b/>
          <w:lang w:val="fr-FR"/>
        </w:rPr>
        <w:t xml:space="preserve"> </w:t>
      </w:r>
      <w:r w:rsidRPr="003618E2">
        <w:rPr>
          <w:b/>
          <w:lang w:val="fr-FR"/>
        </w:rPr>
        <w:t>SNC,</w:t>
      </w:r>
      <w:r>
        <w:rPr>
          <w:b/>
          <w:lang w:val="fr-FR"/>
        </w:rPr>
        <w:t xml:space="preserve"> </w:t>
      </w:r>
      <w:r w:rsidRPr="003618E2">
        <w:rPr>
          <w:b/>
          <w:lang w:val="fr-FR"/>
        </w:rPr>
        <w:t>TAN,</w:t>
      </w:r>
      <w:r>
        <w:rPr>
          <w:b/>
          <w:lang w:val="fr-FR"/>
        </w:rPr>
        <w:t xml:space="preserve"> </w:t>
      </w:r>
      <w:r w:rsidRPr="003618E2">
        <w:rPr>
          <w:b/>
          <w:lang w:val="fr-FR"/>
        </w:rPr>
        <w:t>SCN)</w:t>
      </w:r>
    </w:p>
    <w:p w14:paraId="05FD9D5B" w14:textId="77777777" w:rsidR="003D5081" w:rsidRPr="003618E2" w:rsidRDefault="003D5081" w:rsidP="003D5081">
      <w:pPr>
        <w:pStyle w:val="BodyText"/>
        <w:numPr>
          <w:ilvl w:val="0"/>
          <w:numId w:val="32"/>
        </w:numPr>
        <w:rPr>
          <w:lang w:val="es-ES"/>
        </w:rPr>
      </w:pPr>
      <w:r w:rsidRPr="003618E2">
        <w:rPr>
          <w:lang w:val="es-ES"/>
        </w:rPr>
        <w:t>Percepción</w:t>
      </w:r>
      <w:r>
        <w:rPr>
          <w:lang w:val="es-ES"/>
        </w:rPr>
        <w:t xml:space="preserve"> </w:t>
      </w:r>
      <w:r w:rsidRPr="003618E2">
        <w:rPr>
          <w:lang w:val="es-ES"/>
        </w:rPr>
        <w:t>pública</w:t>
      </w:r>
      <w:r>
        <w:rPr>
          <w:lang w:val="es-ES"/>
        </w:rPr>
        <w:t xml:space="preserve"> </w:t>
      </w:r>
      <w:r w:rsidRPr="003618E2">
        <w:rPr>
          <w:lang w:val="es-ES"/>
        </w:rPr>
        <w:t>negativa</w:t>
      </w:r>
      <w:r>
        <w:rPr>
          <w:lang w:val="es-ES"/>
        </w:rPr>
        <w:t xml:space="preserve"> </w:t>
      </w:r>
      <w:r w:rsidRPr="003618E2">
        <w:rPr>
          <w:lang w:val="es-ES"/>
        </w:rPr>
        <w:t>y</w:t>
      </w:r>
      <w:r>
        <w:rPr>
          <w:lang w:val="es-ES"/>
        </w:rPr>
        <w:t xml:space="preserve"> </w:t>
      </w:r>
      <w:r w:rsidRPr="003618E2">
        <w:rPr>
          <w:lang w:val="es-ES"/>
        </w:rPr>
        <w:t>desconocimiento</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ventajas</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tecnologías</w:t>
      </w:r>
      <w:r>
        <w:rPr>
          <w:lang w:val="es-ES"/>
        </w:rPr>
        <w:t xml:space="preserve"> </w:t>
      </w:r>
      <w:r w:rsidRPr="003618E2">
        <w:rPr>
          <w:lang w:val="es-ES"/>
        </w:rPr>
        <w:t>con</w:t>
      </w:r>
      <w:r>
        <w:rPr>
          <w:lang w:val="es-ES"/>
        </w:rPr>
        <w:t xml:space="preserve"> </w:t>
      </w:r>
      <w:r w:rsidRPr="003618E2">
        <w:rPr>
          <w:lang w:val="es-ES"/>
        </w:rPr>
        <w:t>radiación.</w:t>
      </w:r>
    </w:p>
    <w:p w14:paraId="6D8A720A" w14:textId="77777777" w:rsidR="003D5081" w:rsidRPr="003618E2" w:rsidRDefault="003D5081" w:rsidP="003D5081">
      <w:pPr>
        <w:pStyle w:val="BodyText"/>
        <w:rPr>
          <w:b/>
          <w:lang w:val="es-ES"/>
        </w:rPr>
      </w:pPr>
      <w:r w:rsidRPr="003618E2">
        <w:rPr>
          <w:b/>
          <w:lang w:val="es-ES"/>
        </w:rPr>
        <w:t>Tecnologías</w:t>
      </w:r>
      <w:r>
        <w:rPr>
          <w:b/>
          <w:lang w:val="es-ES"/>
        </w:rPr>
        <w:t xml:space="preserve"> </w:t>
      </w:r>
      <w:r w:rsidRPr="003618E2">
        <w:rPr>
          <w:b/>
          <w:lang w:val="es-ES"/>
        </w:rPr>
        <w:t>de</w:t>
      </w:r>
      <w:r>
        <w:rPr>
          <w:b/>
          <w:lang w:val="es-ES"/>
        </w:rPr>
        <w:t xml:space="preserve"> </w:t>
      </w:r>
      <w:r w:rsidRPr="003618E2">
        <w:rPr>
          <w:b/>
          <w:lang w:val="es-ES"/>
        </w:rPr>
        <w:t>inspección</w:t>
      </w:r>
      <w:r>
        <w:rPr>
          <w:b/>
          <w:lang w:val="es-ES"/>
        </w:rPr>
        <w:t xml:space="preserve"> </w:t>
      </w:r>
      <w:r w:rsidRPr="003618E2">
        <w:rPr>
          <w:b/>
          <w:lang w:val="es-ES"/>
        </w:rPr>
        <w:t>(END,</w:t>
      </w:r>
      <w:r>
        <w:rPr>
          <w:b/>
          <w:lang w:val="es-ES"/>
        </w:rPr>
        <w:t xml:space="preserve"> </w:t>
      </w:r>
      <w:r w:rsidRPr="003618E2">
        <w:rPr>
          <w:b/>
          <w:lang w:val="es-ES"/>
        </w:rPr>
        <w:t>SCN)</w:t>
      </w:r>
    </w:p>
    <w:p w14:paraId="7345DC7F" w14:textId="77777777" w:rsidR="003D5081" w:rsidRPr="003618E2" w:rsidRDefault="003D5081" w:rsidP="003D5081">
      <w:pPr>
        <w:pStyle w:val="BodyText"/>
        <w:numPr>
          <w:ilvl w:val="0"/>
          <w:numId w:val="32"/>
        </w:numPr>
        <w:rPr>
          <w:lang w:val="es-ES"/>
        </w:rPr>
      </w:pPr>
      <w:r w:rsidRPr="003618E2">
        <w:rPr>
          <w:lang w:val="es-ES"/>
        </w:rPr>
        <w:t>Desconocimiento</w:t>
      </w:r>
      <w:r>
        <w:rPr>
          <w:lang w:val="es-ES"/>
        </w:rPr>
        <w:t xml:space="preserve"> </w:t>
      </w:r>
      <w:r w:rsidRPr="003618E2">
        <w:rPr>
          <w:lang w:val="es-ES"/>
        </w:rPr>
        <w:t>de</w:t>
      </w:r>
      <w:r>
        <w:rPr>
          <w:lang w:val="es-ES"/>
        </w:rPr>
        <w:t xml:space="preserve"> </w:t>
      </w:r>
      <w:r w:rsidRPr="003618E2">
        <w:rPr>
          <w:lang w:val="es-ES"/>
        </w:rPr>
        <w:t>las</w:t>
      </w:r>
      <w:r>
        <w:rPr>
          <w:lang w:val="es-ES"/>
        </w:rPr>
        <w:t xml:space="preserve"> </w:t>
      </w:r>
      <w:r w:rsidRPr="003618E2">
        <w:rPr>
          <w:lang w:val="es-ES"/>
        </w:rPr>
        <w:t>ventajas</w:t>
      </w:r>
      <w:r>
        <w:rPr>
          <w:lang w:val="es-ES"/>
        </w:rPr>
        <w:t xml:space="preserve"> </w:t>
      </w:r>
      <w:r w:rsidRPr="003618E2">
        <w:rPr>
          <w:lang w:val="es-ES"/>
        </w:rPr>
        <w:t>del</w:t>
      </w:r>
      <w:r>
        <w:rPr>
          <w:lang w:val="es-ES"/>
        </w:rPr>
        <w:t xml:space="preserve"> </w:t>
      </w:r>
      <w:r w:rsidRPr="003618E2">
        <w:rPr>
          <w:lang w:val="es-ES"/>
        </w:rPr>
        <w:t>uso</w:t>
      </w:r>
      <w:r>
        <w:rPr>
          <w:lang w:val="es-ES"/>
        </w:rPr>
        <w:t xml:space="preserve"> </w:t>
      </w:r>
      <w:r w:rsidRPr="003618E2">
        <w:rPr>
          <w:lang w:val="es-ES"/>
        </w:rPr>
        <w:t>de</w:t>
      </w:r>
      <w:r>
        <w:rPr>
          <w:lang w:val="es-ES"/>
        </w:rPr>
        <w:t xml:space="preserve"> </w:t>
      </w:r>
      <w:r w:rsidRPr="003618E2">
        <w:rPr>
          <w:lang w:val="es-ES"/>
        </w:rPr>
        <w:t>tecnología</w:t>
      </w:r>
      <w:r>
        <w:rPr>
          <w:lang w:val="es-ES"/>
        </w:rPr>
        <w:t xml:space="preserve"> </w:t>
      </w:r>
      <w:r w:rsidRPr="003618E2">
        <w:rPr>
          <w:lang w:val="es-ES"/>
        </w:rPr>
        <w:t>nuclear.</w:t>
      </w:r>
    </w:p>
    <w:p w14:paraId="102AFD56" w14:textId="77777777" w:rsidR="00853115" w:rsidRPr="003618E2" w:rsidRDefault="00853115" w:rsidP="00853115">
      <w:pPr>
        <w:pStyle w:val="BodyText"/>
        <w:rPr>
          <w:lang w:val="es-ES"/>
        </w:rPr>
      </w:pPr>
    </w:p>
    <w:p w14:paraId="3537F23C" w14:textId="3E136AD7" w:rsidR="006D362C" w:rsidRPr="003618E2" w:rsidRDefault="006D362C" w:rsidP="006D362C">
      <w:pPr>
        <w:pStyle w:val="BodyText"/>
        <w:rPr>
          <w:b/>
          <w:bCs/>
          <w:lang w:val="es-MX"/>
        </w:rPr>
      </w:pPr>
      <w:r w:rsidRPr="003618E2">
        <w:rPr>
          <w:b/>
          <w:bCs/>
          <w:lang w:val="es-MX"/>
        </w:rPr>
        <w:lastRenderedPageBreak/>
        <w:t>3.</w:t>
      </w:r>
      <w:r w:rsidR="00D136BB">
        <w:rPr>
          <w:b/>
          <w:bCs/>
          <w:lang w:val="es-MX"/>
        </w:rPr>
        <w:t xml:space="preserve"> </w:t>
      </w:r>
      <w:r w:rsidRPr="003618E2">
        <w:rPr>
          <w:b/>
          <w:bCs/>
          <w:lang w:val="es-MX"/>
        </w:rPr>
        <w:t>Oportunidades</w:t>
      </w:r>
    </w:p>
    <w:p w14:paraId="3E54A6BD" w14:textId="7ACD0864" w:rsidR="006D362C" w:rsidRPr="003618E2" w:rsidRDefault="006D362C" w:rsidP="006D362C">
      <w:pPr>
        <w:pStyle w:val="BodyText"/>
        <w:rPr>
          <w:b/>
        </w:rPr>
      </w:pPr>
      <w:r w:rsidRPr="003618E2">
        <w:rPr>
          <w:b/>
        </w:rPr>
        <w:t>Agua</w:t>
      </w:r>
      <w:r w:rsidR="00D136BB">
        <w:rPr>
          <w:b/>
        </w:rPr>
        <w:t xml:space="preserve"> </w:t>
      </w:r>
      <w:r w:rsidRPr="003618E2">
        <w:rPr>
          <w:b/>
        </w:rPr>
        <w:t>(PR,</w:t>
      </w:r>
      <w:r w:rsidR="00D136BB">
        <w:rPr>
          <w:b/>
        </w:rPr>
        <w:t xml:space="preserve"> </w:t>
      </w:r>
      <w:r w:rsidRPr="003618E2">
        <w:rPr>
          <w:b/>
        </w:rPr>
        <w:t>T)</w:t>
      </w:r>
    </w:p>
    <w:p w14:paraId="508D6A50" w14:textId="3071B5A6" w:rsidR="006D362C" w:rsidRPr="003618E2" w:rsidRDefault="006D362C" w:rsidP="006D362C">
      <w:pPr>
        <w:pStyle w:val="BodyText"/>
        <w:numPr>
          <w:ilvl w:val="0"/>
          <w:numId w:val="33"/>
        </w:numPr>
        <w:rPr>
          <w:lang w:val="es-ES"/>
        </w:rPr>
      </w:pPr>
      <w:r w:rsidRPr="003618E2">
        <w:rPr>
          <w:lang w:val="es-ES"/>
        </w:rPr>
        <w:t>Políticas</w:t>
      </w:r>
      <w:r w:rsidR="00D136BB">
        <w:rPr>
          <w:lang w:val="es-ES"/>
        </w:rPr>
        <w:t xml:space="preserve"> </w:t>
      </w:r>
      <w:r w:rsidRPr="003618E2">
        <w:rPr>
          <w:lang w:val="es-ES"/>
        </w:rPr>
        <w:t>ambientales</w:t>
      </w:r>
      <w:r w:rsidR="00D136BB">
        <w:rPr>
          <w:lang w:val="es-ES"/>
        </w:rPr>
        <w:t xml:space="preserve"> </w:t>
      </w:r>
      <w:r w:rsidRPr="003618E2">
        <w:rPr>
          <w:lang w:val="es-ES"/>
        </w:rPr>
        <w:t>y</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de</w:t>
      </w:r>
      <w:r w:rsidR="00D136BB">
        <w:rPr>
          <w:lang w:val="es-ES"/>
        </w:rPr>
        <w:t xml:space="preserve"> </w:t>
      </w:r>
      <w:r w:rsidRPr="003618E2">
        <w:rPr>
          <w:lang w:val="es-ES"/>
        </w:rPr>
        <w:t>agua</w:t>
      </w:r>
      <w:r w:rsidR="00D136BB">
        <w:rPr>
          <w:lang w:val="es-ES"/>
        </w:rPr>
        <w:t xml:space="preserve"> </w:t>
      </w:r>
      <w:r w:rsidRPr="003618E2">
        <w:rPr>
          <w:lang w:val="es-ES"/>
        </w:rPr>
        <w:t>potable</w:t>
      </w:r>
      <w:r w:rsidR="00D136BB">
        <w:rPr>
          <w:lang w:val="es-ES"/>
        </w:rPr>
        <w:t xml:space="preserve"> </w:t>
      </w:r>
      <w:r w:rsidRPr="003618E2">
        <w:rPr>
          <w:lang w:val="es-ES"/>
        </w:rPr>
        <w:t>y</w:t>
      </w:r>
      <w:r w:rsidR="00D136BB">
        <w:rPr>
          <w:lang w:val="es-ES"/>
        </w:rPr>
        <w:t xml:space="preserve"> </w:t>
      </w:r>
      <w:r w:rsidRPr="003618E2">
        <w:rPr>
          <w:lang w:val="es-ES"/>
        </w:rPr>
        <w:t>saneamiento</w:t>
      </w:r>
      <w:r w:rsidR="00D136BB">
        <w:rPr>
          <w:lang w:val="es-ES"/>
        </w:rPr>
        <w:t xml:space="preserve"> </w:t>
      </w:r>
      <w:r w:rsidRPr="003618E2">
        <w:rPr>
          <w:lang w:val="es-ES"/>
        </w:rPr>
        <w:t>más</w:t>
      </w:r>
      <w:r w:rsidR="00D136BB">
        <w:rPr>
          <w:lang w:val="es-ES"/>
        </w:rPr>
        <w:t xml:space="preserve"> </w:t>
      </w:r>
      <w:r w:rsidRPr="003618E2">
        <w:rPr>
          <w:lang w:val="es-ES"/>
        </w:rPr>
        <w:t>exigentes.</w:t>
      </w:r>
    </w:p>
    <w:p w14:paraId="5C346E1B" w14:textId="5F80D5DD" w:rsidR="006D362C" w:rsidRPr="003618E2" w:rsidRDefault="006D362C" w:rsidP="006D362C">
      <w:pPr>
        <w:pStyle w:val="BodyText"/>
        <w:numPr>
          <w:ilvl w:val="0"/>
          <w:numId w:val="33"/>
        </w:numPr>
        <w:rPr>
          <w:lang w:val="es-ES"/>
        </w:rPr>
      </w:pPr>
      <w:r w:rsidRPr="003618E2">
        <w:rPr>
          <w:lang w:val="es-ES"/>
        </w:rPr>
        <w:t>El</w:t>
      </w:r>
      <w:r w:rsidR="00D136BB">
        <w:rPr>
          <w:lang w:val="es-ES"/>
        </w:rPr>
        <w:t xml:space="preserve"> </w:t>
      </w:r>
      <w:r w:rsidRPr="003618E2">
        <w:rPr>
          <w:lang w:val="es-ES"/>
        </w:rPr>
        <w:t>aumento</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aguas</w:t>
      </w:r>
      <w:r w:rsidR="00D136BB">
        <w:rPr>
          <w:lang w:val="es-ES"/>
        </w:rPr>
        <w:t xml:space="preserve"> </w:t>
      </w:r>
      <w:r w:rsidRPr="003618E2">
        <w:rPr>
          <w:lang w:val="es-ES"/>
        </w:rPr>
        <w:t>residuales</w:t>
      </w:r>
      <w:r w:rsidR="00D136BB">
        <w:rPr>
          <w:lang w:val="es-ES"/>
        </w:rPr>
        <w:t xml:space="preserve"> </w:t>
      </w:r>
      <w:r w:rsidRPr="003618E2">
        <w:rPr>
          <w:lang w:val="es-ES"/>
        </w:rPr>
        <w:t>producidas</w:t>
      </w:r>
      <w:r w:rsidR="00D136BB">
        <w:rPr>
          <w:lang w:val="es-ES"/>
        </w:rPr>
        <w:t xml:space="preserve"> </w:t>
      </w:r>
      <w:r w:rsidRPr="003618E2">
        <w:rPr>
          <w:lang w:val="es-ES"/>
        </w:rPr>
        <w:t>por</w:t>
      </w:r>
      <w:r w:rsidR="00D136BB">
        <w:rPr>
          <w:lang w:val="es-ES"/>
        </w:rPr>
        <w:t xml:space="preserve"> </w:t>
      </w:r>
      <w:r w:rsidRPr="003618E2">
        <w:rPr>
          <w:lang w:val="es-ES"/>
        </w:rPr>
        <w:t>las</w:t>
      </w:r>
      <w:r w:rsidR="00D136BB">
        <w:rPr>
          <w:lang w:val="es-ES"/>
        </w:rPr>
        <w:t xml:space="preserve"> </w:t>
      </w:r>
      <w:r w:rsidRPr="003618E2">
        <w:rPr>
          <w:lang w:val="es-ES"/>
        </w:rPr>
        <w:t>actividades</w:t>
      </w:r>
      <w:r w:rsidR="00D136BB">
        <w:rPr>
          <w:lang w:val="es-ES"/>
        </w:rPr>
        <w:t xml:space="preserve"> </w:t>
      </w:r>
      <w:r w:rsidRPr="003618E2">
        <w:rPr>
          <w:lang w:val="es-ES"/>
        </w:rPr>
        <w:t>humanas</w:t>
      </w:r>
      <w:r w:rsidR="00D136BB">
        <w:rPr>
          <w:lang w:val="es-ES"/>
        </w:rPr>
        <w:t xml:space="preserve"> </w:t>
      </w:r>
      <w:r w:rsidRPr="003618E2">
        <w:rPr>
          <w:lang w:val="es-ES"/>
        </w:rPr>
        <w:t>e</w:t>
      </w:r>
      <w:r w:rsidR="00D136BB">
        <w:rPr>
          <w:lang w:val="es-ES"/>
        </w:rPr>
        <w:t xml:space="preserve"> </w:t>
      </w:r>
      <w:r w:rsidRPr="003618E2">
        <w:rPr>
          <w:lang w:val="es-ES"/>
        </w:rPr>
        <w:t>industriales</w:t>
      </w:r>
      <w:r w:rsidR="00D136BB">
        <w:rPr>
          <w:lang w:val="es-ES"/>
        </w:rPr>
        <w:t xml:space="preserve"> </w:t>
      </w:r>
      <w:r w:rsidRPr="003618E2">
        <w:rPr>
          <w:lang w:val="es-ES"/>
        </w:rPr>
        <w:t>debe</w:t>
      </w:r>
      <w:r w:rsidR="00D136BB">
        <w:rPr>
          <w:lang w:val="es-ES"/>
        </w:rPr>
        <w:t xml:space="preserve"> </w:t>
      </w:r>
      <w:r w:rsidRPr="003618E2">
        <w:rPr>
          <w:lang w:val="es-ES"/>
        </w:rPr>
        <w:t>ser</w:t>
      </w:r>
      <w:r w:rsidR="00D136BB">
        <w:rPr>
          <w:lang w:val="es-ES"/>
        </w:rPr>
        <w:t xml:space="preserve"> </w:t>
      </w:r>
      <w:r w:rsidRPr="003618E2">
        <w:rPr>
          <w:lang w:val="es-ES"/>
        </w:rPr>
        <w:t>abordado.</w:t>
      </w:r>
    </w:p>
    <w:p w14:paraId="6270E2FD" w14:textId="52EF63D8" w:rsidR="006D362C" w:rsidRPr="003618E2" w:rsidRDefault="006D362C" w:rsidP="006D362C">
      <w:pPr>
        <w:pStyle w:val="BodyText"/>
        <w:numPr>
          <w:ilvl w:val="0"/>
          <w:numId w:val="33"/>
        </w:numPr>
        <w:rPr>
          <w:lang w:val="es-ES"/>
        </w:rPr>
      </w:pPr>
      <w:r w:rsidRPr="003618E2">
        <w:rPr>
          <w:lang w:val="es-ES"/>
        </w:rPr>
        <w:t>Necesidad</w:t>
      </w:r>
      <w:r w:rsidR="00D136BB">
        <w:rPr>
          <w:lang w:val="es-ES"/>
        </w:rPr>
        <w:t xml:space="preserve"> </w:t>
      </w:r>
      <w:r w:rsidRPr="003618E2">
        <w:rPr>
          <w:lang w:val="es-ES"/>
        </w:rPr>
        <w:t>regional</w:t>
      </w:r>
      <w:r w:rsidR="00D136BB">
        <w:rPr>
          <w:lang w:val="es-ES"/>
        </w:rPr>
        <w:t xml:space="preserve"> </w:t>
      </w:r>
      <w:r w:rsidRPr="003618E2">
        <w:rPr>
          <w:lang w:val="es-ES"/>
        </w:rPr>
        <w:t>para</w:t>
      </w:r>
      <w:r w:rsidR="00D136BB">
        <w:rPr>
          <w:lang w:val="es-ES"/>
        </w:rPr>
        <w:t xml:space="preserve"> </w:t>
      </w:r>
      <w:r w:rsidRPr="003618E2">
        <w:rPr>
          <w:lang w:val="es-ES"/>
        </w:rPr>
        <w:t>mejorar</w:t>
      </w:r>
      <w:r w:rsidR="00D136BB">
        <w:rPr>
          <w:lang w:val="es-ES"/>
        </w:rPr>
        <w:t xml:space="preserve"> </w:t>
      </w:r>
      <w:r w:rsidRPr="003618E2">
        <w:rPr>
          <w:lang w:val="es-ES"/>
        </w:rPr>
        <w:t>la</w:t>
      </w:r>
      <w:r w:rsidR="00D136BB">
        <w:rPr>
          <w:lang w:val="es-ES"/>
        </w:rPr>
        <w:t xml:space="preserve"> </w:t>
      </w:r>
      <w:r w:rsidRPr="003618E2">
        <w:rPr>
          <w:lang w:val="es-ES"/>
        </w:rPr>
        <w:t>calidad</w:t>
      </w:r>
      <w:r w:rsidR="00D136BB">
        <w:rPr>
          <w:lang w:val="es-ES"/>
        </w:rPr>
        <w:t xml:space="preserve"> </w:t>
      </w:r>
      <w:r w:rsidRPr="003618E2">
        <w:rPr>
          <w:lang w:val="es-ES"/>
        </w:rPr>
        <w:t>y</w:t>
      </w:r>
      <w:r w:rsidR="00D136BB">
        <w:rPr>
          <w:lang w:val="es-ES"/>
        </w:rPr>
        <w:t xml:space="preserve"> </w:t>
      </w:r>
      <w:r w:rsidRPr="003618E2">
        <w:rPr>
          <w:lang w:val="es-ES"/>
        </w:rPr>
        <w:t>disponibilidad</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recursos</w:t>
      </w:r>
      <w:r w:rsidR="00D136BB">
        <w:rPr>
          <w:lang w:val="es-ES"/>
        </w:rPr>
        <w:t xml:space="preserve"> </w:t>
      </w:r>
      <w:r w:rsidRPr="003618E2">
        <w:rPr>
          <w:lang w:val="es-ES"/>
        </w:rPr>
        <w:t>hídricos.</w:t>
      </w:r>
    </w:p>
    <w:p w14:paraId="1FC0F44E" w14:textId="1D2D82F7" w:rsidR="006D362C" w:rsidRPr="003618E2" w:rsidRDefault="006D362C" w:rsidP="006D362C">
      <w:pPr>
        <w:pStyle w:val="BodyText"/>
        <w:rPr>
          <w:b/>
          <w:lang w:val="es-ES"/>
        </w:rPr>
      </w:pPr>
      <w:r w:rsidRPr="003618E2">
        <w:rPr>
          <w:b/>
          <w:lang w:val="es-ES"/>
        </w:rPr>
        <w:t>Ambiente</w:t>
      </w:r>
      <w:r w:rsidR="00D136BB">
        <w:rPr>
          <w:b/>
          <w:lang w:val="es-ES"/>
        </w:rPr>
        <w:t xml:space="preserve"> </w:t>
      </w:r>
      <w:r w:rsidRPr="003618E2">
        <w:rPr>
          <w:b/>
          <w:lang w:val="es-ES"/>
        </w:rPr>
        <w:t>(PR,</w:t>
      </w:r>
      <w:r w:rsidR="00D136BB">
        <w:rPr>
          <w:b/>
          <w:lang w:val="es-ES"/>
        </w:rPr>
        <w:t xml:space="preserve"> </w:t>
      </w:r>
      <w:r w:rsidRPr="003618E2">
        <w:rPr>
          <w:b/>
          <w:lang w:val="es-ES"/>
        </w:rPr>
        <w:t>SCN,</w:t>
      </w:r>
      <w:r w:rsidR="00D136BB">
        <w:rPr>
          <w:b/>
          <w:lang w:val="es-ES"/>
        </w:rPr>
        <w:t xml:space="preserve"> </w:t>
      </w:r>
      <w:r w:rsidRPr="003618E2">
        <w:rPr>
          <w:b/>
          <w:lang w:val="es-ES"/>
        </w:rPr>
        <w:t>T,</w:t>
      </w:r>
      <w:r w:rsidR="00D136BB">
        <w:rPr>
          <w:b/>
          <w:lang w:val="es-ES"/>
        </w:rPr>
        <w:t xml:space="preserve"> </w:t>
      </w:r>
      <w:r w:rsidRPr="003618E2">
        <w:rPr>
          <w:b/>
          <w:lang w:val="es-ES"/>
        </w:rPr>
        <w:t>TAN)</w:t>
      </w:r>
    </w:p>
    <w:p w14:paraId="4869197F" w14:textId="4C0462C0" w:rsidR="006D362C" w:rsidRPr="003618E2" w:rsidRDefault="006D362C" w:rsidP="006D362C">
      <w:pPr>
        <w:pStyle w:val="BodyText"/>
        <w:numPr>
          <w:ilvl w:val="0"/>
          <w:numId w:val="33"/>
        </w:numPr>
        <w:rPr>
          <w:lang w:val="es-ES"/>
        </w:rPr>
      </w:pPr>
      <w:r w:rsidRPr="003618E2">
        <w:rPr>
          <w:lang w:val="es-ES"/>
        </w:rPr>
        <w:t>La</w:t>
      </w:r>
      <w:r w:rsidR="00D136BB">
        <w:rPr>
          <w:lang w:val="es-ES"/>
        </w:rPr>
        <w:t xml:space="preserve"> </w:t>
      </w:r>
      <w:r w:rsidRPr="003618E2">
        <w:rPr>
          <w:lang w:val="es-ES"/>
        </w:rPr>
        <w:t>industrialización</w:t>
      </w:r>
      <w:r w:rsidR="00D136BB">
        <w:rPr>
          <w:lang w:val="es-ES"/>
        </w:rPr>
        <w:t xml:space="preserve"> </w:t>
      </w:r>
      <w:r w:rsidRPr="003618E2">
        <w:rPr>
          <w:lang w:val="es-ES"/>
        </w:rPr>
        <w:t>incrementa</w:t>
      </w:r>
      <w:r w:rsidR="00D136BB">
        <w:rPr>
          <w:lang w:val="es-ES"/>
        </w:rPr>
        <w:t xml:space="preserve"> </w:t>
      </w:r>
      <w:r w:rsidRPr="003618E2">
        <w:rPr>
          <w:lang w:val="es-ES"/>
        </w:rPr>
        <w:t>la</w:t>
      </w:r>
      <w:r w:rsidR="00D136BB">
        <w:rPr>
          <w:lang w:val="es-ES"/>
        </w:rPr>
        <w:t xml:space="preserve"> </w:t>
      </w:r>
      <w:r w:rsidRPr="003618E2">
        <w:rPr>
          <w:lang w:val="es-ES"/>
        </w:rPr>
        <w:t>descarga</w:t>
      </w:r>
      <w:r w:rsidR="00D136BB">
        <w:rPr>
          <w:lang w:val="es-ES"/>
        </w:rPr>
        <w:t xml:space="preserve"> </w:t>
      </w:r>
      <w:r w:rsidRPr="003618E2">
        <w:rPr>
          <w:lang w:val="es-ES"/>
        </w:rPr>
        <w:t>de</w:t>
      </w:r>
      <w:r w:rsidR="00D136BB">
        <w:rPr>
          <w:lang w:val="es-ES"/>
        </w:rPr>
        <w:t xml:space="preserve"> </w:t>
      </w:r>
      <w:r w:rsidRPr="003618E2">
        <w:rPr>
          <w:lang w:val="es-ES"/>
        </w:rPr>
        <w:t>contaminantes,</w:t>
      </w:r>
      <w:r w:rsidR="00D136BB">
        <w:rPr>
          <w:lang w:val="es-ES"/>
        </w:rPr>
        <w:t xml:space="preserve"> </w:t>
      </w:r>
      <w:r w:rsidRPr="003618E2">
        <w:rPr>
          <w:lang w:val="es-ES"/>
        </w:rPr>
        <w:t>por</w:t>
      </w:r>
      <w:r w:rsidR="00D136BB">
        <w:rPr>
          <w:lang w:val="es-ES"/>
        </w:rPr>
        <w:t xml:space="preserve"> </w:t>
      </w:r>
      <w:r w:rsidRPr="003618E2">
        <w:rPr>
          <w:lang w:val="es-ES"/>
        </w:rPr>
        <w:t>lo</w:t>
      </w:r>
      <w:r w:rsidR="00D136BB">
        <w:rPr>
          <w:lang w:val="es-ES"/>
        </w:rPr>
        <w:t xml:space="preserve"> </w:t>
      </w:r>
      <w:r w:rsidRPr="003618E2">
        <w:rPr>
          <w:lang w:val="es-ES"/>
        </w:rPr>
        <w:t>tanto,</w:t>
      </w:r>
      <w:r w:rsidR="00D136BB">
        <w:rPr>
          <w:lang w:val="es-ES"/>
        </w:rPr>
        <w:t xml:space="preserve"> </w:t>
      </w:r>
      <w:r w:rsidRPr="003618E2">
        <w:rPr>
          <w:lang w:val="es-ES"/>
        </w:rPr>
        <w:t>existe</w:t>
      </w:r>
      <w:r w:rsidR="00D136BB">
        <w:rPr>
          <w:lang w:val="es-ES"/>
        </w:rPr>
        <w:t xml:space="preserve"> </w:t>
      </w:r>
      <w:r w:rsidRPr="003618E2">
        <w:rPr>
          <w:lang w:val="es-ES"/>
        </w:rPr>
        <w:t>una</w:t>
      </w:r>
      <w:r w:rsidR="00D136BB">
        <w:rPr>
          <w:lang w:val="es-ES"/>
        </w:rPr>
        <w:t xml:space="preserve"> </w:t>
      </w:r>
      <w:r w:rsidRPr="003618E2">
        <w:rPr>
          <w:lang w:val="es-ES"/>
        </w:rPr>
        <w:t>demanda</w:t>
      </w:r>
      <w:r w:rsidR="00D136BB">
        <w:rPr>
          <w:lang w:val="es-ES"/>
        </w:rPr>
        <w:t xml:space="preserve"> </w:t>
      </w:r>
      <w:r w:rsidRPr="003618E2">
        <w:rPr>
          <w:lang w:val="es-ES"/>
        </w:rPr>
        <w:t>creciente</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para</w:t>
      </w:r>
      <w:r w:rsidR="00D136BB">
        <w:rPr>
          <w:lang w:val="es-ES"/>
        </w:rPr>
        <w:t xml:space="preserve"> </w:t>
      </w:r>
      <w:r w:rsidRPr="003618E2">
        <w:rPr>
          <w:lang w:val="es-ES"/>
        </w:rPr>
        <w:t>reducirlos.</w:t>
      </w:r>
    </w:p>
    <w:p w14:paraId="0303E9B8" w14:textId="01A8A938" w:rsidR="006D362C" w:rsidRPr="003618E2" w:rsidRDefault="006D362C" w:rsidP="006D362C">
      <w:pPr>
        <w:pStyle w:val="BodyText"/>
        <w:rPr>
          <w:b/>
          <w:lang w:val="es-ES"/>
        </w:rPr>
      </w:pPr>
      <w:r w:rsidRPr="003618E2">
        <w:rPr>
          <w:b/>
          <w:lang w:val="es-ES"/>
        </w:rPr>
        <w:t>Ingeniería</w:t>
      </w:r>
      <w:r w:rsidR="00D136BB">
        <w:rPr>
          <w:b/>
          <w:lang w:val="es-ES"/>
        </w:rPr>
        <w:t xml:space="preserve"> </w:t>
      </w:r>
      <w:r w:rsidRPr="003618E2">
        <w:rPr>
          <w:b/>
          <w:lang w:val="es-ES"/>
        </w:rPr>
        <w:t>costera</w:t>
      </w:r>
      <w:r w:rsidR="00D136BB">
        <w:rPr>
          <w:b/>
          <w:lang w:val="es-ES"/>
        </w:rPr>
        <w:t xml:space="preserve"> </w:t>
      </w:r>
      <w:r w:rsidRPr="003618E2">
        <w:rPr>
          <w:b/>
          <w:lang w:val="es-ES"/>
        </w:rPr>
        <w:t>(T,</w:t>
      </w:r>
      <w:r w:rsidR="00D136BB">
        <w:rPr>
          <w:b/>
          <w:lang w:val="es-ES"/>
        </w:rPr>
        <w:t xml:space="preserve"> </w:t>
      </w:r>
      <w:r w:rsidRPr="003618E2">
        <w:rPr>
          <w:b/>
          <w:lang w:val="es-ES"/>
        </w:rPr>
        <w:t>SCN)</w:t>
      </w:r>
    </w:p>
    <w:p w14:paraId="4829DD62" w14:textId="67A31A05" w:rsidR="006D362C" w:rsidRPr="003618E2" w:rsidRDefault="006D362C" w:rsidP="006D362C">
      <w:pPr>
        <w:pStyle w:val="BodyText"/>
        <w:numPr>
          <w:ilvl w:val="0"/>
          <w:numId w:val="33"/>
        </w:numPr>
        <w:rPr>
          <w:lang w:val="es-ES"/>
        </w:rPr>
      </w:pPr>
      <w:r w:rsidRPr="003618E2">
        <w:rPr>
          <w:lang w:val="es-ES"/>
        </w:rPr>
        <w:t>Una</w:t>
      </w:r>
      <w:r w:rsidR="00D136BB">
        <w:rPr>
          <w:lang w:val="es-ES"/>
        </w:rPr>
        <w:t xml:space="preserve"> </w:t>
      </w:r>
      <w:r w:rsidRPr="003618E2">
        <w:rPr>
          <w:lang w:val="es-ES"/>
        </w:rPr>
        <w:t>mayor</w:t>
      </w:r>
      <w:r w:rsidR="00D136BB">
        <w:rPr>
          <w:lang w:val="es-ES"/>
        </w:rPr>
        <w:t xml:space="preserve"> </w:t>
      </w:r>
      <w:r w:rsidRPr="003618E2">
        <w:rPr>
          <w:lang w:val="es-ES"/>
        </w:rPr>
        <w:t>comprensión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efectos</w:t>
      </w:r>
      <w:r w:rsidR="00D136BB">
        <w:rPr>
          <w:lang w:val="es-ES"/>
        </w:rPr>
        <w:t xml:space="preserve"> </w:t>
      </w:r>
      <w:r w:rsidRPr="003618E2">
        <w:rPr>
          <w:lang w:val="es-ES"/>
        </w:rPr>
        <w:t>del</w:t>
      </w:r>
      <w:r w:rsidR="00D136BB">
        <w:rPr>
          <w:lang w:val="es-ES"/>
        </w:rPr>
        <w:t xml:space="preserve"> </w:t>
      </w:r>
      <w:r w:rsidRPr="003618E2">
        <w:rPr>
          <w:lang w:val="es-ES"/>
        </w:rPr>
        <w:t>cambio</w:t>
      </w:r>
      <w:r w:rsidR="00D136BB">
        <w:rPr>
          <w:lang w:val="es-ES"/>
        </w:rPr>
        <w:t xml:space="preserve"> </w:t>
      </w:r>
      <w:r w:rsidRPr="003618E2">
        <w:rPr>
          <w:lang w:val="es-ES"/>
        </w:rPr>
        <w:t>climático</w:t>
      </w:r>
      <w:r w:rsidR="00D136BB">
        <w:rPr>
          <w:lang w:val="es-ES"/>
        </w:rPr>
        <w:t xml:space="preserve"> </w:t>
      </w:r>
      <w:r w:rsidRPr="003618E2">
        <w:rPr>
          <w:lang w:val="es-ES"/>
        </w:rPr>
        <w:t>en</w:t>
      </w:r>
      <w:r w:rsidR="00D136BB">
        <w:rPr>
          <w:lang w:val="es-ES"/>
        </w:rPr>
        <w:t xml:space="preserve"> </w:t>
      </w:r>
      <w:r w:rsidRPr="003618E2">
        <w:rPr>
          <w:lang w:val="es-ES"/>
        </w:rPr>
        <w:t>las</w:t>
      </w:r>
      <w:r w:rsidR="00D136BB">
        <w:rPr>
          <w:lang w:val="es-ES"/>
        </w:rPr>
        <w:t xml:space="preserve"> </w:t>
      </w:r>
      <w:r w:rsidRPr="003618E2">
        <w:rPr>
          <w:lang w:val="es-ES"/>
        </w:rPr>
        <w:t>costas</w:t>
      </w:r>
      <w:r w:rsidR="00D136BB">
        <w:rPr>
          <w:lang w:val="es-ES"/>
        </w:rPr>
        <w:t xml:space="preserve"> </w:t>
      </w:r>
      <w:r w:rsidRPr="003618E2">
        <w:rPr>
          <w:lang w:val="es-ES"/>
        </w:rPr>
        <w:t>(aumento</w:t>
      </w:r>
      <w:r w:rsidR="00D136BB">
        <w:rPr>
          <w:lang w:val="es-ES"/>
        </w:rPr>
        <w:t xml:space="preserve"> </w:t>
      </w:r>
      <w:r w:rsidRPr="003618E2">
        <w:rPr>
          <w:lang w:val="es-ES"/>
        </w:rPr>
        <w:t>del</w:t>
      </w:r>
      <w:r w:rsidR="00D136BB">
        <w:rPr>
          <w:lang w:val="es-ES"/>
        </w:rPr>
        <w:t xml:space="preserve"> </w:t>
      </w:r>
      <w:r w:rsidRPr="003618E2">
        <w:rPr>
          <w:lang w:val="es-ES"/>
        </w:rPr>
        <w:t>nivel</w:t>
      </w:r>
      <w:r w:rsidR="00D136BB">
        <w:rPr>
          <w:lang w:val="es-ES"/>
        </w:rPr>
        <w:t xml:space="preserve"> </w:t>
      </w:r>
      <w:r w:rsidRPr="003618E2">
        <w:rPr>
          <w:lang w:val="es-ES"/>
        </w:rPr>
        <w:t>del</w:t>
      </w:r>
      <w:r w:rsidR="00D136BB">
        <w:rPr>
          <w:lang w:val="es-ES"/>
        </w:rPr>
        <w:t xml:space="preserve"> </w:t>
      </w:r>
      <w:r w:rsidRPr="003618E2">
        <w:rPr>
          <w:lang w:val="es-ES"/>
        </w:rPr>
        <w:t>mar),</w:t>
      </w:r>
      <w:r w:rsidR="00D136BB">
        <w:rPr>
          <w:lang w:val="es-ES"/>
        </w:rPr>
        <w:t xml:space="preserve"> </w:t>
      </w:r>
      <w:r w:rsidRPr="003618E2">
        <w:rPr>
          <w:lang w:val="es-ES"/>
        </w:rPr>
        <w:t>aumenta</w:t>
      </w:r>
      <w:r w:rsidR="00D136BB">
        <w:rPr>
          <w:lang w:val="es-ES"/>
        </w:rPr>
        <w:t xml:space="preserve"> </w:t>
      </w:r>
      <w:r w:rsidRPr="003618E2">
        <w:rPr>
          <w:lang w:val="es-ES"/>
        </w:rPr>
        <w:t>la</w:t>
      </w:r>
      <w:r w:rsidR="00D136BB">
        <w:rPr>
          <w:lang w:val="es-ES"/>
        </w:rPr>
        <w:t xml:space="preserve"> </w:t>
      </w:r>
      <w:r w:rsidRPr="003618E2">
        <w:rPr>
          <w:lang w:val="es-ES"/>
        </w:rPr>
        <w:t>necesidad</w:t>
      </w:r>
      <w:r w:rsidR="00D136BB">
        <w:rPr>
          <w:lang w:val="es-ES"/>
        </w:rPr>
        <w:t xml:space="preserve"> </w:t>
      </w:r>
      <w:r w:rsidRPr="003618E2">
        <w:rPr>
          <w:lang w:val="es-ES"/>
        </w:rPr>
        <w:t>de</w:t>
      </w:r>
      <w:r w:rsidR="00D136BB">
        <w:rPr>
          <w:lang w:val="es-ES"/>
        </w:rPr>
        <w:t xml:space="preserve"> </w:t>
      </w:r>
      <w:r w:rsidRPr="003618E2">
        <w:rPr>
          <w:lang w:val="es-ES"/>
        </w:rPr>
        <w:t>una</w:t>
      </w:r>
      <w:r w:rsidR="00D136BB">
        <w:rPr>
          <w:lang w:val="es-ES"/>
        </w:rPr>
        <w:t xml:space="preserve"> </w:t>
      </w:r>
      <w:r w:rsidRPr="003618E2">
        <w:rPr>
          <w:lang w:val="es-ES"/>
        </w:rPr>
        <w:t>gestión</w:t>
      </w:r>
      <w:r w:rsidR="00D136BB">
        <w:rPr>
          <w:lang w:val="es-ES"/>
        </w:rPr>
        <w:t xml:space="preserve"> </w:t>
      </w:r>
      <w:r w:rsidRPr="003618E2">
        <w:rPr>
          <w:lang w:val="es-ES"/>
        </w:rPr>
        <w:t>costera</w:t>
      </w:r>
      <w:r w:rsidR="00D136BB">
        <w:rPr>
          <w:lang w:val="es-ES"/>
        </w:rPr>
        <w:t xml:space="preserve"> </w:t>
      </w:r>
      <w:r w:rsidRPr="003618E2">
        <w:rPr>
          <w:lang w:val="es-ES"/>
        </w:rPr>
        <w:t>sostenible.</w:t>
      </w:r>
    </w:p>
    <w:p w14:paraId="091ED286" w14:textId="0902AF22" w:rsidR="006D362C" w:rsidRPr="003618E2" w:rsidRDefault="006D362C" w:rsidP="006D362C">
      <w:pPr>
        <w:pStyle w:val="BodyText"/>
        <w:numPr>
          <w:ilvl w:val="0"/>
          <w:numId w:val="33"/>
        </w:numPr>
        <w:rPr>
          <w:lang w:val="es-ES"/>
        </w:rPr>
      </w:pPr>
      <w:r w:rsidRPr="003618E2">
        <w:rPr>
          <w:lang w:val="es-ES"/>
        </w:rPr>
        <w:t>Efecto</w:t>
      </w:r>
      <w:r w:rsidR="00D136BB">
        <w:rPr>
          <w:lang w:val="es-ES"/>
        </w:rPr>
        <w:t xml:space="preserve"> </w:t>
      </w:r>
      <w:r w:rsidRPr="003618E2">
        <w:rPr>
          <w:lang w:val="es-ES"/>
        </w:rPr>
        <w:t>del</w:t>
      </w:r>
      <w:r w:rsidR="00D136BB">
        <w:rPr>
          <w:lang w:val="es-ES"/>
        </w:rPr>
        <w:t xml:space="preserve"> </w:t>
      </w:r>
      <w:r w:rsidRPr="003618E2">
        <w:rPr>
          <w:lang w:val="es-ES"/>
        </w:rPr>
        <w:t>crecimiento</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población</w:t>
      </w:r>
      <w:r w:rsidR="00D136BB">
        <w:rPr>
          <w:lang w:val="es-ES"/>
        </w:rPr>
        <w:t xml:space="preserve"> </w:t>
      </w:r>
      <w:r w:rsidRPr="003618E2">
        <w:rPr>
          <w:lang w:val="es-ES"/>
        </w:rPr>
        <w:t>y</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actividades</w:t>
      </w:r>
      <w:r w:rsidR="00D136BB">
        <w:rPr>
          <w:lang w:val="es-ES"/>
        </w:rPr>
        <w:t xml:space="preserve"> </w:t>
      </w:r>
      <w:r w:rsidRPr="003618E2">
        <w:rPr>
          <w:lang w:val="es-ES"/>
        </w:rPr>
        <w:t>cerca</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costa.</w:t>
      </w:r>
    </w:p>
    <w:p w14:paraId="7E7F0198" w14:textId="1DFA1CD8" w:rsidR="006D362C" w:rsidRPr="003618E2" w:rsidRDefault="006D362C" w:rsidP="006D362C">
      <w:pPr>
        <w:pStyle w:val="BodyText"/>
        <w:numPr>
          <w:ilvl w:val="0"/>
          <w:numId w:val="33"/>
        </w:numPr>
        <w:rPr>
          <w:lang w:val="es-ES"/>
        </w:rPr>
      </w:pPr>
      <w:r w:rsidRPr="003618E2">
        <w:rPr>
          <w:lang w:val="es-ES"/>
        </w:rPr>
        <w:t>Impacto</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deforestación</w:t>
      </w:r>
      <w:r w:rsidR="00D136BB">
        <w:rPr>
          <w:lang w:val="es-ES"/>
        </w:rPr>
        <w:t xml:space="preserve"> </w:t>
      </w:r>
      <w:r w:rsidRPr="003618E2">
        <w:rPr>
          <w:lang w:val="es-ES"/>
        </w:rPr>
        <w:t>sobre</w:t>
      </w:r>
      <w:r w:rsidR="00D136BB">
        <w:rPr>
          <w:lang w:val="es-ES"/>
        </w:rPr>
        <w:t xml:space="preserve"> </w:t>
      </w:r>
      <w:r w:rsidRPr="003618E2">
        <w:rPr>
          <w:lang w:val="es-ES"/>
        </w:rPr>
        <w:t>la</w:t>
      </w:r>
      <w:r w:rsidR="00D136BB">
        <w:rPr>
          <w:lang w:val="es-ES"/>
        </w:rPr>
        <w:t xml:space="preserve"> </w:t>
      </w:r>
      <w:r w:rsidRPr="003618E2">
        <w:rPr>
          <w:lang w:val="es-ES"/>
        </w:rPr>
        <w:t>erosión</w:t>
      </w:r>
      <w:r w:rsidR="00D136BB">
        <w:rPr>
          <w:lang w:val="es-ES"/>
        </w:rPr>
        <w:t xml:space="preserve"> </w:t>
      </w:r>
      <w:r w:rsidRPr="003618E2">
        <w:rPr>
          <w:lang w:val="es-ES"/>
        </w:rPr>
        <w:t>del</w:t>
      </w:r>
      <w:r w:rsidR="00D136BB">
        <w:rPr>
          <w:lang w:val="es-ES"/>
        </w:rPr>
        <w:t xml:space="preserve"> </w:t>
      </w:r>
      <w:r w:rsidRPr="003618E2">
        <w:rPr>
          <w:lang w:val="es-ES"/>
        </w:rPr>
        <w:t>suelo,</w:t>
      </w:r>
      <w:r w:rsidR="00D136BB">
        <w:rPr>
          <w:lang w:val="es-ES"/>
        </w:rPr>
        <w:t xml:space="preserve"> </w:t>
      </w:r>
      <w:r w:rsidRPr="003618E2">
        <w:rPr>
          <w:lang w:val="es-ES"/>
        </w:rPr>
        <w:t>requiere</w:t>
      </w:r>
      <w:r w:rsidR="00D136BB">
        <w:rPr>
          <w:lang w:val="es-ES"/>
        </w:rPr>
        <w:t xml:space="preserve"> </w:t>
      </w:r>
      <w:r w:rsidRPr="003618E2">
        <w:rPr>
          <w:lang w:val="es-ES"/>
        </w:rPr>
        <w:t>una</w:t>
      </w:r>
      <w:r w:rsidR="00D136BB">
        <w:rPr>
          <w:lang w:val="es-ES"/>
        </w:rPr>
        <w:t xml:space="preserve"> </w:t>
      </w:r>
      <w:r w:rsidRPr="003618E2">
        <w:rPr>
          <w:lang w:val="es-ES"/>
        </w:rPr>
        <w:t>mejor</w:t>
      </w:r>
      <w:r w:rsidR="00D136BB">
        <w:rPr>
          <w:lang w:val="es-ES"/>
        </w:rPr>
        <w:t xml:space="preserve"> </w:t>
      </w:r>
      <w:r w:rsidRPr="003618E2">
        <w:rPr>
          <w:lang w:val="es-ES"/>
        </w:rPr>
        <w:t>gestión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sedimentos.</w:t>
      </w:r>
    </w:p>
    <w:p w14:paraId="696D16C8" w14:textId="4E3C3586" w:rsidR="006D362C" w:rsidRPr="003618E2" w:rsidRDefault="006D362C" w:rsidP="006D362C">
      <w:pPr>
        <w:pStyle w:val="BodyText"/>
        <w:numPr>
          <w:ilvl w:val="0"/>
          <w:numId w:val="33"/>
        </w:numPr>
        <w:rPr>
          <w:lang w:val="es-ES"/>
        </w:rPr>
      </w:pPr>
      <w:r w:rsidRPr="003618E2">
        <w:rPr>
          <w:lang w:val="es-ES"/>
        </w:rPr>
        <w:t>El</w:t>
      </w:r>
      <w:r w:rsidR="00D136BB">
        <w:rPr>
          <w:lang w:val="es-ES"/>
        </w:rPr>
        <w:t xml:space="preserve"> </w:t>
      </w:r>
      <w:r w:rsidRPr="003618E2">
        <w:rPr>
          <w:lang w:val="es-ES"/>
        </w:rPr>
        <w:t>aumento</w:t>
      </w:r>
      <w:r w:rsidR="00D136BB">
        <w:rPr>
          <w:lang w:val="es-ES"/>
        </w:rPr>
        <w:t xml:space="preserve"> </w:t>
      </w:r>
      <w:r w:rsidRPr="003618E2">
        <w:rPr>
          <w:lang w:val="es-ES"/>
        </w:rPr>
        <w:t>del</w:t>
      </w:r>
      <w:r w:rsidR="00D136BB">
        <w:rPr>
          <w:lang w:val="es-ES"/>
        </w:rPr>
        <w:t xml:space="preserve"> </w:t>
      </w:r>
      <w:r w:rsidRPr="003618E2">
        <w:rPr>
          <w:lang w:val="es-ES"/>
        </w:rPr>
        <w:t>comercio</w:t>
      </w:r>
      <w:r w:rsidR="00D136BB">
        <w:rPr>
          <w:lang w:val="es-ES"/>
        </w:rPr>
        <w:t xml:space="preserve"> </w:t>
      </w:r>
      <w:r w:rsidRPr="003618E2">
        <w:rPr>
          <w:lang w:val="es-ES"/>
        </w:rPr>
        <w:t>exterior</w:t>
      </w:r>
      <w:r w:rsidR="00D136BB">
        <w:rPr>
          <w:lang w:val="es-ES"/>
        </w:rPr>
        <w:t xml:space="preserve"> </w:t>
      </w:r>
      <w:r w:rsidRPr="003618E2">
        <w:rPr>
          <w:lang w:val="es-ES"/>
        </w:rPr>
        <w:t>genera</w:t>
      </w:r>
      <w:r w:rsidR="00D136BB">
        <w:rPr>
          <w:lang w:val="es-ES"/>
        </w:rPr>
        <w:t xml:space="preserve"> </w:t>
      </w:r>
      <w:r w:rsidRPr="003618E2">
        <w:rPr>
          <w:lang w:val="es-ES"/>
        </w:rPr>
        <w:t>necesidad</w:t>
      </w:r>
      <w:r w:rsidR="00D136BB">
        <w:rPr>
          <w:lang w:val="es-ES"/>
        </w:rPr>
        <w:t xml:space="preserve"> </w:t>
      </w:r>
      <w:r w:rsidRPr="003618E2">
        <w:rPr>
          <w:lang w:val="es-ES"/>
        </w:rPr>
        <w:t>de</w:t>
      </w:r>
      <w:r w:rsidR="00D136BB">
        <w:rPr>
          <w:lang w:val="es-ES"/>
        </w:rPr>
        <w:t xml:space="preserve"> </w:t>
      </w:r>
      <w:r w:rsidRPr="003618E2">
        <w:rPr>
          <w:lang w:val="es-ES"/>
        </w:rPr>
        <w:t>desarrollar,</w:t>
      </w:r>
      <w:r w:rsidR="00D136BB">
        <w:rPr>
          <w:lang w:val="es-ES"/>
        </w:rPr>
        <w:t xml:space="preserve"> </w:t>
      </w:r>
      <w:r w:rsidRPr="003618E2">
        <w:rPr>
          <w:lang w:val="es-ES"/>
        </w:rPr>
        <w:t>mejorar</w:t>
      </w:r>
      <w:r w:rsidR="00D136BB">
        <w:rPr>
          <w:lang w:val="es-ES"/>
        </w:rPr>
        <w:t xml:space="preserve"> </w:t>
      </w:r>
      <w:r w:rsidRPr="003618E2">
        <w:rPr>
          <w:lang w:val="es-ES"/>
        </w:rPr>
        <w:t>y</w:t>
      </w:r>
      <w:r w:rsidR="00D136BB">
        <w:rPr>
          <w:lang w:val="es-ES"/>
        </w:rPr>
        <w:t xml:space="preserve"> </w:t>
      </w:r>
      <w:r w:rsidRPr="003618E2">
        <w:rPr>
          <w:lang w:val="es-ES"/>
        </w:rPr>
        <w:t>gestionar</w:t>
      </w:r>
      <w:r w:rsidR="00D136BB">
        <w:rPr>
          <w:lang w:val="es-ES"/>
        </w:rPr>
        <w:t xml:space="preserve"> </w:t>
      </w:r>
      <w:r w:rsidRPr="003618E2">
        <w:rPr>
          <w:lang w:val="es-ES"/>
        </w:rPr>
        <w:t>las</w:t>
      </w:r>
      <w:r w:rsidR="00D136BB">
        <w:rPr>
          <w:lang w:val="es-ES"/>
        </w:rPr>
        <w:t xml:space="preserve"> </w:t>
      </w:r>
      <w:r w:rsidRPr="003618E2">
        <w:rPr>
          <w:lang w:val="es-ES"/>
        </w:rPr>
        <w:t>infraestructuras</w:t>
      </w:r>
      <w:r w:rsidR="00D136BB">
        <w:rPr>
          <w:lang w:val="es-ES"/>
        </w:rPr>
        <w:t xml:space="preserve"> </w:t>
      </w:r>
      <w:r w:rsidRPr="003618E2">
        <w:rPr>
          <w:lang w:val="es-ES"/>
        </w:rPr>
        <w:t>portuarias.</w:t>
      </w:r>
    </w:p>
    <w:p w14:paraId="190FEC85" w14:textId="04A16416" w:rsidR="006D362C" w:rsidRPr="003618E2" w:rsidRDefault="006D362C" w:rsidP="006D362C">
      <w:pPr>
        <w:pStyle w:val="BodyText"/>
        <w:numPr>
          <w:ilvl w:val="0"/>
          <w:numId w:val="33"/>
        </w:numPr>
        <w:rPr>
          <w:lang w:val="es-ES"/>
        </w:rPr>
      </w:pPr>
      <w:r w:rsidRPr="003618E2">
        <w:rPr>
          <w:lang w:val="es-ES"/>
        </w:rPr>
        <w:t>Una</w:t>
      </w:r>
      <w:r w:rsidR="00D136BB">
        <w:rPr>
          <w:lang w:val="es-ES"/>
        </w:rPr>
        <w:t xml:space="preserve"> </w:t>
      </w:r>
      <w:r w:rsidRPr="003618E2">
        <w:rPr>
          <w:lang w:val="es-ES"/>
        </w:rPr>
        <w:t>mejor</w:t>
      </w:r>
      <w:r w:rsidR="00D136BB">
        <w:rPr>
          <w:lang w:val="es-ES"/>
        </w:rPr>
        <w:t xml:space="preserve"> </w:t>
      </w:r>
      <w:r w:rsidRPr="003618E2">
        <w:rPr>
          <w:lang w:val="es-ES"/>
        </w:rPr>
        <w:t>gestión</w:t>
      </w:r>
      <w:r w:rsidR="00D136BB">
        <w:rPr>
          <w:lang w:val="es-ES"/>
        </w:rPr>
        <w:t xml:space="preserve"> </w:t>
      </w:r>
      <w:r w:rsidRPr="003618E2">
        <w:rPr>
          <w:lang w:val="es-ES"/>
        </w:rPr>
        <w:t>del</w:t>
      </w:r>
      <w:r w:rsidR="00D136BB">
        <w:rPr>
          <w:lang w:val="es-ES"/>
        </w:rPr>
        <w:t xml:space="preserve"> </w:t>
      </w:r>
      <w:r w:rsidRPr="003618E2">
        <w:rPr>
          <w:lang w:val="es-ES"/>
        </w:rPr>
        <w:t>litoral</w:t>
      </w:r>
      <w:r w:rsidR="00D136BB">
        <w:rPr>
          <w:lang w:val="es-ES"/>
        </w:rPr>
        <w:t xml:space="preserve"> </w:t>
      </w:r>
      <w:r w:rsidRPr="003618E2">
        <w:rPr>
          <w:lang w:val="es-ES"/>
        </w:rPr>
        <w:t>trae</w:t>
      </w:r>
      <w:r w:rsidR="00D136BB">
        <w:rPr>
          <w:lang w:val="es-ES"/>
        </w:rPr>
        <w:t xml:space="preserve"> </w:t>
      </w:r>
      <w:r w:rsidRPr="003618E2">
        <w:rPr>
          <w:lang w:val="es-ES"/>
        </w:rPr>
        <w:t>efectos</w:t>
      </w:r>
      <w:r w:rsidR="00D136BB">
        <w:rPr>
          <w:lang w:val="es-ES"/>
        </w:rPr>
        <w:t xml:space="preserve"> </w:t>
      </w:r>
      <w:r w:rsidRPr="003618E2">
        <w:rPr>
          <w:lang w:val="es-ES"/>
        </w:rPr>
        <w:t>indirectos</w:t>
      </w:r>
      <w:r w:rsidR="00D136BB">
        <w:rPr>
          <w:lang w:val="es-ES"/>
        </w:rPr>
        <w:t xml:space="preserve"> </w:t>
      </w:r>
      <w:r w:rsidRPr="003618E2">
        <w:rPr>
          <w:lang w:val="es-ES"/>
        </w:rPr>
        <w:t>sobre</w:t>
      </w:r>
      <w:r w:rsidR="00D136BB">
        <w:rPr>
          <w:lang w:val="es-ES"/>
        </w:rPr>
        <w:t xml:space="preserve"> </w:t>
      </w:r>
      <w:r w:rsidRPr="003618E2">
        <w:rPr>
          <w:lang w:val="es-ES"/>
        </w:rPr>
        <w:t>el</w:t>
      </w:r>
      <w:r w:rsidR="00D136BB">
        <w:rPr>
          <w:lang w:val="es-ES"/>
        </w:rPr>
        <w:t xml:space="preserve"> </w:t>
      </w:r>
      <w:r w:rsidRPr="003618E2">
        <w:rPr>
          <w:lang w:val="es-ES"/>
        </w:rPr>
        <w:t>turismo.</w:t>
      </w:r>
    </w:p>
    <w:p w14:paraId="12F17972" w14:textId="014BCC47" w:rsidR="006D362C" w:rsidRPr="003618E2" w:rsidRDefault="006D362C" w:rsidP="006D362C">
      <w:pPr>
        <w:pStyle w:val="BodyText"/>
        <w:rPr>
          <w:b/>
          <w:lang w:val="es-ES"/>
        </w:rPr>
      </w:pPr>
      <w:r w:rsidRPr="003618E2">
        <w:rPr>
          <w:b/>
          <w:lang w:val="es-ES"/>
        </w:rPr>
        <w:t>Materiales</w:t>
      </w:r>
      <w:r w:rsidR="00D136BB">
        <w:rPr>
          <w:b/>
          <w:lang w:val="es-ES"/>
        </w:rPr>
        <w:t xml:space="preserve"> </w:t>
      </w:r>
      <w:r w:rsidRPr="003618E2">
        <w:rPr>
          <w:b/>
          <w:lang w:val="es-ES"/>
        </w:rPr>
        <w:t>avanzados</w:t>
      </w:r>
      <w:r w:rsidR="00D136BB">
        <w:rPr>
          <w:b/>
          <w:lang w:val="es-ES"/>
        </w:rPr>
        <w:t xml:space="preserve"> </w:t>
      </w:r>
      <w:r w:rsidRPr="003618E2">
        <w:rPr>
          <w:b/>
          <w:lang w:val="es-ES"/>
        </w:rPr>
        <w:t>(PR,</w:t>
      </w:r>
      <w:r w:rsidR="00D136BB">
        <w:rPr>
          <w:b/>
          <w:lang w:val="es-ES"/>
        </w:rPr>
        <w:t xml:space="preserve"> </w:t>
      </w:r>
      <w:r w:rsidRPr="003618E2">
        <w:rPr>
          <w:b/>
          <w:lang w:val="es-ES"/>
        </w:rPr>
        <w:t>TAN)</w:t>
      </w:r>
    </w:p>
    <w:p w14:paraId="54CCB6B2" w14:textId="7ADCE2DA" w:rsidR="006D362C" w:rsidRPr="003618E2" w:rsidRDefault="006D362C" w:rsidP="006D362C">
      <w:pPr>
        <w:pStyle w:val="BodyText"/>
        <w:numPr>
          <w:ilvl w:val="0"/>
          <w:numId w:val="33"/>
        </w:numPr>
        <w:rPr>
          <w:lang w:val="es-ES"/>
        </w:rPr>
      </w:pPr>
      <w:r w:rsidRPr="003618E2">
        <w:rPr>
          <w:lang w:val="es-ES"/>
        </w:rPr>
        <w:t>Las</w:t>
      </w:r>
      <w:r w:rsidR="00D136BB">
        <w:rPr>
          <w:lang w:val="es-ES"/>
        </w:rPr>
        <w:t xml:space="preserve"> </w:t>
      </w:r>
      <w:r w:rsidRPr="003618E2">
        <w:rPr>
          <w:lang w:val="es-ES"/>
        </w:rPr>
        <w:t>instalaciones</w:t>
      </w:r>
      <w:r w:rsidR="00D136BB">
        <w:rPr>
          <w:lang w:val="es-ES"/>
        </w:rPr>
        <w:t xml:space="preserve"> </w:t>
      </w:r>
      <w:r w:rsidRPr="003618E2">
        <w:rPr>
          <w:lang w:val="es-ES"/>
        </w:rPr>
        <w:t>existentes</w:t>
      </w:r>
      <w:r w:rsidR="00D136BB">
        <w:rPr>
          <w:lang w:val="es-ES"/>
        </w:rPr>
        <w:t xml:space="preserve"> </w:t>
      </w:r>
      <w:r w:rsidRPr="003618E2">
        <w:rPr>
          <w:lang w:val="es-ES"/>
        </w:rPr>
        <w:t>pueden</w:t>
      </w:r>
      <w:r w:rsidR="00D136BB">
        <w:rPr>
          <w:lang w:val="es-ES"/>
        </w:rPr>
        <w:t xml:space="preserve"> </w:t>
      </w:r>
      <w:r w:rsidRPr="003618E2">
        <w:rPr>
          <w:lang w:val="es-ES"/>
        </w:rPr>
        <w:t>ser</w:t>
      </w:r>
      <w:r w:rsidR="00D136BB">
        <w:rPr>
          <w:lang w:val="es-ES"/>
        </w:rPr>
        <w:t xml:space="preserve"> </w:t>
      </w:r>
      <w:r w:rsidRPr="003618E2">
        <w:rPr>
          <w:lang w:val="es-ES"/>
        </w:rPr>
        <w:t>utilizadas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desarrollo</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avanzados</w:t>
      </w:r>
      <w:r w:rsidR="00D136BB">
        <w:rPr>
          <w:lang w:val="es-ES"/>
        </w:rPr>
        <w:t xml:space="preserve"> </w:t>
      </w:r>
      <w:r w:rsidRPr="003618E2">
        <w:rPr>
          <w:lang w:val="es-ES"/>
        </w:rPr>
        <w:t>específicos</w:t>
      </w:r>
      <w:r w:rsidR="00D136BB">
        <w:rPr>
          <w:lang w:val="es-ES"/>
        </w:rPr>
        <w:t xml:space="preserve"> </w:t>
      </w:r>
      <w:r w:rsidRPr="003618E2">
        <w:rPr>
          <w:lang w:val="es-ES"/>
        </w:rPr>
        <w:t>a</w:t>
      </w:r>
      <w:r w:rsidR="00D136BB">
        <w:rPr>
          <w:lang w:val="es-ES"/>
        </w:rPr>
        <w:t xml:space="preserve"> </w:t>
      </w:r>
      <w:r w:rsidRPr="003618E2">
        <w:rPr>
          <w:lang w:val="es-ES"/>
        </w:rPr>
        <w:t>las</w:t>
      </w:r>
      <w:r w:rsidR="00D136BB">
        <w:rPr>
          <w:lang w:val="es-ES"/>
        </w:rPr>
        <w:t xml:space="preserve"> </w:t>
      </w:r>
      <w:r w:rsidRPr="003618E2">
        <w:rPr>
          <w:lang w:val="es-ES"/>
        </w:rPr>
        <w:t>necesidades</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países.</w:t>
      </w:r>
    </w:p>
    <w:p w14:paraId="4C89B1EA" w14:textId="3596F3AA" w:rsidR="006D362C" w:rsidRPr="003618E2" w:rsidRDefault="006D362C" w:rsidP="006D362C">
      <w:pPr>
        <w:pStyle w:val="BodyText"/>
        <w:numPr>
          <w:ilvl w:val="0"/>
          <w:numId w:val="33"/>
        </w:numPr>
        <w:rPr>
          <w:lang w:val="es-ES"/>
        </w:rPr>
      </w:pP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es</w:t>
      </w:r>
      <w:r w:rsidR="00D136BB">
        <w:rPr>
          <w:lang w:val="es-ES"/>
        </w:rPr>
        <w:t xml:space="preserve"> </w:t>
      </w:r>
      <w:r w:rsidRPr="003618E2">
        <w:rPr>
          <w:lang w:val="es-ES"/>
        </w:rPr>
        <w:t>exportadora</w:t>
      </w:r>
      <w:r w:rsidR="00D136BB">
        <w:rPr>
          <w:lang w:val="es-ES"/>
        </w:rPr>
        <w:t xml:space="preserve"> </w:t>
      </w:r>
      <w:r w:rsidRPr="003618E2">
        <w:rPr>
          <w:lang w:val="es-ES"/>
        </w:rPr>
        <w:t>de</w:t>
      </w:r>
      <w:r w:rsidR="00D136BB">
        <w:rPr>
          <w:lang w:val="es-ES"/>
        </w:rPr>
        <w:t xml:space="preserve"> </w:t>
      </w:r>
      <w:r w:rsidRPr="003618E2">
        <w:rPr>
          <w:lang w:val="es-ES"/>
        </w:rPr>
        <w:t>materia</w:t>
      </w:r>
      <w:r w:rsidR="00D136BB">
        <w:rPr>
          <w:lang w:val="es-ES"/>
        </w:rPr>
        <w:t xml:space="preserve"> </w:t>
      </w:r>
      <w:r w:rsidRPr="003618E2">
        <w:rPr>
          <w:lang w:val="es-ES"/>
        </w:rPr>
        <w:t>prima,</w:t>
      </w:r>
      <w:r w:rsidR="00D136BB">
        <w:rPr>
          <w:lang w:val="es-ES"/>
        </w:rPr>
        <w:t xml:space="preserve"> </w:t>
      </w:r>
      <w:r w:rsidRPr="003618E2">
        <w:rPr>
          <w:lang w:val="es-ES"/>
        </w:rPr>
        <w:t>existe</w:t>
      </w:r>
      <w:r w:rsidR="00D136BB">
        <w:rPr>
          <w:lang w:val="es-ES"/>
        </w:rPr>
        <w:t xml:space="preserve"> </w:t>
      </w:r>
      <w:r w:rsidRPr="003618E2">
        <w:rPr>
          <w:lang w:val="es-ES"/>
        </w:rPr>
        <w:t>la</w:t>
      </w:r>
      <w:r w:rsidR="00D136BB">
        <w:rPr>
          <w:lang w:val="es-ES"/>
        </w:rPr>
        <w:t xml:space="preserve"> </w:t>
      </w:r>
      <w:r w:rsidRPr="003618E2">
        <w:rPr>
          <w:lang w:val="es-ES"/>
        </w:rPr>
        <w:t>oportunidad</w:t>
      </w:r>
      <w:r w:rsidR="00D136BB">
        <w:rPr>
          <w:lang w:val="es-ES"/>
        </w:rPr>
        <w:t xml:space="preserve"> </w:t>
      </w:r>
      <w:r w:rsidRPr="003618E2">
        <w:rPr>
          <w:lang w:val="es-ES"/>
        </w:rPr>
        <w:t>de</w:t>
      </w:r>
      <w:r w:rsidR="00D136BB">
        <w:rPr>
          <w:lang w:val="es-ES"/>
        </w:rPr>
        <w:t xml:space="preserve"> </w:t>
      </w:r>
      <w:r w:rsidRPr="003618E2">
        <w:rPr>
          <w:lang w:val="es-ES"/>
        </w:rPr>
        <w:t>crear</w:t>
      </w:r>
      <w:r w:rsidR="00D136BB">
        <w:rPr>
          <w:lang w:val="es-ES"/>
        </w:rPr>
        <w:t xml:space="preserve"> </w:t>
      </w:r>
      <w:r w:rsidRPr="003618E2">
        <w:rPr>
          <w:lang w:val="es-ES"/>
        </w:rPr>
        <w:t>valor</w:t>
      </w:r>
      <w:r w:rsidR="00D136BB">
        <w:rPr>
          <w:lang w:val="es-ES"/>
        </w:rPr>
        <w:t xml:space="preserve"> </w:t>
      </w:r>
      <w:r w:rsidRPr="003618E2">
        <w:rPr>
          <w:lang w:val="es-ES"/>
        </w:rPr>
        <w:t>agregado.</w:t>
      </w:r>
    </w:p>
    <w:p w14:paraId="597B4362" w14:textId="7DE4573A" w:rsidR="006D362C" w:rsidRPr="003618E2" w:rsidRDefault="006D362C" w:rsidP="006D362C">
      <w:pPr>
        <w:pStyle w:val="BodyText"/>
        <w:numPr>
          <w:ilvl w:val="0"/>
          <w:numId w:val="33"/>
        </w:numPr>
        <w:rPr>
          <w:lang w:val="es-ES"/>
        </w:rPr>
      </w:pPr>
      <w:r w:rsidRPr="003618E2">
        <w:rPr>
          <w:lang w:val="es-ES"/>
        </w:rPr>
        <w:t>Desarrollo</w:t>
      </w:r>
      <w:r w:rsidR="00D136BB">
        <w:rPr>
          <w:lang w:val="es-ES"/>
        </w:rPr>
        <w:t xml:space="preserve"> </w:t>
      </w:r>
      <w:r w:rsidRPr="003618E2">
        <w:rPr>
          <w:lang w:val="es-ES"/>
        </w:rPr>
        <w:t>de</w:t>
      </w:r>
      <w:r w:rsidR="00D136BB">
        <w:rPr>
          <w:lang w:val="es-ES"/>
        </w:rPr>
        <w:t xml:space="preserve"> </w:t>
      </w:r>
      <w:r w:rsidRPr="003618E2">
        <w:rPr>
          <w:lang w:val="es-ES"/>
        </w:rPr>
        <w:t>nuevos</w:t>
      </w:r>
      <w:r w:rsidR="00D136BB">
        <w:rPr>
          <w:lang w:val="es-ES"/>
        </w:rPr>
        <w:t xml:space="preserve"> </w:t>
      </w:r>
      <w:r w:rsidRPr="003618E2">
        <w:rPr>
          <w:lang w:val="es-ES"/>
        </w:rPr>
        <w:t>materiales</w:t>
      </w:r>
      <w:r w:rsidR="00D136BB">
        <w:rPr>
          <w:lang w:val="es-ES"/>
        </w:rPr>
        <w:t xml:space="preserve"> </w:t>
      </w:r>
      <w:r w:rsidRPr="003618E2">
        <w:rPr>
          <w:lang w:val="es-ES"/>
        </w:rPr>
        <w:t>avanzados</w:t>
      </w:r>
      <w:r w:rsidR="00D136BB">
        <w:rPr>
          <w:lang w:val="es-ES"/>
        </w:rPr>
        <w:t xml:space="preserve"> </w:t>
      </w:r>
      <w:r w:rsidRPr="003618E2">
        <w:rPr>
          <w:lang w:val="es-ES"/>
        </w:rPr>
        <w:t>para</w:t>
      </w:r>
      <w:r w:rsidR="00D136BB">
        <w:rPr>
          <w:lang w:val="es-ES"/>
        </w:rPr>
        <w:t xml:space="preserve"> </w:t>
      </w:r>
      <w:r w:rsidRPr="003618E2">
        <w:rPr>
          <w:lang w:val="es-ES"/>
        </w:rPr>
        <w:t>nuevas</w:t>
      </w:r>
      <w:r w:rsidR="00D136BB">
        <w:rPr>
          <w:lang w:val="es-ES"/>
        </w:rPr>
        <w:t xml:space="preserve"> </w:t>
      </w:r>
      <w:r w:rsidRPr="003618E2">
        <w:rPr>
          <w:lang w:val="es-ES"/>
        </w:rPr>
        <w:t>aplicaciones</w:t>
      </w:r>
      <w:r w:rsidR="00D136BB">
        <w:rPr>
          <w:lang w:val="es-ES"/>
        </w:rPr>
        <w:t xml:space="preserve"> </w:t>
      </w:r>
      <w:r w:rsidRPr="003618E2">
        <w:rPr>
          <w:lang w:val="es-ES"/>
        </w:rPr>
        <w:t>(por</w:t>
      </w:r>
      <w:r w:rsidR="00D136BB">
        <w:rPr>
          <w:lang w:val="es-ES"/>
        </w:rPr>
        <w:t xml:space="preserve"> </w:t>
      </w:r>
      <w:r w:rsidRPr="003618E2">
        <w:rPr>
          <w:lang w:val="es-ES"/>
        </w:rPr>
        <w:t>ejemplo,</w:t>
      </w:r>
      <w:r w:rsidR="00D136BB">
        <w:rPr>
          <w:lang w:val="es-ES"/>
        </w:rPr>
        <w:t xml:space="preserve"> </w:t>
      </w:r>
      <w:r w:rsidRPr="003618E2">
        <w:rPr>
          <w:lang w:val="es-ES"/>
        </w:rPr>
        <w:t>nanogeles,</w:t>
      </w:r>
      <w:r w:rsidR="00D136BB">
        <w:rPr>
          <w:lang w:val="es-ES"/>
        </w:rPr>
        <w:t xml:space="preserve"> </w:t>
      </w:r>
      <w:r w:rsidRPr="003618E2">
        <w:rPr>
          <w:lang w:val="es-ES"/>
        </w:rPr>
        <w:t>nanocompuestos</w:t>
      </w:r>
      <w:r w:rsidR="00D136BB">
        <w:rPr>
          <w:lang w:val="es-ES"/>
        </w:rPr>
        <w:t xml:space="preserve"> </w:t>
      </w:r>
      <w:r w:rsidRPr="003618E2">
        <w:rPr>
          <w:lang w:val="es-ES"/>
        </w:rPr>
        <w:t>de</w:t>
      </w:r>
      <w:r w:rsidR="00D136BB">
        <w:rPr>
          <w:lang w:val="es-ES"/>
        </w:rPr>
        <w:t xml:space="preserve"> </w:t>
      </w:r>
      <w:r w:rsidRPr="003618E2">
        <w:rPr>
          <w:lang w:val="es-ES"/>
        </w:rPr>
        <w:t>óxido</w:t>
      </w:r>
      <w:r w:rsidR="00D136BB">
        <w:rPr>
          <w:lang w:val="es-ES"/>
        </w:rPr>
        <w:t xml:space="preserve"> </w:t>
      </w:r>
      <w:r w:rsidRPr="003618E2">
        <w:rPr>
          <w:lang w:val="es-ES"/>
        </w:rPr>
        <w:t>de</w:t>
      </w:r>
      <w:r w:rsidR="00D136BB">
        <w:rPr>
          <w:lang w:val="es-ES"/>
        </w:rPr>
        <w:t xml:space="preserve"> </w:t>
      </w:r>
      <w:r w:rsidRPr="003618E2">
        <w:rPr>
          <w:lang w:val="es-ES"/>
        </w:rPr>
        <w:t>grafeno,</w:t>
      </w:r>
      <w:r w:rsidR="00D136BB">
        <w:rPr>
          <w:lang w:val="es-ES"/>
        </w:rPr>
        <w:t xml:space="preserve"> </w:t>
      </w:r>
      <w:r w:rsidRPr="003618E2">
        <w:rPr>
          <w:lang w:val="es-ES"/>
        </w:rPr>
        <w:t>nuevas</w:t>
      </w:r>
      <w:r w:rsidR="00D136BB">
        <w:rPr>
          <w:lang w:val="es-ES"/>
        </w:rPr>
        <w:t xml:space="preserve"> </w:t>
      </w:r>
      <w:r w:rsidRPr="003618E2">
        <w:rPr>
          <w:lang w:val="es-ES"/>
        </w:rPr>
        <w:t>formulaciones</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aislantes</w:t>
      </w:r>
      <w:r w:rsidR="00D136BB">
        <w:rPr>
          <w:lang w:val="es-ES"/>
        </w:rPr>
        <w:t xml:space="preserve"> </w:t>
      </w:r>
      <w:r w:rsidRPr="003618E2">
        <w:rPr>
          <w:lang w:val="es-ES"/>
        </w:rPr>
        <w:t>de</w:t>
      </w:r>
      <w:r w:rsidR="00D136BB">
        <w:rPr>
          <w:lang w:val="es-ES"/>
        </w:rPr>
        <w:t xml:space="preserve"> </w:t>
      </w:r>
      <w:r w:rsidRPr="003618E2">
        <w:rPr>
          <w:lang w:val="es-ES"/>
        </w:rPr>
        <w:t>cables,</w:t>
      </w:r>
      <w:r w:rsidR="00D136BB">
        <w:rPr>
          <w:lang w:val="es-ES"/>
        </w:rPr>
        <w:t xml:space="preserve"> </w:t>
      </w:r>
      <w:r w:rsidRPr="003618E2">
        <w:rPr>
          <w:lang w:val="es-ES"/>
        </w:rPr>
        <w:t>nuevas</w:t>
      </w:r>
      <w:r w:rsidR="00D136BB">
        <w:rPr>
          <w:lang w:val="es-ES"/>
        </w:rPr>
        <w:t xml:space="preserve"> </w:t>
      </w:r>
      <w:r w:rsidRPr="003618E2">
        <w:rPr>
          <w:lang w:val="es-ES"/>
        </w:rPr>
        <w:t>formulaciones</w:t>
      </w:r>
      <w:r w:rsidR="00D136BB">
        <w:rPr>
          <w:lang w:val="es-ES"/>
        </w:rPr>
        <w:t xml:space="preserve"> </w:t>
      </w:r>
      <w:r w:rsidRPr="003618E2">
        <w:rPr>
          <w:lang w:val="es-ES"/>
        </w:rPr>
        <w:t>de</w:t>
      </w:r>
      <w:r w:rsidR="00D136BB">
        <w:rPr>
          <w:lang w:val="es-ES"/>
        </w:rPr>
        <w:t xml:space="preserve"> </w:t>
      </w:r>
      <w:r w:rsidRPr="003618E2">
        <w:rPr>
          <w:lang w:val="es-ES"/>
        </w:rPr>
        <w:t>polímeros</w:t>
      </w:r>
      <w:r w:rsidR="00D136BB">
        <w:rPr>
          <w:lang w:val="es-ES"/>
        </w:rPr>
        <w:t xml:space="preserve"> </w:t>
      </w:r>
      <w:r w:rsidRPr="003618E2">
        <w:rPr>
          <w:lang w:val="es-ES"/>
        </w:rPr>
        <w:t>curables).</w:t>
      </w:r>
    </w:p>
    <w:p w14:paraId="68D4FD96" w14:textId="00D8BE90" w:rsidR="006D362C" w:rsidRPr="003618E2" w:rsidRDefault="006D362C" w:rsidP="006D362C">
      <w:pPr>
        <w:pStyle w:val="BodyText"/>
        <w:rPr>
          <w:b/>
          <w:lang w:val="es-ES"/>
        </w:rPr>
      </w:pPr>
      <w:r w:rsidRPr="003618E2">
        <w:rPr>
          <w:b/>
          <w:lang w:val="es-ES"/>
        </w:rPr>
        <w:t>Medicina</w:t>
      </w:r>
      <w:r w:rsidR="00D136BB">
        <w:rPr>
          <w:b/>
          <w:lang w:val="es-ES"/>
        </w:rPr>
        <w:t xml:space="preserve"> </w:t>
      </w:r>
      <w:r w:rsidRPr="003618E2">
        <w:rPr>
          <w:b/>
          <w:lang w:val="es-ES"/>
        </w:rPr>
        <w:t>(PR)</w:t>
      </w:r>
    </w:p>
    <w:p w14:paraId="4E114E6A" w14:textId="74CFC594" w:rsidR="006D362C" w:rsidRPr="003618E2" w:rsidRDefault="006D362C" w:rsidP="006D362C">
      <w:pPr>
        <w:pStyle w:val="BodyText"/>
        <w:numPr>
          <w:ilvl w:val="0"/>
          <w:numId w:val="33"/>
        </w:numPr>
        <w:rPr>
          <w:lang w:val="es-ES"/>
        </w:rPr>
      </w:pPr>
      <w:r w:rsidRPr="003618E2">
        <w:rPr>
          <w:lang w:val="es-ES"/>
        </w:rPr>
        <w:t>En</w:t>
      </w:r>
      <w:r w:rsidR="00D136BB">
        <w:rPr>
          <w:lang w:val="es-ES"/>
        </w:rPr>
        <w:t xml:space="preserve"> </w:t>
      </w:r>
      <w:r w:rsidRPr="003618E2">
        <w:rPr>
          <w:lang w:val="es-ES"/>
        </w:rPr>
        <w:t>los</w:t>
      </w:r>
      <w:r w:rsidR="00D136BB">
        <w:rPr>
          <w:lang w:val="es-ES"/>
        </w:rPr>
        <w:t xml:space="preserve"> </w:t>
      </w:r>
      <w:r w:rsidRPr="003618E2">
        <w:rPr>
          <w:lang w:val="es-ES"/>
        </w:rPr>
        <w:t>últimos</w:t>
      </w:r>
      <w:r w:rsidR="00D136BB">
        <w:rPr>
          <w:lang w:val="es-ES"/>
        </w:rPr>
        <w:t xml:space="preserve"> </w:t>
      </w:r>
      <w:r w:rsidRPr="003618E2">
        <w:rPr>
          <w:lang w:val="es-ES"/>
        </w:rPr>
        <w:t>años</w:t>
      </w:r>
      <w:r w:rsidR="00D136BB">
        <w:rPr>
          <w:lang w:val="es-ES"/>
        </w:rPr>
        <w:t xml:space="preserve"> </w:t>
      </w:r>
      <w:r w:rsidRPr="003618E2">
        <w:rPr>
          <w:lang w:val="es-ES"/>
        </w:rPr>
        <w:t>se</w:t>
      </w:r>
      <w:r w:rsidR="00D136BB">
        <w:rPr>
          <w:lang w:val="es-ES"/>
        </w:rPr>
        <w:t xml:space="preserve"> </w:t>
      </w:r>
      <w:r w:rsidRPr="003618E2">
        <w:rPr>
          <w:lang w:val="es-ES"/>
        </w:rPr>
        <w:t>ha</w:t>
      </w:r>
      <w:r w:rsidR="00D136BB">
        <w:rPr>
          <w:lang w:val="es-ES"/>
        </w:rPr>
        <w:t xml:space="preserve"> </w:t>
      </w:r>
      <w:r w:rsidRPr="003618E2">
        <w:rPr>
          <w:lang w:val="es-ES"/>
        </w:rPr>
        <w:t>incrementado</w:t>
      </w:r>
      <w:r w:rsidR="00D136BB">
        <w:rPr>
          <w:lang w:val="es-ES"/>
        </w:rPr>
        <w:t xml:space="preserve"> </w:t>
      </w:r>
      <w:r w:rsidRPr="003618E2">
        <w:rPr>
          <w:lang w:val="es-ES"/>
        </w:rPr>
        <w:t>la</w:t>
      </w:r>
      <w:r w:rsidR="00D136BB">
        <w:rPr>
          <w:lang w:val="es-ES"/>
        </w:rPr>
        <w:t xml:space="preserve"> </w:t>
      </w:r>
      <w:r w:rsidRPr="003618E2">
        <w:rPr>
          <w:lang w:val="es-ES"/>
        </w:rPr>
        <w:t>aceptación</w:t>
      </w:r>
      <w:r w:rsidR="00D136BB">
        <w:rPr>
          <w:lang w:val="es-ES"/>
        </w:rPr>
        <w:t xml:space="preserve"> </w:t>
      </w:r>
      <w:r w:rsidRPr="003618E2">
        <w:rPr>
          <w:lang w:val="es-ES"/>
        </w:rPr>
        <w:t>del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radiaciones</w:t>
      </w:r>
      <w:r w:rsidR="00D136BB">
        <w:rPr>
          <w:lang w:val="es-ES"/>
        </w:rPr>
        <w:t xml:space="preserve"> </w:t>
      </w:r>
      <w:r w:rsidRPr="003618E2">
        <w:rPr>
          <w:lang w:val="es-ES"/>
        </w:rPr>
        <w:t>ionizantes</w:t>
      </w:r>
      <w:r w:rsidR="00D136BB">
        <w:rPr>
          <w:lang w:val="es-ES"/>
        </w:rPr>
        <w:t xml:space="preserve"> </w:t>
      </w:r>
      <w:r w:rsidRPr="003618E2">
        <w:rPr>
          <w:lang w:val="es-ES"/>
        </w:rPr>
        <w:t>como</w:t>
      </w:r>
      <w:r w:rsidR="00D136BB">
        <w:rPr>
          <w:lang w:val="es-ES"/>
        </w:rPr>
        <w:t xml:space="preserve"> </w:t>
      </w:r>
      <w:r w:rsidRPr="003618E2">
        <w:rPr>
          <w:lang w:val="es-ES"/>
        </w:rPr>
        <w:t>técnica</w:t>
      </w:r>
      <w:r w:rsidR="00D136BB">
        <w:rPr>
          <w:lang w:val="es-ES"/>
        </w:rPr>
        <w:t xml:space="preserve"> </w:t>
      </w:r>
      <w:r w:rsidRPr="003618E2">
        <w:rPr>
          <w:lang w:val="es-ES"/>
        </w:rPr>
        <w:t>de</w:t>
      </w:r>
      <w:r w:rsidR="00D136BB">
        <w:rPr>
          <w:lang w:val="es-ES"/>
        </w:rPr>
        <w:t xml:space="preserve"> </w:t>
      </w:r>
      <w:r w:rsidRPr="003618E2">
        <w:rPr>
          <w:lang w:val="es-ES"/>
        </w:rPr>
        <w:t>esterilización</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p>
    <w:p w14:paraId="08FA1A11" w14:textId="7A284519" w:rsidR="006D362C" w:rsidRPr="003618E2" w:rsidRDefault="006D362C" w:rsidP="006D362C">
      <w:pPr>
        <w:pStyle w:val="BodyText"/>
        <w:numPr>
          <w:ilvl w:val="0"/>
          <w:numId w:val="33"/>
        </w:numPr>
        <w:rPr>
          <w:lang w:val="es-ES"/>
        </w:rPr>
      </w:pP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se</w:t>
      </w:r>
      <w:r w:rsidR="00D136BB">
        <w:rPr>
          <w:lang w:val="es-ES"/>
        </w:rPr>
        <w:t xml:space="preserve"> </w:t>
      </w:r>
      <w:r w:rsidRPr="003618E2">
        <w:rPr>
          <w:lang w:val="es-ES"/>
        </w:rPr>
        <w:t>tiene</w:t>
      </w:r>
      <w:r w:rsidR="00D136BB">
        <w:rPr>
          <w:lang w:val="es-ES"/>
        </w:rPr>
        <w:t xml:space="preserve"> </w:t>
      </w:r>
      <w:r w:rsidRPr="003618E2">
        <w:rPr>
          <w:lang w:val="es-ES"/>
        </w:rPr>
        <w:t>una</w:t>
      </w:r>
      <w:r w:rsidR="00D136BB">
        <w:rPr>
          <w:lang w:val="es-ES"/>
        </w:rPr>
        <w:t xml:space="preserve"> </w:t>
      </w:r>
      <w:r w:rsidRPr="003618E2">
        <w:rPr>
          <w:lang w:val="es-ES"/>
        </w:rPr>
        <w:t>demanda</w:t>
      </w:r>
      <w:r w:rsidR="00D136BB">
        <w:rPr>
          <w:lang w:val="es-ES"/>
        </w:rPr>
        <w:t xml:space="preserve"> </w:t>
      </w:r>
      <w:r w:rsidRPr="003618E2">
        <w:rPr>
          <w:lang w:val="es-ES"/>
        </w:rPr>
        <w:t>creciente</w:t>
      </w:r>
      <w:r w:rsidR="00D136BB">
        <w:rPr>
          <w:lang w:val="es-ES"/>
        </w:rPr>
        <w:t xml:space="preserve"> </w:t>
      </w:r>
      <w:r w:rsidRPr="003618E2">
        <w:rPr>
          <w:lang w:val="es-ES"/>
        </w:rPr>
        <w:t>de</w:t>
      </w:r>
      <w:r w:rsidR="00D136BB">
        <w:rPr>
          <w:lang w:val="es-ES"/>
        </w:rPr>
        <w:t xml:space="preserve"> </w:t>
      </w:r>
      <w:r w:rsidRPr="003618E2">
        <w:rPr>
          <w:lang w:val="es-ES"/>
        </w:rPr>
        <w:t>esterilización</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médicos</w:t>
      </w:r>
      <w:r w:rsidR="00D136BB">
        <w:rPr>
          <w:lang w:val="es-ES"/>
        </w:rPr>
        <w:t xml:space="preserve"> </w:t>
      </w:r>
      <w:r w:rsidRPr="003618E2">
        <w:rPr>
          <w:lang w:val="es-ES"/>
        </w:rPr>
        <w:t>desechables.</w:t>
      </w:r>
    </w:p>
    <w:p w14:paraId="7DC6C4AE" w14:textId="702509C6" w:rsidR="006D362C" w:rsidRPr="003618E2" w:rsidRDefault="006D362C" w:rsidP="006D362C">
      <w:pPr>
        <w:pStyle w:val="BodyText"/>
        <w:numPr>
          <w:ilvl w:val="0"/>
          <w:numId w:val="33"/>
        </w:numPr>
        <w:rPr>
          <w:lang w:val="es-ES"/>
        </w:rPr>
      </w:pPr>
      <w:r w:rsidRPr="003618E2">
        <w:rPr>
          <w:lang w:val="es-ES"/>
        </w:rPr>
        <w:lastRenderedPageBreak/>
        <w:t>Existen</w:t>
      </w:r>
      <w:r w:rsidR="00D136BB">
        <w:rPr>
          <w:lang w:val="es-ES"/>
        </w:rPr>
        <w:t xml:space="preserve"> </w:t>
      </w:r>
      <w:r w:rsidRPr="003618E2">
        <w:rPr>
          <w:lang w:val="es-ES"/>
        </w:rPr>
        <w:t>productos</w:t>
      </w:r>
      <w:r w:rsidR="00D136BB">
        <w:rPr>
          <w:lang w:val="es-ES"/>
        </w:rPr>
        <w:t xml:space="preserve"> </w:t>
      </w:r>
      <w:r w:rsidRPr="003618E2">
        <w:rPr>
          <w:lang w:val="es-ES"/>
        </w:rPr>
        <w:t>médicos</w:t>
      </w:r>
      <w:r w:rsidR="00D136BB">
        <w:rPr>
          <w:lang w:val="es-ES"/>
        </w:rPr>
        <w:t xml:space="preserve"> </w:t>
      </w:r>
      <w:r w:rsidRPr="003618E2">
        <w:rPr>
          <w:lang w:val="es-ES"/>
        </w:rPr>
        <w:t>que</w:t>
      </w:r>
      <w:r w:rsidR="00D136BB">
        <w:rPr>
          <w:lang w:val="es-ES"/>
        </w:rPr>
        <w:t xml:space="preserve"> </w:t>
      </w:r>
      <w:r w:rsidRPr="003618E2">
        <w:rPr>
          <w:lang w:val="es-ES"/>
        </w:rPr>
        <w:t>solo</w:t>
      </w:r>
      <w:r w:rsidR="00D136BB">
        <w:rPr>
          <w:lang w:val="es-ES"/>
        </w:rPr>
        <w:t xml:space="preserve"> </w:t>
      </w:r>
      <w:r w:rsidRPr="003618E2">
        <w:rPr>
          <w:lang w:val="es-ES"/>
        </w:rPr>
        <w:t>pueden</w:t>
      </w:r>
      <w:r w:rsidR="00D136BB">
        <w:rPr>
          <w:lang w:val="es-ES"/>
        </w:rPr>
        <w:t xml:space="preserve"> </w:t>
      </w:r>
      <w:r w:rsidRPr="003618E2">
        <w:rPr>
          <w:lang w:val="es-ES"/>
        </w:rPr>
        <w:t>ser</w:t>
      </w:r>
      <w:r w:rsidR="00D136BB">
        <w:rPr>
          <w:lang w:val="es-ES"/>
        </w:rPr>
        <w:t xml:space="preserve"> </w:t>
      </w:r>
      <w:r w:rsidRPr="003618E2">
        <w:rPr>
          <w:lang w:val="es-ES"/>
        </w:rPr>
        <w:t>esterilizados</w:t>
      </w:r>
      <w:r w:rsidR="00D136BB">
        <w:rPr>
          <w:lang w:val="es-ES"/>
        </w:rPr>
        <w:t xml:space="preserve"> </w:t>
      </w:r>
      <w:r w:rsidRPr="003618E2">
        <w:rPr>
          <w:lang w:val="es-ES"/>
        </w:rPr>
        <w:t>por</w:t>
      </w:r>
      <w:r w:rsidR="00D136BB">
        <w:rPr>
          <w:lang w:val="es-ES"/>
        </w:rPr>
        <w:t xml:space="preserve"> </w:t>
      </w:r>
      <w:r w:rsidRPr="003618E2">
        <w:rPr>
          <w:lang w:val="es-ES"/>
        </w:rPr>
        <w:t>radiación</w:t>
      </w:r>
      <w:r w:rsidR="00D136BB">
        <w:rPr>
          <w:lang w:val="es-ES"/>
        </w:rPr>
        <w:t xml:space="preserve"> </w:t>
      </w:r>
      <w:r w:rsidRPr="003618E2">
        <w:rPr>
          <w:lang w:val="es-ES"/>
        </w:rPr>
        <w:t>ionizante</w:t>
      </w:r>
      <w:r w:rsidR="00D136BB">
        <w:rPr>
          <w:lang w:val="es-ES"/>
        </w:rPr>
        <w:t xml:space="preserve"> </w:t>
      </w:r>
      <w:r w:rsidRPr="003618E2">
        <w:rPr>
          <w:lang w:val="es-ES"/>
        </w:rPr>
        <w:t>(prótesis,</w:t>
      </w:r>
      <w:r w:rsidR="00D136BB">
        <w:rPr>
          <w:lang w:val="es-ES"/>
        </w:rPr>
        <w:t xml:space="preserve"> </w:t>
      </w:r>
      <w:r w:rsidRPr="003618E2">
        <w:rPr>
          <w:lang w:val="es-ES"/>
        </w:rPr>
        <w:t>hilo</w:t>
      </w:r>
      <w:r w:rsidR="00D136BB">
        <w:rPr>
          <w:lang w:val="es-ES"/>
        </w:rPr>
        <w:t xml:space="preserve"> </w:t>
      </w:r>
      <w:r w:rsidRPr="003618E2">
        <w:rPr>
          <w:lang w:val="es-ES"/>
        </w:rPr>
        <w:t>quirúrgico</w:t>
      </w:r>
      <w:r w:rsidR="00D136BB">
        <w:rPr>
          <w:lang w:val="es-ES"/>
        </w:rPr>
        <w:t xml:space="preserve"> </w:t>
      </w:r>
      <w:r w:rsidRPr="003618E2">
        <w:rPr>
          <w:lang w:val="es-ES"/>
        </w:rPr>
        <w:t>de</w:t>
      </w:r>
      <w:r w:rsidR="00D136BB">
        <w:rPr>
          <w:lang w:val="es-ES"/>
        </w:rPr>
        <w:t xml:space="preserve"> </w:t>
      </w:r>
      <w:r w:rsidRPr="003618E2">
        <w:rPr>
          <w:lang w:val="es-ES"/>
        </w:rPr>
        <w:t>origen</w:t>
      </w:r>
      <w:r w:rsidR="00D136BB">
        <w:rPr>
          <w:lang w:val="es-ES"/>
        </w:rPr>
        <w:t xml:space="preserve"> </w:t>
      </w:r>
      <w:r w:rsidRPr="003618E2">
        <w:rPr>
          <w:lang w:val="es-ES"/>
        </w:rPr>
        <w:t>animal).</w:t>
      </w:r>
    </w:p>
    <w:p w14:paraId="4D74447E" w14:textId="1E5CDE9F" w:rsidR="006D362C" w:rsidRPr="003618E2" w:rsidRDefault="006D362C" w:rsidP="006D362C">
      <w:pPr>
        <w:pStyle w:val="BodyText"/>
        <w:rPr>
          <w:b/>
          <w:lang w:val="es-ES"/>
        </w:rPr>
      </w:pPr>
      <w:r w:rsidRPr="003618E2">
        <w:rPr>
          <w:b/>
          <w:lang w:val="es-ES"/>
        </w:rPr>
        <w:t>Patrimonio</w:t>
      </w:r>
      <w:r w:rsidR="00D136BB">
        <w:rPr>
          <w:b/>
          <w:lang w:val="es-ES"/>
        </w:rPr>
        <w:t xml:space="preserve"> </w:t>
      </w:r>
      <w:r w:rsidRPr="003618E2">
        <w:rPr>
          <w:b/>
          <w:lang w:val="es-ES"/>
        </w:rPr>
        <w:t>cultural</w:t>
      </w:r>
      <w:r w:rsidR="00D136BB">
        <w:rPr>
          <w:b/>
          <w:lang w:val="es-ES"/>
        </w:rPr>
        <w:t xml:space="preserve"> </w:t>
      </w:r>
      <w:r w:rsidRPr="003618E2">
        <w:rPr>
          <w:b/>
          <w:lang w:val="es-ES"/>
        </w:rPr>
        <w:t>(RT,</w:t>
      </w:r>
      <w:r w:rsidR="00D136BB">
        <w:rPr>
          <w:b/>
          <w:lang w:val="es-ES"/>
        </w:rPr>
        <w:t xml:space="preserve"> </w:t>
      </w:r>
      <w:r w:rsidRPr="003618E2">
        <w:rPr>
          <w:b/>
          <w:lang w:val="es-ES"/>
        </w:rPr>
        <w:t>L,</w:t>
      </w:r>
      <w:r w:rsidR="00D136BB">
        <w:rPr>
          <w:b/>
          <w:lang w:val="es-ES"/>
        </w:rPr>
        <w:t xml:space="preserve"> </w:t>
      </w:r>
      <w:r w:rsidRPr="003618E2">
        <w:rPr>
          <w:b/>
          <w:lang w:val="es-ES"/>
        </w:rPr>
        <w:t>END,</w:t>
      </w:r>
      <w:r w:rsidR="00D136BB">
        <w:rPr>
          <w:b/>
          <w:lang w:val="es-ES"/>
        </w:rPr>
        <w:t xml:space="preserve"> </w:t>
      </w:r>
      <w:r w:rsidRPr="003618E2">
        <w:rPr>
          <w:b/>
          <w:lang w:val="es-ES"/>
        </w:rPr>
        <w:t>TAN)</w:t>
      </w:r>
    </w:p>
    <w:p w14:paraId="0074643A" w14:textId="71178DCB" w:rsidR="006D362C" w:rsidRPr="003618E2" w:rsidRDefault="006D362C" w:rsidP="006D362C">
      <w:pPr>
        <w:pStyle w:val="BodyText"/>
        <w:numPr>
          <w:ilvl w:val="0"/>
          <w:numId w:val="33"/>
        </w:numPr>
        <w:rPr>
          <w:lang w:val="es-ES"/>
        </w:rPr>
      </w:pPr>
      <w:r w:rsidRPr="003618E2">
        <w:rPr>
          <w:lang w:val="es-ES"/>
        </w:rPr>
        <w:t>Ha</w:t>
      </w:r>
      <w:r w:rsidR="00D136BB">
        <w:rPr>
          <w:lang w:val="es-ES"/>
        </w:rPr>
        <w:t xml:space="preserve"> </w:t>
      </w:r>
      <w:r w:rsidRPr="003618E2">
        <w:rPr>
          <w:lang w:val="es-ES"/>
        </w:rPr>
        <w:t>mejorado</w:t>
      </w:r>
      <w:r w:rsidR="00D136BB">
        <w:rPr>
          <w:lang w:val="es-ES"/>
        </w:rPr>
        <w:t xml:space="preserve"> </w:t>
      </w:r>
      <w:r w:rsidRPr="003618E2">
        <w:rPr>
          <w:lang w:val="es-ES"/>
        </w:rPr>
        <w:t>la</w:t>
      </w:r>
      <w:r w:rsidR="00D136BB">
        <w:rPr>
          <w:lang w:val="es-ES"/>
        </w:rPr>
        <w:t xml:space="preserve"> </w:t>
      </w:r>
      <w:r w:rsidRPr="003618E2">
        <w:rPr>
          <w:lang w:val="es-ES"/>
        </w:rPr>
        <w:t>conciencia</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necesidad</w:t>
      </w:r>
      <w:r w:rsidR="00D136BB">
        <w:rPr>
          <w:lang w:val="es-ES"/>
        </w:rPr>
        <w:t xml:space="preserve"> </w:t>
      </w:r>
      <w:r w:rsidRPr="003618E2">
        <w:rPr>
          <w:lang w:val="es-ES"/>
        </w:rPr>
        <w:t>de</w:t>
      </w:r>
      <w:r w:rsidR="00D136BB">
        <w:rPr>
          <w:lang w:val="es-ES"/>
        </w:rPr>
        <w:t xml:space="preserve"> </w:t>
      </w:r>
      <w:r w:rsidRPr="003618E2">
        <w:rPr>
          <w:lang w:val="es-ES"/>
        </w:rPr>
        <w:t>caracterizar</w:t>
      </w:r>
      <w:r w:rsidR="00D136BB">
        <w:rPr>
          <w:lang w:val="es-ES"/>
        </w:rPr>
        <w:t xml:space="preserve"> </w:t>
      </w:r>
      <w:r w:rsidRPr="003618E2">
        <w:rPr>
          <w:lang w:val="es-ES"/>
        </w:rPr>
        <w:t>y</w:t>
      </w:r>
      <w:r w:rsidR="00D136BB">
        <w:rPr>
          <w:lang w:val="es-ES"/>
        </w:rPr>
        <w:t xml:space="preserve"> </w:t>
      </w:r>
      <w:r w:rsidRPr="003618E2">
        <w:rPr>
          <w:lang w:val="es-ES"/>
        </w:rPr>
        <w:t>preservar</w:t>
      </w:r>
      <w:r w:rsidR="00D136BB">
        <w:rPr>
          <w:lang w:val="es-ES"/>
        </w:rPr>
        <w:t xml:space="preserve"> </w:t>
      </w:r>
      <w:r w:rsidRPr="003618E2">
        <w:rPr>
          <w:lang w:val="es-ES"/>
        </w:rPr>
        <w:t>el</w:t>
      </w:r>
      <w:r w:rsidR="00D136BB">
        <w:rPr>
          <w:lang w:val="es-ES"/>
        </w:rPr>
        <w:t xml:space="preserve"> </w:t>
      </w:r>
      <w:r w:rsidRPr="003618E2">
        <w:rPr>
          <w:lang w:val="es-ES"/>
        </w:rPr>
        <w:t>patrimonio</w:t>
      </w:r>
      <w:r w:rsidR="00D136BB">
        <w:rPr>
          <w:lang w:val="es-ES"/>
        </w:rPr>
        <w:t xml:space="preserve"> </w:t>
      </w:r>
      <w:r w:rsidRPr="003618E2">
        <w:rPr>
          <w:lang w:val="es-ES"/>
        </w:rPr>
        <w:t>cultural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p>
    <w:p w14:paraId="0C35BF5E" w14:textId="2BE84212" w:rsidR="006D362C" w:rsidRPr="003618E2" w:rsidRDefault="006D362C" w:rsidP="006D362C">
      <w:pPr>
        <w:pStyle w:val="BodyText"/>
        <w:numPr>
          <w:ilvl w:val="0"/>
          <w:numId w:val="33"/>
        </w:numPr>
        <w:rPr>
          <w:lang w:val="es-ES"/>
        </w:rPr>
      </w:pPr>
      <w:r w:rsidRPr="003618E2">
        <w:rPr>
          <w:lang w:val="es-ES"/>
        </w:rPr>
        <w:t>Oportunidad</w:t>
      </w:r>
      <w:r w:rsidR="00D136BB">
        <w:rPr>
          <w:lang w:val="es-ES"/>
        </w:rPr>
        <w:t xml:space="preserve"> </w:t>
      </w:r>
      <w:r w:rsidRPr="003618E2">
        <w:rPr>
          <w:lang w:val="es-ES"/>
        </w:rPr>
        <w:t>de</w:t>
      </w:r>
      <w:r w:rsidR="00D136BB">
        <w:rPr>
          <w:lang w:val="es-ES"/>
        </w:rPr>
        <w:t xml:space="preserve"> </w:t>
      </w:r>
      <w:r w:rsidRPr="003618E2">
        <w:rPr>
          <w:lang w:val="es-ES"/>
        </w:rPr>
        <w:t>hacer</w:t>
      </w:r>
      <w:r w:rsidR="00D136BB">
        <w:rPr>
          <w:lang w:val="es-ES"/>
        </w:rPr>
        <w:t xml:space="preserve"> </w:t>
      </w:r>
      <w:r w:rsidRPr="003618E2">
        <w:rPr>
          <w:lang w:val="es-ES"/>
        </w:rPr>
        <w:t>alianzas</w:t>
      </w:r>
      <w:r w:rsidR="00D136BB">
        <w:rPr>
          <w:lang w:val="es-ES"/>
        </w:rPr>
        <w:t xml:space="preserve"> </w:t>
      </w:r>
      <w:r w:rsidRPr="003618E2">
        <w:rPr>
          <w:lang w:val="es-ES"/>
        </w:rPr>
        <w:t>de</w:t>
      </w:r>
      <w:r w:rsidR="00D136BB">
        <w:rPr>
          <w:lang w:val="es-ES"/>
        </w:rPr>
        <w:t xml:space="preserve"> </w:t>
      </w:r>
      <w:r w:rsidRPr="003618E2">
        <w:rPr>
          <w:lang w:val="es-ES"/>
        </w:rPr>
        <w:t>colaboración</w:t>
      </w:r>
      <w:r w:rsidR="00D136BB">
        <w:rPr>
          <w:lang w:val="es-ES"/>
        </w:rPr>
        <w:t xml:space="preserve"> </w:t>
      </w:r>
      <w:r w:rsidRPr="003618E2">
        <w:rPr>
          <w:lang w:val="es-ES"/>
        </w:rPr>
        <w:t>entre</w:t>
      </w:r>
      <w:r w:rsidR="00D136BB">
        <w:rPr>
          <w:lang w:val="es-ES"/>
        </w:rPr>
        <w:t xml:space="preserve"> </w:t>
      </w:r>
      <w:r w:rsidRPr="003618E2">
        <w:rPr>
          <w:lang w:val="es-ES"/>
        </w:rPr>
        <w:t>los</w:t>
      </w:r>
      <w:r w:rsidR="00D136BB">
        <w:rPr>
          <w:lang w:val="es-ES"/>
        </w:rPr>
        <w:t xml:space="preserve"> </w:t>
      </w:r>
      <w:r w:rsidRPr="003618E2">
        <w:rPr>
          <w:lang w:val="es-ES"/>
        </w:rPr>
        <w:t>institutos</w:t>
      </w:r>
      <w:r w:rsidR="00D136BB">
        <w:rPr>
          <w:lang w:val="es-ES"/>
        </w:rPr>
        <w:t xml:space="preserve"> </w:t>
      </w:r>
      <w:r w:rsidRPr="003618E2">
        <w:rPr>
          <w:lang w:val="es-ES"/>
        </w:rPr>
        <w:t>nucleares</w:t>
      </w:r>
      <w:r w:rsidR="00D136BB">
        <w:rPr>
          <w:lang w:val="es-ES"/>
        </w:rPr>
        <w:t xml:space="preserve"> </w:t>
      </w:r>
      <w:r w:rsidRPr="003618E2">
        <w:rPr>
          <w:lang w:val="es-ES"/>
        </w:rPr>
        <w:t>y</w:t>
      </w:r>
      <w:r w:rsidR="00D136BB">
        <w:rPr>
          <w:lang w:val="es-ES"/>
        </w:rPr>
        <w:t xml:space="preserve"> </w:t>
      </w:r>
      <w:r w:rsidRPr="003618E2">
        <w:rPr>
          <w:lang w:val="es-ES"/>
        </w:rPr>
        <w:t>las</w:t>
      </w:r>
      <w:r w:rsidR="00D136BB">
        <w:rPr>
          <w:lang w:val="es-ES"/>
        </w:rPr>
        <w:t xml:space="preserve"> </w:t>
      </w:r>
      <w:r w:rsidRPr="003618E2">
        <w:rPr>
          <w:lang w:val="es-ES"/>
        </w:rPr>
        <w:t>entidades</w:t>
      </w:r>
      <w:r w:rsidR="00D136BB">
        <w:rPr>
          <w:lang w:val="es-ES"/>
        </w:rPr>
        <w:t xml:space="preserve"> </w:t>
      </w:r>
      <w:r w:rsidRPr="003618E2">
        <w:rPr>
          <w:lang w:val="es-ES"/>
        </w:rPr>
        <w:t>responsables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preservación</w:t>
      </w:r>
      <w:r w:rsidR="00D136BB">
        <w:rPr>
          <w:lang w:val="es-ES"/>
        </w:rPr>
        <w:t xml:space="preserve"> </w:t>
      </w:r>
      <w:r w:rsidRPr="003618E2">
        <w:rPr>
          <w:lang w:val="es-ES"/>
        </w:rPr>
        <w:t>del</w:t>
      </w:r>
      <w:r w:rsidR="00D136BB">
        <w:rPr>
          <w:lang w:val="es-ES"/>
        </w:rPr>
        <w:t xml:space="preserve"> </w:t>
      </w:r>
      <w:r w:rsidRPr="003618E2">
        <w:rPr>
          <w:lang w:val="es-ES"/>
        </w:rPr>
        <w:t>patrimonio</w:t>
      </w:r>
      <w:r w:rsidR="00D136BB">
        <w:rPr>
          <w:lang w:val="es-ES"/>
        </w:rPr>
        <w:t xml:space="preserve"> </w:t>
      </w:r>
      <w:r w:rsidRPr="003618E2">
        <w:rPr>
          <w:lang w:val="es-ES"/>
        </w:rPr>
        <w:t>cultural.</w:t>
      </w:r>
    </w:p>
    <w:p w14:paraId="04FB38C5" w14:textId="2DD80DA4" w:rsidR="006D362C" w:rsidRPr="003618E2" w:rsidRDefault="006D362C" w:rsidP="006D362C">
      <w:pPr>
        <w:pStyle w:val="BodyText"/>
        <w:numPr>
          <w:ilvl w:val="0"/>
          <w:numId w:val="33"/>
        </w:numPr>
        <w:rPr>
          <w:lang w:val="es-ES"/>
        </w:rPr>
      </w:pPr>
      <w:r w:rsidRPr="003618E2">
        <w:rPr>
          <w:lang w:val="es-ES"/>
        </w:rPr>
        <w:t>Oportunidades</w:t>
      </w:r>
      <w:r w:rsidR="00D136BB">
        <w:rPr>
          <w:lang w:val="es-ES"/>
        </w:rPr>
        <w:t xml:space="preserve"> </w:t>
      </w:r>
      <w:r w:rsidRPr="003618E2">
        <w:rPr>
          <w:lang w:val="es-ES"/>
        </w:rPr>
        <w:t>para</w:t>
      </w:r>
      <w:r w:rsidR="00D136BB">
        <w:rPr>
          <w:lang w:val="es-ES"/>
        </w:rPr>
        <w:t xml:space="preserve"> </w:t>
      </w:r>
      <w:r w:rsidRPr="003618E2">
        <w:rPr>
          <w:lang w:val="es-ES"/>
        </w:rPr>
        <w:t>hacer</w:t>
      </w:r>
      <w:r w:rsidR="00D136BB">
        <w:rPr>
          <w:lang w:val="es-ES"/>
        </w:rPr>
        <w:t xml:space="preserve"> </w:t>
      </w:r>
      <w:r w:rsidRPr="003618E2">
        <w:rPr>
          <w:lang w:val="es-ES"/>
        </w:rPr>
        <w:t>alianzas</w:t>
      </w:r>
      <w:r w:rsidR="00D136BB">
        <w:rPr>
          <w:lang w:val="es-ES"/>
        </w:rPr>
        <w:t xml:space="preserve"> </w:t>
      </w:r>
      <w:r w:rsidRPr="003618E2">
        <w:rPr>
          <w:lang w:val="es-ES"/>
        </w:rPr>
        <w:t>y</w:t>
      </w:r>
      <w:r w:rsidR="00D136BB">
        <w:rPr>
          <w:lang w:val="es-ES"/>
        </w:rPr>
        <w:t xml:space="preserve"> </w:t>
      </w:r>
      <w:r w:rsidRPr="003618E2">
        <w:rPr>
          <w:lang w:val="es-ES"/>
        </w:rPr>
        <w:t>colaboración</w:t>
      </w:r>
      <w:r w:rsidR="00D136BB">
        <w:rPr>
          <w:lang w:val="es-ES"/>
        </w:rPr>
        <w:t xml:space="preserve"> </w:t>
      </w:r>
      <w:r w:rsidRPr="003618E2">
        <w:rPr>
          <w:lang w:val="es-ES"/>
        </w:rPr>
        <w:t>con:</w:t>
      </w:r>
      <w:r w:rsidR="00D136BB">
        <w:rPr>
          <w:lang w:val="es-ES"/>
        </w:rPr>
        <w:t xml:space="preserve"> </w:t>
      </w:r>
      <w:r w:rsidRPr="003618E2">
        <w:rPr>
          <w:lang w:val="es-ES"/>
        </w:rPr>
        <w:t>Brasil,</w:t>
      </w:r>
      <w:r w:rsidR="00D136BB">
        <w:rPr>
          <w:lang w:val="es-ES"/>
        </w:rPr>
        <w:t xml:space="preserve"> </w:t>
      </w:r>
      <w:r w:rsidRPr="003618E2">
        <w:rPr>
          <w:lang w:val="es-ES"/>
        </w:rPr>
        <w:t>Francia,</w:t>
      </w:r>
      <w:r w:rsidR="00D136BB">
        <w:rPr>
          <w:lang w:val="es-ES"/>
        </w:rPr>
        <w:t xml:space="preserve"> </w:t>
      </w:r>
      <w:r w:rsidRPr="003618E2">
        <w:rPr>
          <w:lang w:val="es-ES"/>
        </w:rPr>
        <w:t>Holanda,</w:t>
      </w:r>
      <w:r w:rsidR="00D136BB">
        <w:rPr>
          <w:lang w:val="es-ES"/>
        </w:rPr>
        <w:t xml:space="preserve"> </w:t>
      </w:r>
      <w:r w:rsidRPr="003618E2">
        <w:rPr>
          <w:lang w:val="es-ES"/>
        </w:rPr>
        <w:t>Italia,</w:t>
      </w:r>
      <w:r w:rsidR="00D136BB">
        <w:rPr>
          <w:lang w:val="es-ES"/>
        </w:rPr>
        <w:t xml:space="preserve"> </w:t>
      </w:r>
      <w:r w:rsidRPr="003618E2">
        <w:rPr>
          <w:lang w:val="es-ES"/>
        </w:rPr>
        <w:t>Croacia</w:t>
      </w:r>
      <w:r w:rsidR="00D136BB">
        <w:rPr>
          <w:lang w:val="es-ES"/>
        </w:rPr>
        <w:t xml:space="preserve"> </w:t>
      </w:r>
      <w:r w:rsidRPr="003618E2">
        <w:rPr>
          <w:lang w:val="es-ES"/>
        </w:rPr>
        <w:t>y</w:t>
      </w:r>
      <w:r w:rsidR="00D136BB">
        <w:rPr>
          <w:lang w:val="es-ES"/>
        </w:rPr>
        <w:t xml:space="preserve"> </w:t>
      </w:r>
      <w:r w:rsidRPr="003618E2">
        <w:rPr>
          <w:lang w:val="es-ES"/>
        </w:rPr>
        <w:t>Rumanía</w:t>
      </w:r>
      <w:r w:rsidR="00D136BB">
        <w:rPr>
          <w:lang w:val="es-ES"/>
        </w:rPr>
        <w:t xml:space="preserve"> </w:t>
      </w:r>
      <w:r w:rsidRPr="003618E2">
        <w:rPr>
          <w:lang w:val="es-ES"/>
        </w:rPr>
        <w:t>(países</w:t>
      </w:r>
      <w:r w:rsidR="00D136BB">
        <w:rPr>
          <w:lang w:val="es-ES"/>
        </w:rPr>
        <w:t xml:space="preserve"> </w:t>
      </w:r>
      <w:r w:rsidRPr="003618E2">
        <w:rPr>
          <w:lang w:val="es-ES"/>
        </w:rPr>
        <w:t>que</w:t>
      </w:r>
      <w:r w:rsidR="00D136BB">
        <w:rPr>
          <w:lang w:val="es-ES"/>
        </w:rPr>
        <w:t xml:space="preserve"> </w:t>
      </w:r>
      <w:r w:rsidRPr="003618E2">
        <w:rPr>
          <w:lang w:val="es-ES"/>
        </w:rPr>
        <w:t>ya</w:t>
      </w:r>
      <w:r w:rsidR="00D136BB">
        <w:rPr>
          <w:lang w:val="es-ES"/>
        </w:rPr>
        <w:t xml:space="preserve"> </w:t>
      </w:r>
      <w:r w:rsidRPr="003618E2">
        <w:rPr>
          <w:lang w:val="es-ES"/>
        </w:rPr>
        <w:t>utilizan</w:t>
      </w:r>
      <w:r w:rsidR="00D136BB">
        <w:rPr>
          <w:lang w:val="es-ES"/>
        </w:rPr>
        <w:t xml:space="preserve"> </w:t>
      </w:r>
      <w:r w:rsidRPr="003618E2">
        <w:rPr>
          <w:lang w:val="es-ES"/>
        </w:rPr>
        <w:t>esta</w:t>
      </w:r>
      <w:r w:rsidR="00D136BB">
        <w:rPr>
          <w:lang w:val="es-ES"/>
        </w:rPr>
        <w:t xml:space="preserve"> </w:t>
      </w:r>
      <w:r w:rsidRPr="003618E2">
        <w:rPr>
          <w:lang w:val="es-ES"/>
        </w:rPr>
        <w:t>tecnología)</w:t>
      </w:r>
      <w:r w:rsidR="00D136BB">
        <w:rPr>
          <w:lang w:val="es-ES"/>
        </w:rPr>
        <w:t xml:space="preserve"> </w:t>
      </w:r>
      <w:r w:rsidRPr="003618E2">
        <w:rPr>
          <w:lang w:val="es-ES"/>
        </w:rPr>
        <w:t>y</w:t>
      </w:r>
      <w:r w:rsidR="00D136BB">
        <w:rPr>
          <w:lang w:val="es-ES"/>
        </w:rPr>
        <w:t xml:space="preserve"> </w:t>
      </w:r>
      <w:r w:rsidRPr="003618E2">
        <w:rPr>
          <w:lang w:val="es-ES"/>
        </w:rPr>
        <w:t>con</w:t>
      </w:r>
      <w:r w:rsidR="00D136BB">
        <w:rPr>
          <w:lang w:val="es-ES"/>
        </w:rPr>
        <w:t xml:space="preserve"> </w:t>
      </w:r>
      <w:r w:rsidRPr="003618E2">
        <w:rPr>
          <w:lang w:val="es-ES"/>
        </w:rPr>
        <w:t>organizaciones</w:t>
      </w:r>
      <w:r w:rsidR="00D136BB">
        <w:rPr>
          <w:lang w:val="es-ES"/>
        </w:rPr>
        <w:t xml:space="preserve"> </w:t>
      </w:r>
      <w:r w:rsidRPr="003618E2">
        <w:rPr>
          <w:lang w:val="es-ES"/>
        </w:rPr>
        <w:t>internacionales</w:t>
      </w:r>
      <w:r w:rsidR="00D136BB">
        <w:rPr>
          <w:lang w:val="es-ES"/>
        </w:rPr>
        <w:t xml:space="preserve"> </w:t>
      </w:r>
      <w:r w:rsidRPr="003618E2">
        <w:rPr>
          <w:lang w:val="es-ES"/>
        </w:rPr>
        <w:t>(EC,</w:t>
      </w:r>
      <w:r w:rsidR="00D136BB">
        <w:rPr>
          <w:lang w:val="es-ES"/>
        </w:rPr>
        <w:t xml:space="preserve"> </w:t>
      </w:r>
      <w:r w:rsidRPr="003618E2">
        <w:rPr>
          <w:lang w:val="es-ES"/>
        </w:rPr>
        <w:t>UNESCO,</w:t>
      </w:r>
      <w:r w:rsidR="00D136BB">
        <w:rPr>
          <w:lang w:val="es-ES"/>
        </w:rPr>
        <w:t xml:space="preserve"> </w:t>
      </w:r>
      <w:r w:rsidRPr="003618E2">
        <w:rPr>
          <w:lang w:val="es-ES"/>
        </w:rPr>
        <w:t>etc.).</w:t>
      </w:r>
    </w:p>
    <w:p w14:paraId="34BD7E59" w14:textId="486D62EE" w:rsidR="006D362C" w:rsidRPr="003618E2" w:rsidRDefault="006D362C" w:rsidP="006D362C">
      <w:pPr>
        <w:pStyle w:val="BodyText"/>
        <w:numPr>
          <w:ilvl w:val="0"/>
          <w:numId w:val="33"/>
        </w:numPr>
        <w:rPr>
          <w:lang w:val="es-ES"/>
        </w:rPr>
      </w:pPr>
      <w:r w:rsidRPr="003618E2">
        <w:rPr>
          <w:lang w:val="es-ES"/>
        </w:rPr>
        <w:t>Alto</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visibilidad</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nucleares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público</w:t>
      </w:r>
      <w:r w:rsidR="00D136BB">
        <w:rPr>
          <w:lang w:val="es-ES"/>
        </w:rPr>
        <w:t xml:space="preserve"> </w:t>
      </w:r>
      <w:r w:rsidRPr="003618E2">
        <w:rPr>
          <w:lang w:val="es-ES"/>
        </w:rPr>
        <w:t>e</w:t>
      </w:r>
      <w:r w:rsidR="00D136BB">
        <w:rPr>
          <w:lang w:val="es-ES"/>
        </w:rPr>
        <w:t xml:space="preserve"> </w:t>
      </w:r>
      <w:r w:rsidRPr="003618E2">
        <w:rPr>
          <w:lang w:val="es-ES"/>
        </w:rPr>
        <w:t>impacto</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turismo.</w:t>
      </w:r>
    </w:p>
    <w:p w14:paraId="64A4F4EF" w14:textId="16E7A073" w:rsidR="006D362C" w:rsidRPr="003618E2" w:rsidRDefault="006D362C" w:rsidP="006D362C">
      <w:pPr>
        <w:pStyle w:val="BodyText"/>
        <w:numPr>
          <w:ilvl w:val="0"/>
          <w:numId w:val="33"/>
        </w:numPr>
        <w:rPr>
          <w:lang w:val="es-ES"/>
        </w:rPr>
      </w:pPr>
      <w:r w:rsidRPr="003618E2">
        <w:rPr>
          <w:lang w:val="es-ES"/>
        </w:rPr>
        <w:t>Las</w:t>
      </w:r>
      <w:r w:rsidR="00D136BB">
        <w:rPr>
          <w:lang w:val="es-ES"/>
        </w:rPr>
        <w:t xml:space="preserve"> </w:t>
      </w:r>
      <w:r w:rsidRPr="003618E2">
        <w:rPr>
          <w:lang w:val="es-ES"/>
        </w:rPr>
        <w:t>condiciones</w:t>
      </w:r>
      <w:r w:rsidR="00D136BB">
        <w:rPr>
          <w:lang w:val="es-ES"/>
        </w:rPr>
        <w:t xml:space="preserve"> </w:t>
      </w:r>
      <w:r w:rsidRPr="003618E2">
        <w:rPr>
          <w:lang w:val="es-ES"/>
        </w:rPr>
        <w:t>climáticas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promueven</w:t>
      </w:r>
      <w:r w:rsidR="00D136BB">
        <w:rPr>
          <w:lang w:val="es-ES"/>
        </w:rPr>
        <w:t xml:space="preserve"> </w:t>
      </w:r>
      <w:r w:rsidRPr="003618E2">
        <w:rPr>
          <w:lang w:val="es-ES"/>
        </w:rPr>
        <w:t>el</w:t>
      </w:r>
      <w:r w:rsidR="00D136BB">
        <w:rPr>
          <w:lang w:val="es-ES"/>
        </w:rPr>
        <w:t xml:space="preserve"> </w:t>
      </w:r>
      <w:r w:rsidRPr="003618E2">
        <w:rPr>
          <w:lang w:val="es-ES"/>
        </w:rPr>
        <w:t>deterioro</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objetos</w:t>
      </w:r>
      <w:r w:rsidR="00D136BB">
        <w:rPr>
          <w:lang w:val="es-ES"/>
        </w:rPr>
        <w:t xml:space="preserve"> </w:t>
      </w:r>
      <w:r w:rsidRPr="003618E2">
        <w:rPr>
          <w:lang w:val="es-ES"/>
        </w:rPr>
        <w:t>y</w:t>
      </w:r>
      <w:r w:rsidR="00D136BB">
        <w:rPr>
          <w:lang w:val="es-ES"/>
        </w:rPr>
        <w:t xml:space="preserve"> </w:t>
      </w:r>
      <w:r w:rsidRPr="003618E2">
        <w:rPr>
          <w:lang w:val="es-ES"/>
        </w:rPr>
        <w:t>materiales</w:t>
      </w:r>
      <w:r w:rsidR="00D136BB">
        <w:rPr>
          <w:lang w:val="es-ES"/>
        </w:rPr>
        <w:t xml:space="preserve"> </w:t>
      </w:r>
      <w:r w:rsidRPr="003618E2">
        <w:rPr>
          <w:lang w:val="es-ES"/>
        </w:rPr>
        <w:t>culturales</w:t>
      </w:r>
      <w:r w:rsidR="00D136BB">
        <w:rPr>
          <w:lang w:val="es-ES"/>
        </w:rPr>
        <w:t xml:space="preserve"> </w:t>
      </w:r>
      <w:r w:rsidRPr="003618E2">
        <w:rPr>
          <w:lang w:val="es-ES"/>
        </w:rPr>
        <w:t>favoreciendo</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nucleares.</w:t>
      </w:r>
    </w:p>
    <w:p w14:paraId="275559CB" w14:textId="6F0C6B5B" w:rsidR="006D362C" w:rsidRPr="003618E2" w:rsidRDefault="006D362C" w:rsidP="006D362C">
      <w:pPr>
        <w:pStyle w:val="BodyText"/>
        <w:rPr>
          <w:b/>
          <w:lang w:val="es-ES"/>
        </w:rPr>
      </w:pPr>
      <w:r w:rsidRPr="003618E2">
        <w:rPr>
          <w:b/>
          <w:lang w:val="es-ES"/>
        </w:rPr>
        <w:t>Procesos</w:t>
      </w:r>
      <w:r w:rsidR="00D136BB">
        <w:rPr>
          <w:b/>
          <w:lang w:val="es-ES"/>
        </w:rPr>
        <w:t xml:space="preserve"> </w:t>
      </w:r>
      <w:r w:rsidRPr="003618E2">
        <w:rPr>
          <w:b/>
          <w:lang w:val="es-ES"/>
        </w:rPr>
        <w:t>y</w:t>
      </w:r>
      <w:r w:rsidR="00D136BB">
        <w:rPr>
          <w:b/>
          <w:lang w:val="es-ES"/>
        </w:rPr>
        <w:t xml:space="preserve"> </w:t>
      </w:r>
      <w:r w:rsidRPr="003618E2">
        <w:rPr>
          <w:b/>
          <w:lang w:val="es-ES"/>
        </w:rPr>
        <w:t>producción</w:t>
      </w:r>
      <w:r w:rsidR="00D136BB">
        <w:rPr>
          <w:b/>
          <w:lang w:val="es-ES"/>
        </w:rPr>
        <w:t xml:space="preserve"> </w:t>
      </w:r>
      <w:r w:rsidRPr="003618E2">
        <w:rPr>
          <w:b/>
          <w:lang w:val="es-ES"/>
        </w:rPr>
        <w:t>industrial</w:t>
      </w:r>
      <w:r w:rsidR="00D136BB">
        <w:rPr>
          <w:b/>
          <w:lang w:val="es-ES"/>
        </w:rPr>
        <w:t xml:space="preserve"> </w:t>
      </w:r>
      <w:r w:rsidRPr="003618E2">
        <w:rPr>
          <w:b/>
          <w:lang w:val="es-ES"/>
        </w:rPr>
        <w:t>(T,</w:t>
      </w:r>
      <w:r w:rsidR="00D136BB">
        <w:rPr>
          <w:b/>
          <w:lang w:val="es-ES"/>
        </w:rPr>
        <w:t xml:space="preserve"> </w:t>
      </w:r>
      <w:r w:rsidRPr="003618E2">
        <w:rPr>
          <w:b/>
          <w:lang w:val="es-ES"/>
        </w:rPr>
        <w:t>SCN,</w:t>
      </w:r>
      <w:r w:rsidR="00D136BB">
        <w:rPr>
          <w:b/>
          <w:lang w:val="es-ES"/>
        </w:rPr>
        <w:t xml:space="preserve"> </w:t>
      </w:r>
      <w:r w:rsidRPr="003618E2">
        <w:rPr>
          <w:b/>
          <w:lang w:val="es-ES"/>
        </w:rPr>
        <w:t>PR)</w:t>
      </w:r>
    </w:p>
    <w:p w14:paraId="10627E31" w14:textId="016F6CEF" w:rsidR="006D362C" w:rsidRPr="003618E2" w:rsidRDefault="006D362C" w:rsidP="006D362C">
      <w:pPr>
        <w:pStyle w:val="BodyText"/>
        <w:numPr>
          <w:ilvl w:val="0"/>
          <w:numId w:val="33"/>
        </w:numPr>
        <w:rPr>
          <w:lang w:val="es-ES"/>
        </w:rPr>
      </w:pPr>
      <w:r w:rsidRPr="003618E2">
        <w:rPr>
          <w:lang w:val="es-ES"/>
        </w:rPr>
        <w:t>El</w:t>
      </w:r>
      <w:r w:rsidR="00D136BB">
        <w:rPr>
          <w:lang w:val="es-ES"/>
        </w:rPr>
        <w:t xml:space="preserve"> </w:t>
      </w:r>
      <w:r w:rsidRPr="003618E2">
        <w:rPr>
          <w:lang w:val="es-ES"/>
        </w:rPr>
        <w:t>desarrollo</w:t>
      </w:r>
      <w:r w:rsidR="00D136BB">
        <w:rPr>
          <w:lang w:val="es-ES"/>
        </w:rPr>
        <w:t xml:space="preserve"> </w:t>
      </w:r>
      <w:r w:rsidRPr="003618E2">
        <w:rPr>
          <w:lang w:val="es-ES"/>
        </w:rPr>
        <w:t>industrial</w:t>
      </w:r>
      <w:r w:rsidR="00D136BB">
        <w:rPr>
          <w:lang w:val="es-ES"/>
        </w:rPr>
        <w:t xml:space="preserve"> </w:t>
      </w:r>
      <w:r w:rsidRPr="003618E2">
        <w:rPr>
          <w:lang w:val="es-ES"/>
        </w:rPr>
        <w:t>requiere</w:t>
      </w:r>
      <w:r w:rsidR="00D136BB">
        <w:rPr>
          <w:lang w:val="es-ES"/>
        </w:rPr>
        <w:t xml:space="preserve"> </w:t>
      </w:r>
      <w:r w:rsidRPr="003618E2">
        <w:rPr>
          <w:lang w:val="es-ES"/>
        </w:rPr>
        <w:t>del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nucleares</w:t>
      </w:r>
    </w:p>
    <w:p w14:paraId="2D8FCF2E" w14:textId="13388A9E" w:rsidR="006D362C" w:rsidRPr="003618E2" w:rsidRDefault="006D362C" w:rsidP="006D362C">
      <w:pPr>
        <w:pStyle w:val="BodyText"/>
        <w:numPr>
          <w:ilvl w:val="0"/>
          <w:numId w:val="33"/>
        </w:numPr>
        <w:rPr>
          <w:lang w:val="es-ES"/>
        </w:rPr>
      </w:pPr>
      <w:r w:rsidRPr="003618E2">
        <w:rPr>
          <w:lang w:val="es-ES"/>
        </w:rPr>
        <w:t>Normativa</w:t>
      </w:r>
      <w:r w:rsidR="00D136BB">
        <w:rPr>
          <w:lang w:val="es-ES"/>
        </w:rPr>
        <w:t xml:space="preserve"> </w:t>
      </w:r>
      <w:r w:rsidRPr="003618E2">
        <w:rPr>
          <w:lang w:val="es-ES"/>
        </w:rPr>
        <w:t>más</w:t>
      </w:r>
      <w:r w:rsidR="00D136BB">
        <w:rPr>
          <w:lang w:val="es-ES"/>
        </w:rPr>
        <w:t xml:space="preserve"> </w:t>
      </w:r>
      <w:r w:rsidRPr="003618E2">
        <w:rPr>
          <w:lang w:val="es-ES"/>
        </w:rPr>
        <w:t>exigente</w:t>
      </w:r>
      <w:r w:rsidR="00D136BB">
        <w:rPr>
          <w:lang w:val="es-ES"/>
        </w:rPr>
        <w:t xml:space="preserve"> </w:t>
      </w:r>
      <w:r w:rsidRPr="003618E2">
        <w:rPr>
          <w:lang w:val="es-ES"/>
        </w:rPr>
        <w:t>en</w:t>
      </w:r>
      <w:r w:rsidR="00D136BB">
        <w:rPr>
          <w:lang w:val="es-ES"/>
        </w:rPr>
        <w:t xml:space="preserve"> </w:t>
      </w:r>
      <w:r w:rsidRPr="003618E2">
        <w:rPr>
          <w:lang w:val="es-ES"/>
        </w:rPr>
        <w:t>procesos</w:t>
      </w:r>
      <w:r w:rsidR="00D136BB">
        <w:rPr>
          <w:lang w:val="es-ES"/>
        </w:rPr>
        <w:t xml:space="preserve"> </w:t>
      </w:r>
      <w:r w:rsidRPr="003618E2">
        <w:rPr>
          <w:lang w:val="es-ES"/>
        </w:rPr>
        <w:t>industriales,</w:t>
      </w:r>
      <w:r w:rsidR="00D136BB">
        <w:rPr>
          <w:lang w:val="es-ES"/>
        </w:rPr>
        <w:t xml:space="preserve"> </w:t>
      </w:r>
      <w:r w:rsidRPr="003618E2">
        <w:rPr>
          <w:lang w:val="es-ES"/>
        </w:rPr>
        <w:t>demanda</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limpias</w:t>
      </w:r>
      <w:r w:rsidR="00D136BB">
        <w:rPr>
          <w:lang w:val="es-ES"/>
        </w:rPr>
        <w:t xml:space="preserve"> </w:t>
      </w:r>
      <w:r w:rsidRPr="003618E2">
        <w:rPr>
          <w:lang w:val="es-ES"/>
        </w:rPr>
        <w:t>y</w:t>
      </w:r>
      <w:r w:rsidR="00D136BB">
        <w:rPr>
          <w:lang w:val="es-ES"/>
        </w:rPr>
        <w:t xml:space="preserve"> </w:t>
      </w:r>
      <w:r w:rsidRPr="003618E2">
        <w:rPr>
          <w:lang w:val="es-ES"/>
        </w:rPr>
        <w:t>eficientes.</w:t>
      </w:r>
    </w:p>
    <w:p w14:paraId="010BE617" w14:textId="2182F7F7" w:rsidR="006D362C" w:rsidRPr="003618E2" w:rsidRDefault="006D362C" w:rsidP="006D362C">
      <w:pPr>
        <w:pStyle w:val="BodyText"/>
        <w:rPr>
          <w:b/>
          <w:lang w:val="fr-FR"/>
        </w:rPr>
      </w:pPr>
      <w:r w:rsidRPr="003618E2">
        <w:rPr>
          <w:b/>
          <w:lang w:val="es-MX"/>
        </w:rPr>
        <w:t>Recursos</w:t>
      </w:r>
      <w:r w:rsidR="00D136BB">
        <w:rPr>
          <w:b/>
          <w:lang w:val="es-MX"/>
        </w:rPr>
        <w:t xml:space="preserve"> </w:t>
      </w:r>
      <w:r w:rsidRPr="003618E2">
        <w:rPr>
          <w:b/>
          <w:lang w:val="es-MX"/>
        </w:rPr>
        <w:t>naturales</w:t>
      </w:r>
      <w:r w:rsidR="00D136BB">
        <w:rPr>
          <w:b/>
          <w:lang w:val="es-MX"/>
        </w:rPr>
        <w:t xml:space="preserve"> </w:t>
      </w:r>
      <w:r w:rsidRPr="003618E2">
        <w:rPr>
          <w:b/>
          <w:lang w:val="fr-FR"/>
        </w:rPr>
        <w:t>(PR,</w:t>
      </w:r>
      <w:r w:rsidR="00D136BB">
        <w:rPr>
          <w:b/>
          <w:lang w:val="fr-FR"/>
        </w:rPr>
        <w:t xml:space="preserve"> </w:t>
      </w:r>
      <w:r w:rsidRPr="003618E2">
        <w:rPr>
          <w:b/>
          <w:lang w:val="fr-FR"/>
        </w:rPr>
        <w:t>T,</w:t>
      </w:r>
      <w:r w:rsidR="00D136BB">
        <w:rPr>
          <w:b/>
          <w:lang w:val="fr-FR"/>
        </w:rPr>
        <w:t xml:space="preserve"> </w:t>
      </w:r>
      <w:r w:rsidRPr="003618E2">
        <w:rPr>
          <w:b/>
          <w:lang w:val="fr-FR"/>
        </w:rPr>
        <w:t>SCN,</w:t>
      </w:r>
      <w:r w:rsidR="00D136BB">
        <w:rPr>
          <w:b/>
          <w:lang w:val="fr-FR"/>
        </w:rPr>
        <w:t xml:space="preserve"> </w:t>
      </w:r>
      <w:r w:rsidRPr="003618E2">
        <w:rPr>
          <w:b/>
          <w:lang w:val="fr-FR"/>
        </w:rPr>
        <w:t>TAN)</w:t>
      </w:r>
    </w:p>
    <w:p w14:paraId="4086B3AF" w14:textId="05F95508" w:rsidR="006D362C" w:rsidRPr="003618E2" w:rsidRDefault="006D362C" w:rsidP="006D362C">
      <w:pPr>
        <w:pStyle w:val="BodyText"/>
        <w:numPr>
          <w:ilvl w:val="0"/>
          <w:numId w:val="33"/>
        </w:numPr>
        <w:rPr>
          <w:lang w:val="es-ES"/>
        </w:rPr>
      </w:pPr>
      <w:r w:rsidRPr="003618E2">
        <w:rPr>
          <w:lang w:val="es-ES"/>
        </w:rPr>
        <w:t>Los</w:t>
      </w:r>
      <w:r w:rsidR="00D136BB">
        <w:rPr>
          <w:lang w:val="es-ES"/>
        </w:rPr>
        <w:t xml:space="preserve"> </w:t>
      </w:r>
      <w:r w:rsidRPr="003618E2">
        <w:rPr>
          <w:lang w:val="es-ES"/>
        </w:rPr>
        <w:t>sectores</w:t>
      </w:r>
      <w:r w:rsidR="00D136BB">
        <w:rPr>
          <w:lang w:val="es-ES"/>
        </w:rPr>
        <w:t xml:space="preserve"> </w:t>
      </w:r>
      <w:r w:rsidRPr="003618E2">
        <w:rPr>
          <w:lang w:val="es-ES"/>
        </w:rPr>
        <w:t>de</w:t>
      </w:r>
      <w:r w:rsidR="00D136BB">
        <w:rPr>
          <w:lang w:val="es-ES"/>
        </w:rPr>
        <w:t xml:space="preserve"> </w:t>
      </w:r>
      <w:r w:rsidRPr="003618E2">
        <w:rPr>
          <w:lang w:val="es-ES"/>
        </w:rPr>
        <w:t>agricultura</w:t>
      </w:r>
      <w:r w:rsidR="00D136BB">
        <w:rPr>
          <w:lang w:val="es-ES"/>
        </w:rPr>
        <w:t xml:space="preserve"> </w:t>
      </w:r>
      <w:r w:rsidRPr="003618E2">
        <w:rPr>
          <w:lang w:val="es-ES"/>
        </w:rPr>
        <w:t>e</w:t>
      </w:r>
      <w:r w:rsidR="00D136BB">
        <w:rPr>
          <w:lang w:val="es-ES"/>
        </w:rPr>
        <w:t xml:space="preserve"> </w:t>
      </w:r>
      <w:r w:rsidRPr="003618E2">
        <w:rPr>
          <w:lang w:val="es-ES"/>
        </w:rPr>
        <w:t>industria</w:t>
      </w:r>
      <w:r w:rsidR="00D136BB">
        <w:rPr>
          <w:lang w:val="es-ES"/>
        </w:rPr>
        <w:t xml:space="preserve"> </w:t>
      </w:r>
      <w:r w:rsidRPr="003618E2">
        <w:rPr>
          <w:lang w:val="es-ES"/>
        </w:rPr>
        <w:t>son</w:t>
      </w:r>
      <w:r w:rsidR="00D136BB">
        <w:rPr>
          <w:lang w:val="es-ES"/>
        </w:rPr>
        <w:t xml:space="preserve"> </w:t>
      </w:r>
      <w:r w:rsidRPr="003618E2">
        <w:rPr>
          <w:lang w:val="es-ES"/>
        </w:rPr>
        <w:t>muy</w:t>
      </w:r>
      <w:r w:rsidR="00D136BB">
        <w:rPr>
          <w:lang w:val="es-ES"/>
        </w:rPr>
        <w:t xml:space="preserve"> </w:t>
      </w:r>
      <w:r w:rsidRPr="003618E2">
        <w:rPr>
          <w:lang w:val="es-ES"/>
        </w:rPr>
        <w:t>importantes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Existe</w:t>
      </w:r>
      <w:r w:rsidR="00D136BB">
        <w:rPr>
          <w:lang w:val="es-ES"/>
        </w:rPr>
        <w:t xml:space="preserve"> </w:t>
      </w:r>
      <w:r w:rsidRPr="003618E2">
        <w:rPr>
          <w:lang w:val="es-ES"/>
        </w:rPr>
        <w:t>un</w:t>
      </w:r>
      <w:r w:rsidR="00D136BB">
        <w:rPr>
          <w:lang w:val="es-ES"/>
        </w:rPr>
        <w:t xml:space="preserve"> </w:t>
      </w:r>
      <w:r w:rsidRPr="003618E2">
        <w:rPr>
          <w:lang w:val="es-ES"/>
        </w:rPr>
        <w:t>alto</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polímeros</w:t>
      </w:r>
      <w:r w:rsidR="00D136BB">
        <w:rPr>
          <w:lang w:val="es-ES"/>
        </w:rPr>
        <w:t xml:space="preserve"> </w:t>
      </w:r>
      <w:r w:rsidRPr="003618E2">
        <w:rPr>
          <w:lang w:val="es-ES"/>
        </w:rPr>
        <w:t>naturales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transformación</w:t>
      </w:r>
      <w:r w:rsidR="00D136BB">
        <w:rPr>
          <w:lang w:val="es-ES"/>
        </w:rPr>
        <w:t xml:space="preserve"> </w:t>
      </w:r>
      <w:r w:rsidRPr="003618E2">
        <w:rPr>
          <w:lang w:val="es-ES"/>
        </w:rPr>
        <w:t>de</w:t>
      </w:r>
      <w:r w:rsidR="00D136BB">
        <w:rPr>
          <w:lang w:val="es-ES"/>
        </w:rPr>
        <w:t xml:space="preserve"> </w:t>
      </w:r>
      <w:r w:rsidRPr="003618E2">
        <w:rPr>
          <w:lang w:val="es-ES"/>
        </w:rPr>
        <w:t>materias</w:t>
      </w:r>
      <w:r w:rsidR="00D136BB">
        <w:rPr>
          <w:lang w:val="es-ES"/>
        </w:rPr>
        <w:t xml:space="preserve"> </w:t>
      </w:r>
      <w:r w:rsidRPr="003618E2">
        <w:rPr>
          <w:lang w:val="es-ES"/>
        </w:rPr>
        <w:t>primas</w:t>
      </w:r>
      <w:r w:rsidR="00D136BB">
        <w:rPr>
          <w:lang w:val="es-ES"/>
        </w:rPr>
        <w:t xml:space="preserve"> </w:t>
      </w:r>
      <w:r w:rsidRPr="003618E2">
        <w:rPr>
          <w:lang w:val="es-ES"/>
        </w:rPr>
        <w:t>en</w:t>
      </w:r>
      <w:r w:rsidR="00D136BB">
        <w:rPr>
          <w:lang w:val="es-ES"/>
        </w:rPr>
        <w:t xml:space="preserve"> </w:t>
      </w:r>
      <w:r w:rsidRPr="003618E2">
        <w:rPr>
          <w:lang w:val="es-ES"/>
        </w:rPr>
        <w:t>productos</w:t>
      </w:r>
      <w:r w:rsidR="00D136BB">
        <w:rPr>
          <w:lang w:val="es-ES"/>
        </w:rPr>
        <w:t xml:space="preserve"> </w:t>
      </w:r>
      <w:r w:rsidRPr="003618E2">
        <w:rPr>
          <w:lang w:val="es-ES"/>
        </w:rPr>
        <w:t>industriales.</w:t>
      </w:r>
    </w:p>
    <w:p w14:paraId="0AA80450" w14:textId="3E4FBE71" w:rsidR="006D362C" w:rsidRPr="003618E2" w:rsidRDefault="006D362C" w:rsidP="006D362C">
      <w:pPr>
        <w:pStyle w:val="BodyText"/>
        <w:numPr>
          <w:ilvl w:val="0"/>
          <w:numId w:val="33"/>
        </w:numPr>
        <w:rPr>
          <w:lang w:val="es-ES"/>
        </w:rPr>
      </w:pPr>
      <w:r w:rsidRPr="003618E2">
        <w:rPr>
          <w:lang w:val="es-ES"/>
        </w:rPr>
        <w:t>Creciente</w:t>
      </w:r>
      <w:r w:rsidR="00D136BB">
        <w:rPr>
          <w:lang w:val="es-ES"/>
        </w:rPr>
        <w:t xml:space="preserve"> </w:t>
      </w:r>
      <w:r w:rsidRPr="003618E2">
        <w:rPr>
          <w:lang w:val="es-ES"/>
        </w:rPr>
        <w:t>incentivo</w:t>
      </w:r>
      <w:r w:rsidR="00D136BB">
        <w:rPr>
          <w:lang w:val="es-ES"/>
        </w:rPr>
        <w:t xml:space="preserve"> </w:t>
      </w:r>
      <w:r w:rsidRPr="003618E2">
        <w:rPr>
          <w:lang w:val="es-ES"/>
        </w:rPr>
        <w:t>económico</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nucleares,</w:t>
      </w:r>
      <w:r w:rsidR="00D136BB">
        <w:rPr>
          <w:lang w:val="es-ES"/>
        </w:rPr>
        <w:t xml:space="preserve"> </w:t>
      </w:r>
      <w:r w:rsidRPr="003618E2">
        <w:rPr>
          <w:lang w:val="es-ES"/>
        </w:rPr>
        <w:t>como</w:t>
      </w:r>
      <w:r w:rsidR="00D136BB">
        <w:rPr>
          <w:lang w:val="es-ES"/>
        </w:rPr>
        <w:t xml:space="preserve"> </w:t>
      </w:r>
      <w:r w:rsidRPr="003618E2">
        <w:rPr>
          <w:lang w:val="es-ES"/>
        </w:rPr>
        <w:t>opción</w:t>
      </w:r>
      <w:r w:rsidR="00D136BB">
        <w:rPr>
          <w:lang w:val="es-ES"/>
        </w:rPr>
        <w:t xml:space="preserve"> </w:t>
      </w:r>
      <w:r w:rsidRPr="003618E2">
        <w:rPr>
          <w:lang w:val="es-ES"/>
        </w:rPr>
        <w:t>ventajosa</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p>
    <w:p w14:paraId="6ABA37CB" w14:textId="55C550DB" w:rsidR="006D362C" w:rsidRPr="003618E2" w:rsidRDefault="006D362C" w:rsidP="006D362C">
      <w:pPr>
        <w:pStyle w:val="BodyText"/>
        <w:numPr>
          <w:ilvl w:val="0"/>
          <w:numId w:val="33"/>
        </w:numPr>
        <w:rPr>
          <w:lang w:val="es-ES"/>
        </w:rPr>
      </w:pPr>
      <w:r w:rsidRPr="003618E2">
        <w:rPr>
          <w:lang w:val="es-ES"/>
        </w:rPr>
        <w:t>Posibilidad</w:t>
      </w:r>
      <w:r w:rsidR="00D136BB">
        <w:rPr>
          <w:lang w:val="es-ES"/>
        </w:rPr>
        <w:t xml:space="preserve"> </w:t>
      </w:r>
      <w:r w:rsidRPr="003618E2">
        <w:rPr>
          <w:lang w:val="es-ES"/>
        </w:rPr>
        <w:t>de</w:t>
      </w:r>
      <w:r w:rsidR="00D136BB">
        <w:rPr>
          <w:lang w:val="es-ES"/>
        </w:rPr>
        <w:t xml:space="preserve"> </w:t>
      </w:r>
      <w:r w:rsidRPr="003618E2">
        <w:rPr>
          <w:lang w:val="es-ES"/>
        </w:rPr>
        <w:t>cofinanciamiento</w:t>
      </w:r>
      <w:r w:rsidR="00D136BB">
        <w:rPr>
          <w:lang w:val="es-ES"/>
        </w:rPr>
        <w:t xml:space="preserve"> </w:t>
      </w:r>
      <w:r w:rsidRPr="003618E2">
        <w:rPr>
          <w:lang w:val="es-ES"/>
        </w:rPr>
        <w:t>de</w:t>
      </w:r>
      <w:r w:rsidR="00D136BB">
        <w:rPr>
          <w:lang w:val="es-ES"/>
        </w:rPr>
        <w:t xml:space="preserve"> </w:t>
      </w:r>
      <w:r w:rsidRPr="003618E2">
        <w:rPr>
          <w:lang w:val="es-ES"/>
        </w:rPr>
        <w:t>organizaciones</w:t>
      </w:r>
      <w:r w:rsidR="00D136BB">
        <w:rPr>
          <w:lang w:val="es-ES"/>
        </w:rPr>
        <w:t xml:space="preserve"> </w:t>
      </w:r>
      <w:r w:rsidRPr="003618E2">
        <w:rPr>
          <w:lang w:val="es-ES"/>
        </w:rPr>
        <w:t>internacionales</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introducción</w:t>
      </w:r>
      <w:r w:rsidR="00D136BB">
        <w:rPr>
          <w:lang w:val="es-ES"/>
        </w:rPr>
        <w:t xml:space="preserve"> </w:t>
      </w:r>
      <w:r w:rsidRPr="003618E2">
        <w:rPr>
          <w:lang w:val="es-ES"/>
        </w:rPr>
        <w:t>y</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de</w:t>
      </w:r>
      <w:r w:rsidR="00D136BB">
        <w:rPr>
          <w:lang w:val="es-ES"/>
        </w:rPr>
        <w:t xml:space="preserve"> </w:t>
      </w:r>
      <w:r w:rsidRPr="003618E2">
        <w:rPr>
          <w:lang w:val="es-ES"/>
        </w:rPr>
        <w:t>radiación.</w:t>
      </w:r>
    </w:p>
    <w:p w14:paraId="1D43D156" w14:textId="77777777" w:rsidR="003D5081" w:rsidRDefault="003D5081" w:rsidP="006D362C">
      <w:pPr>
        <w:pStyle w:val="BodyText"/>
        <w:rPr>
          <w:b/>
          <w:lang w:val="es-ES"/>
        </w:rPr>
      </w:pPr>
    </w:p>
    <w:p w14:paraId="04FB5292" w14:textId="39C6DE1D" w:rsidR="006D362C" w:rsidRPr="003618E2" w:rsidRDefault="006D362C" w:rsidP="006D362C">
      <w:pPr>
        <w:pStyle w:val="BodyText"/>
        <w:rPr>
          <w:b/>
          <w:lang w:val="es-ES"/>
        </w:rPr>
      </w:pPr>
      <w:r w:rsidRPr="003618E2">
        <w:rPr>
          <w:b/>
          <w:lang w:val="es-ES"/>
        </w:rPr>
        <w:t>Tecnologías</w:t>
      </w:r>
      <w:r w:rsidR="00D136BB">
        <w:rPr>
          <w:b/>
          <w:lang w:val="es-ES"/>
        </w:rPr>
        <w:t xml:space="preserve"> </w:t>
      </w:r>
      <w:r w:rsidRPr="003618E2">
        <w:rPr>
          <w:b/>
          <w:lang w:val="es-ES"/>
        </w:rPr>
        <w:t>de</w:t>
      </w:r>
      <w:r w:rsidR="00D136BB">
        <w:rPr>
          <w:b/>
          <w:lang w:val="es-ES"/>
        </w:rPr>
        <w:t xml:space="preserve"> </w:t>
      </w:r>
      <w:r w:rsidRPr="003618E2">
        <w:rPr>
          <w:b/>
          <w:lang w:val="es-ES"/>
        </w:rPr>
        <w:t>inspección</w:t>
      </w:r>
      <w:r w:rsidR="00D136BB">
        <w:rPr>
          <w:b/>
          <w:lang w:val="es-ES"/>
        </w:rPr>
        <w:t xml:space="preserve"> </w:t>
      </w:r>
      <w:r w:rsidRPr="003618E2">
        <w:rPr>
          <w:b/>
          <w:lang w:val="es-ES"/>
        </w:rPr>
        <w:t>(END,</w:t>
      </w:r>
      <w:r w:rsidR="00D136BB">
        <w:rPr>
          <w:b/>
          <w:lang w:val="es-ES"/>
        </w:rPr>
        <w:t xml:space="preserve"> </w:t>
      </w:r>
      <w:r w:rsidRPr="003618E2">
        <w:rPr>
          <w:b/>
          <w:lang w:val="es-ES"/>
        </w:rPr>
        <w:t>SCN)</w:t>
      </w:r>
    </w:p>
    <w:p w14:paraId="389B6D20" w14:textId="120CFEC6" w:rsidR="006D362C" w:rsidRPr="003618E2" w:rsidRDefault="006D362C" w:rsidP="006D362C">
      <w:pPr>
        <w:pStyle w:val="BodyText"/>
        <w:numPr>
          <w:ilvl w:val="0"/>
          <w:numId w:val="33"/>
        </w:numPr>
        <w:rPr>
          <w:lang w:val="es-ES"/>
        </w:rPr>
      </w:pPr>
      <w:r w:rsidRPr="003618E2">
        <w:rPr>
          <w:lang w:val="es-ES"/>
        </w:rPr>
        <w:t>Reconocimiento</w:t>
      </w:r>
      <w:r w:rsidR="00D136BB">
        <w:rPr>
          <w:lang w:val="es-ES"/>
        </w:rPr>
        <w:t xml:space="preserve"> </w:t>
      </w:r>
      <w:r w:rsidRPr="003618E2">
        <w:rPr>
          <w:lang w:val="es-ES"/>
        </w:rPr>
        <w:t>creciente</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capacidades</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no</w:t>
      </w:r>
      <w:r w:rsidR="00D136BB">
        <w:rPr>
          <w:lang w:val="es-ES"/>
        </w:rPr>
        <w:t xml:space="preserve"> </w:t>
      </w:r>
      <w:r w:rsidRPr="003618E2">
        <w:rPr>
          <w:lang w:val="es-ES"/>
        </w:rPr>
        <w:t>destructivas.</w:t>
      </w:r>
    </w:p>
    <w:p w14:paraId="3DB64668" w14:textId="1B575702" w:rsidR="006D362C" w:rsidRDefault="006D362C" w:rsidP="006D362C">
      <w:pPr>
        <w:pStyle w:val="BodyText"/>
        <w:numPr>
          <w:ilvl w:val="0"/>
          <w:numId w:val="33"/>
        </w:numPr>
        <w:rPr>
          <w:lang w:val="es-ES"/>
        </w:rPr>
      </w:pPr>
      <w:r w:rsidRPr="003618E2">
        <w:rPr>
          <w:lang w:val="es-ES"/>
        </w:rPr>
        <w:t>Posibilidad</w:t>
      </w:r>
      <w:r w:rsidR="00D136BB">
        <w:rPr>
          <w:lang w:val="es-ES"/>
        </w:rPr>
        <w:t xml:space="preserve"> </w:t>
      </w:r>
      <w:r w:rsidRPr="003618E2">
        <w:rPr>
          <w:lang w:val="es-ES"/>
        </w:rPr>
        <w:t>de</w:t>
      </w:r>
      <w:r w:rsidR="00D136BB">
        <w:rPr>
          <w:lang w:val="es-ES"/>
        </w:rPr>
        <w:t xml:space="preserve"> </w:t>
      </w:r>
      <w:r w:rsidRPr="003618E2">
        <w:rPr>
          <w:lang w:val="es-ES"/>
        </w:rPr>
        <w:t>incrementar</w:t>
      </w:r>
      <w:r w:rsidR="00D136BB">
        <w:rPr>
          <w:lang w:val="es-ES"/>
        </w:rPr>
        <w:t xml:space="preserve"> </w:t>
      </w:r>
      <w:r w:rsidRPr="003618E2">
        <w:rPr>
          <w:lang w:val="es-ES"/>
        </w:rPr>
        <w:t>la</w:t>
      </w:r>
      <w:r w:rsidR="00D136BB">
        <w:rPr>
          <w:lang w:val="es-ES"/>
        </w:rPr>
        <w:t xml:space="preserve"> </w:t>
      </w:r>
      <w:r w:rsidRPr="003618E2">
        <w:rPr>
          <w:lang w:val="es-ES"/>
        </w:rPr>
        <w:t>transferencia</w:t>
      </w:r>
      <w:r w:rsidR="00D136BB">
        <w:rPr>
          <w:lang w:val="es-ES"/>
        </w:rPr>
        <w:t xml:space="preserve"> </w:t>
      </w:r>
      <w:r w:rsidRPr="003618E2">
        <w:rPr>
          <w:lang w:val="es-ES"/>
        </w:rPr>
        <w:t>de</w:t>
      </w:r>
      <w:r w:rsidR="00D136BB">
        <w:rPr>
          <w:lang w:val="es-ES"/>
        </w:rPr>
        <w:t xml:space="preserve"> </w:t>
      </w:r>
      <w:r w:rsidRPr="003618E2">
        <w:rPr>
          <w:lang w:val="es-ES"/>
        </w:rPr>
        <w:t>conocimiento</w:t>
      </w:r>
      <w:r w:rsidR="00D136BB">
        <w:rPr>
          <w:lang w:val="es-ES"/>
        </w:rPr>
        <w:t xml:space="preserve"> </w:t>
      </w:r>
      <w:r w:rsidRPr="003618E2">
        <w:rPr>
          <w:lang w:val="es-ES"/>
        </w:rPr>
        <w:t>y</w:t>
      </w:r>
      <w:r w:rsidR="00D136BB">
        <w:rPr>
          <w:lang w:val="es-ES"/>
        </w:rPr>
        <w:t xml:space="preserve"> </w:t>
      </w:r>
      <w:r w:rsidRPr="003618E2">
        <w:rPr>
          <w:lang w:val="es-ES"/>
        </w:rPr>
        <w:t>capacitación,</w:t>
      </w:r>
      <w:r w:rsidR="00D136BB">
        <w:rPr>
          <w:lang w:val="es-ES"/>
        </w:rPr>
        <w:t xml:space="preserve"> </w:t>
      </w:r>
      <w:r w:rsidRPr="003618E2">
        <w:rPr>
          <w:lang w:val="es-ES"/>
        </w:rPr>
        <w:t>a</w:t>
      </w:r>
      <w:r w:rsidR="00D136BB">
        <w:rPr>
          <w:lang w:val="es-ES"/>
        </w:rPr>
        <w:t xml:space="preserve"> </w:t>
      </w:r>
      <w:r w:rsidRPr="003618E2">
        <w:rPr>
          <w:lang w:val="es-ES"/>
        </w:rPr>
        <w:t>través</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4</w:t>
      </w:r>
      <w:r w:rsidR="00D136BB">
        <w:rPr>
          <w:lang w:val="es-ES"/>
        </w:rPr>
        <w:t xml:space="preserve"> </w:t>
      </w:r>
      <w:r w:rsidRPr="003618E2">
        <w:rPr>
          <w:lang w:val="es-ES"/>
        </w:rPr>
        <w:t>centros</w:t>
      </w:r>
      <w:r w:rsidR="00D136BB">
        <w:rPr>
          <w:lang w:val="es-ES"/>
        </w:rPr>
        <w:t xml:space="preserve"> </w:t>
      </w:r>
      <w:r w:rsidRPr="003618E2">
        <w:rPr>
          <w:lang w:val="es-ES"/>
        </w:rPr>
        <w:t>de</w:t>
      </w:r>
      <w:r w:rsidR="00D136BB">
        <w:rPr>
          <w:lang w:val="es-ES"/>
        </w:rPr>
        <w:t xml:space="preserve"> </w:t>
      </w:r>
      <w:r w:rsidRPr="003618E2">
        <w:rPr>
          <w:lang w:val="es-ES"/>
        </w:rPr>
        <w:t>referencia</w:t>
      </w:r>
      <w:r w:rsidR="00D136BB">
        <w:rPr>
          <w:lang w:val="es-ES"/>
        </w:rPr>
        <w:t xml:space="preserve"> </w:t>
      </w:r>
      <w:r w:rsidRPr="003618E2">
        <w:rPr>
          <w:lang w:val="es-ES"/>
        </w:rPr>
        <w:t>de</w:t>
      </w:r>
      <w:r w:rsidR="00D136BB">
        <w:rPr>
          <w:lang w:val="es-ES"/>
        </w:rPr>
        <w:t xml:space="preserve"> </w:t>
      </w:r>
      <w:r w:rsidRPr="003618E2">
        <w:rPr>
          <w:lang w:val="es-ES"/>
        </w:rPr>
        <w:t>END</w:t>
      </w:r>
      <w:r w:rsidR="00D136BB">
        <w:rPr>
          <w:lang w:val="es-ES"/>
        </w:rPr>
        <w:t xml:space="preserve"> </w:t>
      </w:r>
      <w:r w:rsidRPr="003618E2">
        <w:rPr>
          <w:lang w:val="es-ES"/>
        </w:rPr>
        <w:t>existentes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p>
    <w:p w14:paraId="00B1A300" w14:textId="77777777" w:rsidR="003D5081" w:rsidRPr="003618E2" w:rsidRDefault="003D5081" w:rsidP="006D362C">
      <w:pPr>
        <w:pStyle w:val="BodyText"/>
        <w:numPr>
          <w:ilvl w:val="0"/>
          <w:numId w:val="33"/>
        </w:numPr>
        <w:rPr>
          <w:lang w:val="es-ES"/>
        </w:rPr>
      </w:pPr>
    </w:p>
    <w:p w14:paraId="69879A4F" w14:textId="504A61E2" w:rsidR="006D362C" w:rsidRPr="003618E2" w:rsidRDefault="006D362C" w:rsidP="006D362C">
      <w:pPr>
        <w:pStyle w:val="BodyText"/>
        <w:rPr>
          <w:b/>
          <w:bCs/>
          <w:lang w:val="es-ES"/>
        </w:rPr>
      </w:pPr>
      <w:r w:rsidRPr="003618E2">
        <w:rPr>
          <w:b/>
          <w:bCs/>
          <w:lang w:val="es-ES"/>
        </w:rPr>
        <w:lastRenderedPageBreak/>
        <w:t>III.</w:t>
      </w:r>
      <w:r w:rsidR="00D136BB">
        <w:rPr>
          <w:b/>
          <w:bCs/>
          <w:lang w:val="es-ES"/>
        </w:rPr>
        <w:t xml:space="preserve"> </w:t>
      </w:r>
      <w:r w:rsidRPr="003618E2">
        <w:rPr>
          <w:b/>
          <w:bCs/>
          <w:lang w:val="es-ES"/>
        </w:rPr>
        <w:t>Necesidades</w:t>
      </w:r>
      <w:r w:rsidR="00D136BB">
        <w:rPr>
          <w:b/>
          <w:bCs/>
          <w:lang w:val="es-ES"/>
        </w:rPr>
        <w:t xml:space="preserve"> </w:t>
      </w:r>
      <w:r w:rsidRPr="003618E2">
        <w:rPr>
          <w:b/>
          <w:bCs/>
          <w:lang w:val="es-ES"/>
        </w:rPr>
        <w:t>o</w:t>
      </w:r>
      <w:r w:rsidR="00D136BB">
        <w:rPr>
          <w:b/>
          <w:bCs/>
          <w:lang w:val="es-ES"/>
        </w:rPr>
        <w:t xml:space="preserve"> </w:t>
      </w:r>
      <w:r w:rsidRPr="003618E2">
        <w:rPr>
          <w:b/>
          <w:bCs/>
          <w:lang w:val="es-ES"/>
        </w:rPr>
        <w:t>Problemas</w:t>
      </w:r>
    </w:p>
    <w:p w14:paraId="1237C083" w14:textId="67FA42A8" w:rsidR="006D362C" w:rsidRPr="003618E2" w:rsidRDefault="006D362C" w:rsidP="006D362C">
      <w:pPr>
        <w:pStyle w:val="BodyText"/>
        <w:numPr>
          <w:ilvl w:val="0"/>
          <w:numId w:val="34"/>
        </w:numPr>
        <w:rPr>
          <w:b/>
          <w:bCs/>
          <w:lang w:val="es-ES"/>
        </w:rPr>
      </w:pPr>
      <w:r w:rsidRPr="003618E2">
        <w:rPr>
          <w:b/>
          <w:bCs/>
          <w:lang w:val="es-ES"/>
        </w:rPr>
        <w:t>Tratamiento</w:t>
      </w:r>
      <w:r w:rsidR="00D136BB">
        <w:rPr>
          <w:b/>
          <w:bCs/>
          <w:lang w:val="es-ES"/>
        </w:rPr>
        <w:t xml:space="preserve"> </w:t>
      </w:r>
      <w:r w:rsidRPr="003618E2">
        <w:rPr>
          <w:b/>
          <w:bCs/>
          <w:lang w:val="es-ES"/>
        </w:rPr>
        <w:t>de</w:t>
      </w:r>
      <w:r w:rsidR="00D136BB">
        <w:rPr>
          <w:b/>
          <w:bCs/>
          <w:lang w:val="es-ES"/>
        </w:rPr>
        <w:t xml:space="preserve"> </w:t>
      </w:r>
      <w:r w:rsidRPr="003618E2">
        <w:rPr>
          <w:b/>
          <w:bCs/>
          <w:lang w:val="es-ES"/>
        </w:rPr>
        <w:t>aguas</w:t>
      </w:r>
      <w:r w:rsidR="00D136BB">
        <w:rPr>
          <w:b/>
          <w:bCs/>
          <w:lang w:val="es-ES"/>
        </w:rPr>
        <w:t xml:space="preserve"> </w:t>
      </w:r>
      <w:r w:rsidRPr="003618E2">
        <w:rPr>
          <w:b/>
          <w:bCs/>
          <w:lang w:val="es-ES"/>
        </w:rPr>
        <w:t>residuales</w:t>
      </w:r>
      <w:r w:rsidR="00D136BB">
        <w:rPr>
          <w:b/>
          <w:bCs/>
          <w:lang w:val="es-ES"/>
        </w:rPr>
        <w:t xml:space="preserve"> </w:t>
      </w:r>
      <w:r w:rsidRPr="003618E2">
        <w:rPr>
          <w:b/>
          <w:bCs/>
          <w:lang w:val="es-ES"/>
        </w:rPr>
        <w:t>domésticas,</w:t>
      </w:r>
      <w:r w:rsidR="00D136BB">
        <w:rPr>
          <w:b/>
          <w:bCs/>
          <w:lang w:val="es-ES"/>
        </w:rPr>
        <w:t xml:space="preserve"> </w:t>
      </w:r>
      <w:r w:rsidRPr="003618E2">
        <w:rPr>
          <w:b/>
          <w:bCs/>
          <w:lang w:val="es-ES"/>
        </w:rPr>
        <w:t>industriales</w:t>
      </w:r>
      <w:r w:rsidR="00D136BB">
        <w:rPr>
          <w:b/>
          <w:bCs/>
          <w:lang w:val="es-ES"/>
        </w:rPr>
        <w:t xml:space="preserve"> </w:t>
      </w:r>
      <w:r w:rsidRPr="003618E2">
        <w:rPr>
          <w:b/>
          <w:bCs/>
          <w:lang w:val="es-ES"/>
        </w:rPr>
        <w:t>y</w:t>
      </w:r>
      <w:r w:rsidR="00D136BB">
        <w:rPr>
          <w:b/>
          <w:bCs/>
          <w:lang w:val="es-ES"/>
        </w:rPr>
        <w:t xml:space="preserve"> </w:t>
      </w:r>
      <w:r w:rsidRPr="003618E2">
        <w:rPr>
          <w:b/>
          <w:bCs/>
          <w:lang w:val="es-ES"/>
        </w:rPr>
        <w:t>farmacéuticas</w:t>
      </w:r>
      <w:r w:rsidR="00D136BB">
        <w:rPr>
          <w:b/>
          <w:bCs/>
          <w:lang w:val="es-ES"/>
        </w:rPr>
        <w:t xml:space="preserve"> </w:t>
      </w:r>
      <w:r w:rsidRPr="003618E2">
        <w:rPr>
          <w:b/>
          <w:bCs/>
          <w:lang w:val="es-ES"/>
        </w:rPr>
        <w:t>por</w:t>
      </w:r>
      <w:r w:rsidR="00D136BB">
        <w:rPr>
          <w:b/>
          <w:bCs/>
          <w:lang w:val="es-ES"/>
        </w:rPr>
        <w:t xml:space="preserve"> </w:t>
      </w:r>
      <w:r w:rsidRPr="003618E2">
        <w:rPr>
          <w:b/>
          <w:bCs/>
          <w:lang w:val="es-ES"/>
        </w:rPr>
        <w:t>procesamiento</w:t>
      </w:r>
      <w:r w:rsidR="00D136BB">
        <w:rPr>
          <w:b/>
          <w:bCs/>
          <w:lang w:val="es-ES"/>
        </w:rPr>
        <w:t xml:space="preserve"> </w:t>
      </w:r>
      <w:r w:rsidRPr="003618E2">
        <w:rPr>
          <w:b/>
          <w:bCs/>
          <w:lang w:val="es-ES"/>
        </w:rPr>
        <w:t>de</w:t>
      </w:r>
      <w:r w:rsidR="00D136BB">
        <w:rPr>
          <w:b/>
          <w:bCs/>
          <w:lang w:val="es-ES"/>
        </w:rPr>
        <w:t xml:space="preserve"> </w:t>
      </w:r>
      <w:r w:rsidRPr="003618E2">
        <w:rPr>
          <w:b/>
          <w:bCs/>
          <w:lang w:val="es-ES"/>
        </w:rPr>
        <w:t>radiación</w:t>
      </w:r>
      <w:r w:rsidR="00D136BB">
        <w:rPr>
          <w:b/>
          <w:bCs/>
          <w:lang w:val="es-ES"/>
        </w:rPr>
        <w:t xml:space="preserve"> </w:t>
      </w:r>
      <w:r w:rsidRPr="003618E2">
        <w:rPr>
          <w:b/>
          <w:bCs/>
          <w:lang w:val="es-ES"/>
        </w:rPr>
        <w:t>(fármacos,</w:t>
      </w:r>
      <w:r w:rsidR="00D136BB">
        <w:rPr>
          <w:b/>
          <w:bCs/>
          <w:lang w:val="es-ES"/>
        </w:rPr>
        <w:t xml:space="preserve"> </w:t>
      </w:r>
      <w:r w:rsidRPr="003618E2">
        <w:rPr>
          <w:b/>
          <w:bCs/>
          <w:lang w:val="es-ES"/>
        </w:rPr>
        <w:t>compuestos</w:t>
      </w:r>
      <w:r w:rsidR="00D136BB">
        <w:rPr>
          <w:b/>
          <w:bCs/>
          <w:lang w:val="es-ES"/>
        </w:rPr>
        <w:t xml:space="preserve"> </w:t>
      </w:r>
      <w:r w:rsidRPr="003618E2">
        <w:rPr>
          <w:b/>
          <w:bCs/>
          <w:lang w:val="es-ES"/>
        </w:rPr>
        <w:t>orgánicos,</w:t>
      </w:r>
      <w:r w:rsidR="00D136BB">
        <w:rPr>
          <w:b/>
          <w:bCs/>
          <w:lang w:val="es-ES"/>
        </w:rPr>
        <w:t xml:space="preserve"> </w:t>
      </w:r>
      <w:r w:rsidRPr="003618E2">
        <w:rPr>
          <w:b/>
          <w:bCs/>
          <w:lang w:val="es-ES"/>
        </w:rPr>
        <w:t>contaminación</w:t>
      </w:r>
      <w:r w:rsidR="00D136BB">
        <w:rPr>
          <w:b/>
          <w:bCs/>
          <w:lang w:val="es-ES"/>
        </w:rPr>
        <w:t xml:space="preserve"> </w:t>
      </w:r>
      <w:r w:rsidRPr="003618E2">
        <w:rPr>
          <w:b/>
          <w:bCs/>
          <w:lang w:val="es-ES"/>
        </w:rPr>
        <w:t>biológica,</w:t>
      </w:r>
      <w:r w:rsidR="00D136BB">
        <w:rPr>
          <w:b/>
          <w:bCs/>
          <w:lang w:val="es-ES"/>
        </w:rPr>
        <w:t xml:space="preserve"> </w:t>
      </w:r>
      <w:r w:rsidRPr="003618E2">
        <w:rPr>
          <w:b/>
          <w:bCs/>
          <w:lang w:val="es-ES"/>
        </w:rPr>
        <w:t>micro</w:t>
      </w:r>
      <w:r w:rsidR="00D136BB">
        <w:rPr>
          <w:b/>
          <w:bCs/>
          <w:lang w:val="es-ES"/>
        </w:rPr>
        <w:t xml:space="preserve"> </w:t>
      </w:r>
      <w:r w:rsidRPr="003618E2">
        <w:rPr>
          <w:b/>
          <w:bCs/>
          <w:lang w:val="es-ES"/>
        </w:rPr>
        <w:t>plásticos,</w:t>
      </w:r>
      <w:r w:rsidR="00D136BB">
        <w:rPr>
          <w:b/>
          <w:bCs/>
          <w:lang w:val="es-ES"/>
        </w:rPr>
        <w:t xml:space="preserve"> </w:t>
      </w:r>
      <w:r w:rsidRPr="003618E2">
        <w:rPr>
          <w:b/>
          <w:bCs/>
          <w:lang w:val="es-ES"/>
        </w:rPr>
        <w:t>etc.)</w:t>
      </w:r>
      <w:r w:rsidR="00D136BB">
        <w:rPr>
          <w:b/>
          <w:bCs/>
          <w:lang w:val="es-ES"/>
        </w:rPr>
        <w:t xml:space="preserve"> </w:t>
      </w:r>
    </w:p>
    <w:p w14:paraId="7FE12612" w14:textId="63784717" w:rsidR="006D362C" w:rsidRPr="003618E2" w:rsidRDefault="006D362C" w:rsidP="006D362C">
      <w:pPr>
        <w:pStyle w:val="BodyText"/>
        <w:rPr>
          <w:lang w:val="es-ES"/>
        </w:rPr>
      </w:pPr>
      <w:r w:rsidRPr="003618E2">
        <w:rPr>
          <w:b/>
          <w:bCs/>
          <w:lang w:val="es-ES"/>
        </w:rPr>
        <w:t>Justificación:</w:t>
      </w:r>
      <w:r w:rsidR="00D136BB">
        <w:rPr>
          <w:lang w:val="es-ES"/>
        </w:rPr>
        <w:t xml:space="preserve"> </w:t>
      </w:r>
      <w:r w:rsidRPr="003618E2">
        <w:rPr>
          <w:lang w:val="es-ES"/>
        </w:rPr>
        <w:t>Las</w:t>
      </w:r>
      <w:r w:rsidR="00D136BB">
        <w:rPr>
          <w:lang w:val="es-ES"/>
        </w:rPr>
        <w:t xml:space="preserve"> </w:t>
      </w:r>
      <w:r w:rsidRPr="003618E2">
        <w:rPr>
          <w:lang w:val="es-ES"/>
        </w:rPr>
        <w:t>estadísticas</w:t>
      </w:r>
      <w:r w:rsidR="00D136BB">
        <w:rPr>
          <w:lang w:val="es-ES"/>
        </w:rPr>
        <w:t xml:space="preserve"> </w:t>
      </w:r>
      <w:r w:rsidRPr="003618E2">
        <w:rPr>
          <w:lang w:val="es-ES"/>
        </w:rPr>
        <w:t>muestran</w:t>
      </w:r>
      <w:r w:rsidR="00D136BB">
        <w:rPr>
          <w:lang w:val="es-ES"/>
        </w:rPr>
        <w:t xml:space="preserve"> </w:t>
      </w:r>
      <w:r w:rsidRPr="003618E2">
        <w:rPr>
          <w:lang w:val="es-ES"/>
        </w:rPr>
        <w:t>que</w:t>
      </w:r>
      <w:r w:rsidR="00D136BB">
        <w:rPr>
          <w:lang w:val="es-ES"/>
        </w:rPr>
        <w:t xml:space="preserve"> </w:t>
      </w:r>
      <w:r w:rsidRPr="003618E2">
        <w:rPr>
          <w:lang w:val="es-ES"/>
        </w:rPr>
        <w:t>las</w:t>
      </w:r>
      <w:r w:rsidR="00D136BB">
        <w:rPr>
          <w:lang w:val="es-ES"/>
        </w:rPr>
        <w:t xml:space="preserve"> </w:t>
      </w:r>
      <w:r w:rsidRPr="003618E2">
        <w:rPr>
          <w:lang w:val="es-ES"/>
        </w:rPr>
        <w:t>aguas</w:t>
      </w:r>
      <w:r w:rsidR="00D136BB">
        <w:rPr>
          <w:lang w:val="es-ES"/>
        </w:rPr>
        <w:t xml:space="preserve"> </w:t>
      </w:r>
      <w:r w:rsidRPr="003618E2">
        <w:rPr>
          <w:lang w:val="es-ES"/>
        </w:rPr>
        <w:t>residuales</w:t>
      </w:r>
      <w:r w:rsidR="00D136BB">
        <w:rPr>
          <w:lang w:val="es-ES"/>
        </w:rPr>
        <w:t xml:space="preserve"> </w:t>
      </w:r>
      <w:r w:rsidRPr="003618E2">
        <w:rPr>
          <w:lang w:val="es-ES"/>
        </w:rPr>
        <w:t>presentan</w:t>
      </w:r>
      <w:r w:rsidR="00D136BB">
        <w:rPr>
          <w:lang w:val="es-ES"/>
        </w:rPr>
        <w:t xml:space="preserve"> </w:t>
      </w:r>
      <w:r w:rsidRPr="003618E2">
        <w:rPr>
          <w:lang w:val="es-ES"/>
        </w:rPr>
        <w:t>alto</w:t>
      </w:r>
      <w:r w:rsidR="00D136BB">
        <w:rPr>
          <w:lang w:val="es-ES"/>
        </w:rPr>
        <w:t xml:space="preserve"> </w:t>
      </w:r>
      <w:r w:rsidRPr="003618E2">
        <w:rPr>
          <w:lang w:val="es-ES"/>
        </w:rPr>
        <w:t>grado</w:t>
      </w:r>
      <w:r w:rsidR="00D136BB">
        <w:rPr>
          <w:lang w:val="es-ES"/>
        </w:rPr>
        <w:t xml:space="preserve"> </w:t>
      </w:r>
      <w:r w:rsidRPr="003618E2">
        <w:rPr>
          <w:lang w:val="es-ES"/>
        </w:rPr>
        <w:t>de</w:t>
      </w:r>
      <w:r w:rsidR="00D136BB">
        <w:rPr>
          <w:lang w:val="es-ES"/>
        </w:rPr>
        <w:t xml:space="preserve"> </w:t>
      </w:r>
      <w:r w:rsidRPr="003618E2">
        <w:rPr>
          <w:lang w:val="es-ES"/>
        </w:rPr>
        <w:t>contaminación</w:t>
      </w:r>
      <w:r w:rsidR="00D136BB">
        <w:rPr>
          <w:lang w:val="es-ES"/>
        </w:rPr>
        <w:t xml:space="preserve"> </w:t>
      </w:r>
      <w:r w:rsidRPr="003618E2">
        <w:rPr>
          <w:lang w:val="es-ES"/>
        </w:rPr>
        <w:t>de</w:t>
      </w:r>
      <w:r w:rsidR="00D136BB">
        <w:rPr>
          <w:lang w:val="es-ES"/>
        </w:rPr>
        <w:t xml:space="preserve"> </w:t>
      </w:r>
      <w:r w:rsidRPr="003618E2">
        <w:rPr>
          <w:lang w:val="es-ES"/>
        </w:rPr>
        <w:t>diferente</w:t>
      </w:r>
      <w:r w:rsidR="00D136BB">
        <w:rPr>
          <w:lang w:val="es-ES"/>
        </w:rPr>
        <w:t xml:space="preserve"> </w:t>
      </w:r>
      <w:r w:rsidRPr="003618E2">
        <w:rPr>
          <w:lang w:val="es-ES"/>
        </w:rPr>
        <w:t>origen.</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desmedido</w:t>
      </w:r>
      <w:r w:rsidR="00D136BB">
        <w:rPr>
          <w:lang w:val="es-ES"/>
        </w:rPr>
        <w:t xml:space="preserve"> </w:t>
      </w:r>
      <w:r w:rsidRPr="003618E2">
        <w:rPr>
          <w:lang w:val="es-ES"/>
        </w:rPr>
        <w:t>de</w:t>
      </w:r>
      <w:r w:rsidR="00D136BB">
        <w:rPr>
          <w:lang w:val="es-ES"/>
        </w:rPr>
        <w:t xml:space="preserve"> </w:t>
      </w:r>
      <w:r w:rsidRPr="003618E2">
        <w:rPr>
          <w:lang w:val="es-ES"/>
        </w:rPr>
        <w:t>analgésicos,</w:t>
      </w:r>
      <w:r w:rsidR="00D136BB">
        <w:rPr>
          <w:lang w:val="es-ES"/>
        </w:rPr>
        <w:t xml:space="preserve"> </w:t>
      </w:r>
      <w:r w:rsidRPr="003618E2">
        <w:rPr>
          <w:lang w:val="es-ES"/>
        </w:rPr>
        <w:t>anticonceptivos</w:t>
      </w:r>
      <w:r w:rsidR="00D136BB">
        <w:rPr>
          <w:lang w:val="es-ES"/>
        </w:rPr>
        <w:t xml:space="preserve"> </w:t>
      </w:r>
      <w:r w:rsidRPr="003618E2">
        <w:rPr>
          <w:lang w:val="es-ES"/>
        </w:rPr>
        <w:t>y</w:t>
      </w:r>
      <w:r w:rsidR="00D136BB">
        <w:rPr>
          <w:lang w:val="es-ES"/>
        </w:rPr>
        <w:t xml:space="preserve"> </w:t>
      </w:r>
      <w:r w:rsidRPr="003618E2">
        <w:rPr>
          <w:lang w:val="es-ES"/>
        </w:rPr>
        <w:t>antidepresivos</w:t>
      </w:r>
      <w:r w:rsidR="00D136BB">
        <w:rPr>
          <w:lang w:val="es-ES"/>
        </w:rPr>
        <w:t xml:space="preserve"> </w:t>
      </w:r>
      <w:r w:rsidRPr="003618E2">
        <w:rPr>
          <w:lang w:val="es-ES"/>
        </w:rPr>
        <w:t>generan</w:t>
      </w:r>
      <w:r w:rsidR="00D136BB">
        <w:rPr>
          <w:lang w:val="es-ES"/>
        </w:rPr>
        <w:t xml:space="preserve"> </w:t>
      </w:r>
      <w:r w:rsidRPr="003618E2">
        <w:rPr>
          <w:lang w:val="es-ES"/>
        </w:rPr>
        <w:t>residuos</w:t>
      </w:r>
      <w:r w:rsidR="00D136BB">
        <w:rPr>
          <w:lang w:val="es-ES"/>
        </w:rPr>
        <w:t xml:space="preserve"> </w:t>
      </w:r>
      <w:r w:rsidRPr="003618E2">
        <w:rPr>
          <w:lang w:val="es-ES"/>
        </w:rPr>
        <w:t>difíciles</w:t>
      </w:r>
      <w:r w:rsidR="00D136BB">
        <w:rPr>
          <w:lang w:val="es-ES"/>
        </w:rPr>
        <w:t xml:space="preserve"> </w:t>
      </w:r>
      <w:r w:rsidRPr="003618E2">
        <w:rPr>
          <w:lang w:val="es-ES"/>
        </w:rPr>
        <w:t>de</w:t>
      </w:r>
      <w:r w:rsidR="00D136BB">
        <w:rPr>
          <w:lang w:val="es-ES"/>
        </w:rPr>
        <w:t xml:space="preserve"> </w:t>
      </w:r>
      <w:r w:rsidRPr="003618E2">
        <w:rPr>
          <w:lang w:val="es-ES"/>
        </w:rPr>
        <w:t>tratar</w:t>
      </w:r>
      <w:r w:rsidR="00D136BB">
        <w:rPr>
          <w:lang w:val="es-ES"/>
        </w:rPr>
        <w:t xml:space="preserve"> </w:t>
      </w:r>
      <w:r w:rsidRPr="003618E2">
        <w:rPr>
          <w:lang w:val="es-ES"/>
        </w:rPr>
        <w:t>por</w:t>
      </w:r>
      <w:r w:rsidR="00D136BB">
        <w:rPr>
          <w:lang w:val="es-ES"/>
        </w:rPr>
        <w:t xml:space="preserve"> </w:t>
      </w:r>
      <w:r w:rsidRPr="003618E2">
        <w:rPr>
          <w:lang w:val="es-ES"/>
        </w:rPr>
        <w:t>técnicas</w:t>
      </w:r>
      <w:r w:rsidR="00D136BB">
        <w:rPr>
          <w:lang w:val="es-ES"/>
        </w:rPr>
        <w:t xml:space="preserve"> </w:t>
      </w:r>
      <w:r w:rsidRPr="003618E2">
        <w:rPr>
          <w:lang w:val="es-ES"/>
        </w:rPr>
        <w:t>convencionales.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misma</w:t>
      </w:r>
      <w:r w:rsidR="00D136BB">
        <w:rPr>
          <w:lang w:val="es-ES"/>
        </w:rPr>
        <w:t xml:space="preserve"> </w:t>
      </w:r>
      <w:r w:rsidRPr="003618E2">
        <w:rPr>
          <w:lang w:val="es-ES"/>
        </w:rPr>
        <w:t>forma</w:t>
      </w:r>
      <w:r w:rsidR="00D136BB">
        <w:rPr>
          <w:lang w:val="es-ES"/>
        </w:rPr>
        <w:t xml:space="preserve"> </w:t>
      </w:r>
      <w:r w:rsidRPr="003618E2">
        <w:rPr>
          <w:lang w:val="es-ES"/>
        </w:rPr>
        <w:t>la</w:t>
      </w:r>
      <w:r w:rsidR="00D136BB">
        <w:rPr>
          <w:lang w:val="es-ES"/>
        </w:rPr>
        <w:t xml:space="preserve"> </w:t>
      </w:r>
      <w:r w:rsidRPr="003618E2">
        <w:rPr>
          <w:lang w:val="es-ES"/>
        </w:rPr>
        <w:t>presencia</w:t>
      </w:r>
      <w:r w:rsidR="00D136BB">
        <w:rPr>
          <w:lang w:val="es-ES"/>
        </w:rPr>
        <w:t xml:space="preserve"> </w:t>
      </w:r>
      <w:r w:rsidRPr="003618E2">
        <w:rPr>
          <w:lang w:val="es-ES"/>
        </w:rPr>
        <w:t>de</w:t>
      </w:r>
      <w:r w:rsidR="00D136BB">
        <w:rPr>
          <w:lang w:val="es-ES"/>
        </w:rPr>
        <w:t xml:space="preserve"> </w:t>
      </w:r>
      <w:r w:rsidRPr="003618E2">
        <w:rPr>
          <w:lang w:val="es-ES"/>
        </w:rPr>
        <w:t>micro</w:t>
      </w:r>
      <w:r w:rsidR="00D136BB">
        <w:rPr>
          <w:lang w:val="es-ES"/>
        </w:rPr>
        <w:t xml:space="preserve"> </w:t>
      </w:r>
      <w:r w:rsidRPr="003618E2">
        <w:rPr>
          <w:lang w:val="es-ES"/>
        </w:rPr>
        <w:t>plásticos</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agua</w:t>
      </w:r>
      <w:r w:rsidR="00D136BB">
        <w:rPr>
          <w:lang w:val="es-ES"/>
        </w:rPr>
        <w:t xml:space="preserve"> </w:t>
      </w:r>
      <w:r w:rsidRPr="003618E2">
        <w:rPr>
          <w:lang w:val="es-ES"/>
        </w:rPr>
        <w:t>es</w:t>
      </w:r>
      <w:r w:rsidR="00D136BB">
        <w:rPr>
          <w:lang w:val="es-ES"/>
        </w:rPr>
        <w:t xml:space="preserve"> </w:t>
      </w:r>
      <w:r w:rsidRPr="003618E2">
        <w:rPr>
          <w:lang w:val="es-ES"/>
        </w:rPr>
        <w:t>un</w:t>
      </w:r>
      <w:r w:rsidR="00D136BB">
        <w:rPr>
          <w:lang w:val="es-ES"/>
        </w:rPr>
        <w:t xml:space="preserve"> </w:t>
      </w:r>
      <w:r w:rsidRPr="003618E2">
        <w:rPr>
          <w:lang w:val="es-ES"/>
        </w:rPr>
        <w:t>problema</w:t>
      </w:r>
      <w:r w:rsidR="00D136BB">
        <w:rPr>
          <w:lang w:val="es-ES"/>
        </w:rPr>
        <w:t xml:space="preserve"> </w:t>
      </w:r>
      <w:r w:rsidRPr="003618E2">
        <w:rPr>
          <w:lang w:val="es-ES"/>
        </w:rPr>
        <w:t>global</w:t>
      </w:r>
      <w:r w:rsidR="00D136BB">
        <w:rPr>
          <w:lang w:val="es-ES"/>
        </w:rPr>
        <w:t xml:space="preserve"> </w:t>
      </w:r>
      <w:r w:rsidRPr="003618E2">
        <w:rPr>
          <w:lang w:val="es-ES"/>
        </w:rPr>
        <w:t>que</w:t>
      </w:r>
      <w:r w:rsidR="00D136BB">
        <w:rPr>
          <w:lang w:val="es-ES"/>
        </w:rPr>
        <w:t xml:space="preserve"> </w:t>
      </w:r>
      <w:r w:rsidRPr="003618E2">
        <w:rPr>
          <w:lang w:val="es-ES"/>
        </w:rPr>
        <w:t>debe</w:t>
      </w:r>
      <w:r w:rsidR="00D136BB">
        <w:rPr>
          <w:lang w:val="es-ES"/>
        </w:rPr>
        <w:t xml:space="preserve"> </w:t>
      </w:r>
      <w:r w:rsidRPr="003618E2">
        <w:rPr>
          <w:lang w:val="es-ES"/>
        </w:rPr>
        <w:t>ser</w:t>
      </w:r>
      <w:r w:rsidR="00D136BB">
        <w:rPr>
          <w:lang w:val="es-ES"/>
        </w:rPr>
        <w:t xml:space="preserve"> </w:t>
      </w:r>
      <w:r w:rsidRPr="003618E2">
        <w:rPr>
          <w:lang w:val="es-ES"/>
        </w:rPr>
        <w:t>enfrentado.</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indiscriminado</w:t>
      </w:r>
      <w:r w:rsidR="00D136BB">
        <w:rPr>
          <w:lang w:val="es-ES"/>
        </w:rPr>
        <w:t xml:space="preserve"> </w:t>
      </w:r>
      <w:r w:rsidRPr="003618E2">
        <w:rPr>
          <w:lang w:val="es-ES"/>
        </w:rPr>
        <w:t>de</w:t>
      </w:r>
      <w:r w:rsidR="00D136BB">
        <w:rPr>
          <w:lang w:val="es-ES"/>
        </w:rPr>
        <w:t xml:space="preserve"> </w:t>
      </w:r>
      <w:r w:rsidRPr="003618E2">
        <w:rPr>
          <w:lang w:val="es-ES"/>
        </w:rPr>
        <w:t>agroquímicos</w:t>
      </w:r>
      <w:r w:rsidR="00D136BB">
        <w:rPr>
          <w:lang w:val="es-ES"/>
        </w:rPr>
        <w:t xml:space="preserve"> </w:t>
      </w:r>
      <w:r w:rsidRPr="003618E2">
        <w:rPr>
          <w:lang w:val="es-ES"/>
        </w:rPr>
        <w:t>y</w:t>
      </w:r>
      <w:r w:rsidR="00D136BB">
        <w:rPr>
          <w:lang w:val="es-ES"/>
        </w:rPr>
        <w:t xml:space="preserve"> </w:t>
      </w:r>
      <w:r w:rsidRPr="003618E2">
        <w:rPr>
          <w:lang w:val="es-ES"/>
        </w:rPr>
        <w:t>otros</w:t>
      </w:r>
      <w:r w:rsidR="00D136BB">
        <w:rPr>
          <w:lang w:val="es-ES"/>
        </w:rPr>
        <w:t xml:space="preserve"> </w:t>
      </w:r>
      <w:r w:rsidRPr="003618E2">
        <w:rPr>
          <w:lang w:val="es-ES"/>
        </w:rPr>
        <w:t>compuestos</w:t>
      </w:r>
      <w:r w:rsidR="00D136BB">
        <w:rPr>
          <w:lang w:val="es-ES"/>
        </w:rPr>
        <w:t xml:space="preserve"> </w:t>
      </w:r>
      <w:r w:rsidRPr="003618E2">
        <w:rPr>
          <w:lang w:val="es-ES"/>
        </w:rPr>
        <w:t>orgánicos</w:t>
      </w:r>
      <w:r w:rsidR="00D136BB">
        <w:rPr>
          <w:lang w:val="es-ES"/>
        </w:rPr>
        <w:t xml:space="preserve"> </w:t>
      </w:r>
      <w:r w:rsidRPr="003618E2">
        <w:rPr>
          <w:lang w:val="es-ES"/>
        </w:rPr>
        <w:t>incrementa</w:t>
      </w:r>
      <w:r w:rsidR="00D136BB">
        <w:rPr>
          <w:lang w:val="es-ES"/>
        </w:rPr>
        <w:t xml:space="preserve"> </w:t>
      </w:r>
      <w:r w:rsidRPr="003618E2">
        <w:rPr>
          <w:lang w:val="es-ES"/>
        </w:rPr>
        <w:t>la</w:t>
      </w:r>
      <w:r w:rsidR="00D136BB">
        <w:rPr>
          <w:lang w:val="es-ES"/>
        </w:rPr>
        <w:t xml:space="preserve"> </w:t>
      </w:r>
      <w:r w:rsidRPr="003618E2">
        <w:rPr>
          <w:lang w:val="es-ES"/>
        </w:rPr>
        <w:t>complejidad</w:t>
      </w:r>
      <w:r w:rsidR="00D136BB">
        <w:rPr>
          <w:lang w:val="es-ES"/>
        </w:rPr>
        <w:t xml:space="preserve"> </w:t>
      </w:r>
      <w:r w:rsidRPr="003618E2">
        <w:rPr>
          <w:lang w:val="es-ES"/>
        </w:rPr>
        <w:t>de</w:t>
      </w:r>
      <w:r w:rsidR="00D136BB">
        <w:rPr>
          <w:lang w:val="es-ES"/>
        </w:rPr>
        <w:t xml:space="preserve"> </w:t>
      </w:r>
      <w:r w:rsidRPr="003618E2">
        <w:rPr>
          <w:lang w:val="es-ES"/>
        </w:rPr>
        <w:t>tratamiento</w:t>
      </w:r>
      <w:r w:rsidR="00D136BB">
        <w:rPr>
          <w:lang w:val="es-ES"/>
        </w:rPr>
        <w:t xml:space="preserve"> </w:t>
      </w:r>
      <w:r w:rsidRPr="003618E2">
        <w:rPr>
          <w:lang w:val="es-ES"/>
        </w:rPr>
        <w:t>del</w:t>
      </w:r>
      <w:r w:rsidR="00D136BB">
        <w:rPr>
          <w:lang w:val="es-ES"/>
        </w:rPr>
        <w:t xml:space="preserve"> </w:t>
      </w:r>
      <w:r w:rsidRPr="003618E2">
        <w:rPr>
          <w:lang w:val="es-ES"/>
        </w:rPr>
        <w:t>agua</w:t>
      </w:r>
      <w:r w:rsidR="00D136BB">
        <w:rPr>
          <w:lang w:val="es-ES"/>
        </w:rPr>
        <w:t xml:space="preserve"> </w:t>
      </w:r>
      <w:r w:rsidRPr="003618E2">
        <w:rPr>
          <w:lang w:val="es-ES"/>
        </w:rPr>
        <w:t>residual</w:t>
      </w:r>
      <w:r w:rsidR="00D136BB">
        <w:rPr>
          <w:lang w:val="es-ES"/>
        </w:rPr>
        <w:t xml:space="preserve"> </w:t>
      </w:r>
      <w:r w:rsidRPr="003618E2">
        <w:rPr>
          <w:lang w:val="es-ES"/>
        </w:rPr>
        <w:t>(doméstica,</w:t>
      </w:r>
      <w:r w:rsidR="00D136BB">
        <w:rPr>
          <w:lang w:val="es-ES"/>
        </w:rPr>
        <w:t xml:space="preserve"> </w:t>
      </w:r>
      <w:r w:rsidRPr="003618E2">
        <w:rPr>
          <w:lang w:val="es-ES"/>
        </w:rPr>
        <w:t>industrial,</w:t>
      </w:r>
      <w:r w:rsidR="00D136BB">
        <w:rPr>
          <w:lang w:val="es-ES"/>
        </w:rPr>
        <w:t xml:space="preserve"> </w:t>
      </w:r>
      <w:r w:rsidRPr="003618E2">
        <w:rPr>
          <w:lang w:val="es-ES"/>
        </w:rPr>
        <w:t>etc.).</w:t>
      </w:r>
      <w:r w:rsidR="00D136BB">
        <w:rPr>
          <w:lang w:val="es-ES"/>
        </w:rPr>
        <w:t xml:space="preserve"> </w:t>
      </w:r>
      <w:r w:rsidRPr="003618E2">
        <w:rPr>
          <w:lang w:val="es-ES"/>
        </w:rPr>
        <w:t>La</w:t>
      </w:r>
      <w:r w:rsidR="00D136BB">
        <w:rPr>
          <w:lang w:val="es-ES"/>
        </w:rPr>
        <w:t xml:space="preserve"> </w:t>
      </w:r>
      <w:r w:rsidRPr="003618E2">
        <w:rPr>
          <w:lang w:val="es-ES"/>
        </w:rPr>
        <w:t>falta</w:t>
      </w:r>
      <w:r w:rsidR="00D136BB">
        <w:rPr>
          <w:lang w:val="es-ES"/>
        </w:rPr>
        <w:t xml:space="preserve"> </w:t>
      </w:r>
      <w:r w:rsidRPr="003618E2">
        <w:rPr>
          <w:lang w:val="es-ES"/>
        </w:rPr>
        <w:t>de</w:t>
      </w:r>
      <w:r w:rsidR="00D136BB">
        <w:rPr>
          <w:lang w:val="es-ES"/>
        </w:rPr>
        <w:t xml:space="preserve"> </w:t>
      </w:r>
      <w:r w:rsidRPr="003618E2">
        <w:rPr>
          <w:lang w:val="es-ES"/>
        </w:rPr>
        <w:t>infraestructura</w:t>
      </w:r>
      <w:r w:rsidR="00D136BB">
        <w:rPr>
          <w:lang w:val="es-ES"/>
        </w:rPr>
        <w:t xml:space="preserve"> </w:t>
      </w:r>
      <w:r w:rsidRPr="003618E2">
        <w:rPr>
          <w:lang w:val="es-ES"/>
        </w:rPr>
        <w:t>de</w:t>
      </w:r>
      <w:r w:rsidR="00D136BB">
        <w:rPr>
          <w:lang w:val="es-ES"/>
        </w:rPr>
        <w:t xml:space="preserve"> </w:t>
      </w:r>
      <w:r w:rsidRPr="003618E2">
        <w:rPr>
          <w:lang w:val="es-ES"/>
        </w:rPr>
        <w:t>saneamiento</w:t>
      </w:r>
      <w:r w:rsidR="00D136BB">
        <w:rPr>
          <w:lang w:val="es-ES"/>
        </w:rPr>
        <w:t xml:space="preserve"> </w:t>
      </w:r>
      <w:r w:rsidRPr="003618E2">
        <w:rPr>
          <w:lang w:val="es-ES"/>
        </w:rPr>
        <w:t>contribuye</w:t>
      </w:r>
      <w:r w:rsidR="00D136BB">
        <w:rPr>
          <w:lang w:val="es-ES"/>
        </w:rPr>
        <w:t xml:space="preserve"> </w:t>
      </w:r>
      <w:r w:rsidRPr="003618E2">
        <w:rPr>
          <w:lang w:val="es-ES"/>
        </w:rPr>
        <w:t>a</w:t>
      </w:r>
      <w:r w:rsidR="00D136BB">
        <w:rPr>
          <w:lang w:val="es-ES"/>
        </w:rPr>
        <w:t xml:space="preserve"> </w:t>
      </w:r>
      <w:r w:rsidRPr="003618E2">
        <w:rPr>
          <w:lang w:val="es-ES"/>
        </w:rPr>
        <w:t>la</w:t>
      </w:r>
      <w:r w:rsidR="00D136BB">
        <w:rPr>
          <w:lang w:val="es-ES"/>
        </w:rPr>
        <w:t xml:space="preserve"> </w:t>
      </w:r>
      <w:r w:rsidRPr="003618E2">
        <w:rPr>
          <w:lang w:val="es-ES"/>
        </w:rPr>
        <w:t>contaminación</w:t>
      </w:r>
      <w:r w:rsidR="00D136BB">
        <w:rPr>
          <w:lang w:val="es-ES"/>
        </w:rPr>
        <w:t xml:space="preserve"> </w:t>
      </w:r>
      <w:r w:rsidRPr="003618E2">
        <w:rPr>
          <w:lang w:val="es-ES"/>
        </w:rPr>
        <w:t>biológica</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recursos</w:t>
      </w:r>
      <w:r w:rsidR="00D136BB">
        <w:rPr>
          <w:lang w:val="es-ES"/>
        </w:rPr>
        <w:t xml:space="preserve"> </w:t>
      </w:r>
      <w:r w:rsidRPr="003618E2">
        <w:rPr>
          <w:lang w:val="es-ES"/>
        </w:rPr>
        <w:t>hídricos.</w:t>
      </w:r>
      <w:r w:rsidR="00D136BB">
        <w:rPr>
          <w:lang w:val="es-ES"/>
        </w:rPr>
        <w:t xml:space="preserve"> </w:t>
      </w:r>
      <w:r w:rsidRPr="003618E2">
        <w:rPr>
          <w:lang w:val="es-ES"/>
        </w:rPr>
        <w:t>La</w:t>
      </w:r>
      <w:r w:rsidR="00D136BB">
        <w:rPr>
          <w:lang w:val="es-ES"/>
        </w:rPr>
        <w:t xml:space="preserve"> </w:t>
      </w:r>
      <w:r w:rsidRPr="003618E2">
        <w:rPr>
          <w:lang w:val="es-ES"/>
        </w:rPr>
        <w:t>tecnología</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ionizante</w:t>
      </w:r>
      <w:r w:rsidR="00D136BB">
        <w:rPr>
          <w:lang w:val="es-ES"/>
        </w:rPr>
        <w:t xml:space="preserve"> </w:t>
      </w:r>
      <w:r w:rsidRPr="003618E2">
        <w:rPr>
          <w:lang w:val="es-ES"/>
        </w:rPr>
        <w:t>constituye</w:t>
      </w:r>
      <w:r w:rsidR="00D136BB">
        <w:rPr>
          <w:lang w:val="es-ES"/>
        </w:rPr>
        <w:t xml:space="preserve"> </w:t>
      </w:r>
      <w:r w:rsidRPr="003618E2">
        <w:rPr>
          <w:lang w:val="es-ES"/>
        </w:rPr>
        <w:t>una</w:t>
      </w:r>
      <w:r w:rsidR="00D136BB">
        <w:rPr>
          <w:lang w:val="es-ES"/>
        </w:rPr>
        <w:t xml:space="preserve"> </w:t>
      </w:r>
      <w:r w:rsidRPr="003618E2">
        <w:rPr>
          <w:lang w:val="es-ES"/>
        </w:rPr>
        <w:t>alternativa</w:t>
      </w:r>
      <w:r w:rsidR="00D136BB">
        <w:rPr>
          <w:lang w:val="es-ES"/>
        </w:rPr>
        <w:t xml:space="preserve"> </w:t>
      </w:r>
      <w:r w:rsidRPr="003618E2">
        <w:rPr>
          <w:lang w:val="es-ES"/>
        </w:rPr>
        <w:t>eficaz</w:t>
      </w:r>
      <w:r w:rsidR="00D136BB">
        <w:rPr>
          <w:lang w:val="es-ES"/>
        </w:rPr>
        <w:t xml:space="preserve"> </w:t>
      </w:r>
      <w:r w:rsidRPr="003618E2">
        <w:rPr>
          <w:lang w:val="es-ES"/>
        </w:rPr>
        <w:t>para</w:t>
      </w:r>
      <w:r w:rsidR="00D136BB">
        <w:rPr>
          <w:lang w:val="es-ES"/>
        </w:rPr>
        <w:t xml:space="preserve"> </w:t>
      </w:r>
      <w:r w:rsidRPr="003618E2">
        <w:rPr>
          <w:lang w:val="es-ES"/>
        </w:rPr>
        <w:t>estos</w:t>
      </w:r>
      <w:r w:rsidR="00D136BB">
        <w:rPr>
          <w:lang w:val="es-ES"/>
        </w:rPr>
        <w:t xml:space="preserve"> </w:t>
      </w:r>
      <w:r w:rsidRPr="003618E2">
        <w:rPr>
          <w:lang w:val="es-ES"/>
        </w:rPr>
        <w:t>casos.</w:t>
      </w:r>
      <w:r w:rsidR="00D136BB">
        <w:rPr>
          <w:lang w:val="es-ES"/>
        </w:rPr>
        <w:t xml:space="preserve"> </w:t>
      </w:r>
      <w:r w:rsidRPr="003618E2">
        <w:rPr>
          <w:lang w:val="es-ES"/>
        </w:rPr>
        <w:t>Es</w:t>
      </w:r>
      <w:r w:rsidR="00D136BB">
        <w:rPr>
          <w:lang w:val="es-ES"/>
        </w:rPr>
        <w:t xml:space="preserve"> </w:t>
      </w:r>
      <w:r w:rsidRPr="003618E2">
        <w:rPr>
          <w:lang w:val="es-ES"/>
        </w:rPr>
        <w:t>necesario</w:t>
      </w:r>
      <w:r w:rsidR="00D136BB">
        <w:rPr>
          <w:lang w:val="es-ES"/>
        </w:rPr>
        <w:t xml:space="preserve"> </w:t>
      </w:r>
      <w:r w:rsidRPr="003618E2">
        <w:rPr>
          <w:lang w:val="es-ES"/>
        </w:rPr>
        <w:t>difundir</w:t>
      </w:r>
      <w:r w:rsidR="00D136BB">
        <w:rPr>
          <w:lang w:val="es-ES"/>
        </w:rPr>
        <w:t xml:space="preserve"> </w:t>
      </w:r>
      <w:r w:rsidRPr="003618E2">
        <w:rPr>
          <w:lang w:val="es-ES"/>
        </w:rPr>
        <w:t>y</w:t>
      </w:r>
      <w:r w:rsidR="00D136BB">
        <w:rPr>
          <w:lang w:val="es-ES"/>
        </w:rPr>
        <w:t xml:space="preserve"> </w:t>
      </w:r>
      <w:r w:rsidRPr="003618E2">
        <w:rPr>
          <w:lang w:val="es-ES"/>
        </w:rPr>
        <w:t>promover</w:t>
      </w:r>
      <w:r w:rsidR="00D136BB">
        <w:rPr>
          <w:lang w:val="es-ES"/>
        </w:rPr>
        <w:t xml:space="preserve"> </w:t>
      </w:r>
      <w:r w:rsidRPr="003618E2">
        <w:rPr>
          <w:lang w:val="es-ES"/>
        </w:rPr>
        <w:t>(usuarios,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decisiones),</w:t>
      </w:r>
      <w:r w:rsidR="00D136BB">
        <w:rPr>
          <w:lang w:val="es-ES"/>
        </w:rPr>
        <w:t xml:space="preserve"> </w:t>
      </w:r>
      <w:r w:rsidRPr="003618E2">
        <w:rPr>
          <w:lang w:val="es-ES"/>
        </w:rPr>
        <w:t>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estas</w:t>
      </w:r>
      <w:r w:rsidR="00D136BB">
        <w:rPr>
          <w:lang w:val="es-ES"/>
        </w:rPr>
        <w:t xml:space="preserve"> </w:t>
      </w:r>
      <w:r w:rsidRPr="003618E2">
        <w:rPr>
          <w:lang w:val="es-ES"/>
        </w:rPr>
        <w:t>tecnologías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tratamiento</w:t>
      </w:r>
      <w:r w:rsidR="00D136BB">
        <w:rPr>
          <w:lang w:val="es-ES"/>
        </w:rPr>
        <w:t xml:space="preserve"> </w:t>
      </w:r>
      <w:r w:rsidRPr="003618E2">
        <w:rPr>
          <w:lang w:val="es-ES"/>
        </w:rPr>
        <w:t>sostenible</w:t>
      </w:r>
      <w:r w:rsidR="00D136BB">
        <w:rPr>
          <w:lang w:val="es-ES"/>
        </w:rPr>
        <w:t xml:space="preserve"> </w:t>
      </w:r>
      <w:r w:rsidRPr="003618E2">
        <w:rPr>
          <w:lang w:val="es-ES"/>
        </w:rPr>
        <w:t>de</w:t>
      </w:r>
      <w:r w:rsidR="00D136BB">
        <w:rPr>
          <w:lang w:val="es-ES"/>
        </w:rPr>
        <w:t xml:space="preserve"> </w:t>
      </w:r>
      <w:r w:rsidRPr="003618E2">
        <w:rPr>
          <w:lang w:val="es-ES"/>
        </w:rPr>
        <w:t>aguas</w:t>
      </w:r>
      <w:r w:rsidR="00D136BB">
        <w:rPr>
          <w:lang w:val="es-ES"/>
        </w:rPr>
        <w:t xml:space="preserve"> </w:t>
      </w:r>
      <w:r w:rsidRPr="003618E2">
        <w:rPr>
          <w:lang w:val="es-ES"/>
        </w:rPr>
        <w:t>residuales.</w:t>
      </w:r>
    </w:p>
    <w:p w14:paraId="7B7E817D" w14:textId="197A4D80" w:rsidR="006D362C" w:rsidRPr="003618E2" w:rsidRDefault="006D362C" w:rsidP="006D362C">
      <w:pPr>
        <w:pStyle w:val="BodyText"/>
        <w:rPr>
          <w:lang w:val="es-ES"/>
        </w:rPr>
      </w:pPr>
      <w:r w:rsidRPr="003618E2">
        <w:rPr>
          <w:b/>
          <w:lang w:val="es-ES"/>
        </w:rPr>
        <w:t>Objetivo:</w:t>
      </w:r>
      <w:r w:rsidR="00D136BB">
        <w:rPr>
          <w:lang w:val="es-ES"/>
        </w:rPr>
        <w:t xml:space="preserve"> </w:t>
      </w:r>
      <w:r w:rsidRPr="003618E2">
        <w:rPr>
          <w:lang w:val="es-ES"/>
        </w:rPr>
        <w:t>Presentación</w:t>
      </w:r>
      <w:r w:rsidR="00D136BB">
        <w:rPr>
          <w:lang w:val="es-ES"/>
        </w:rPr>
        <w:t xml:space="preserve"> </w:t>
      </w:r>
      <w:r w:rsidRPr="003618E2">
        <w:rPr>
          <w:lang w:val="es-ES"/>
        </w:rPr>
        <w:t>a</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decisión</w:t>
      </w:r>
      <w:r w:rsidR="00D136BB">
        <w:rPr>
          <w:lang w:val="es-ES"/>
        </w:rPr>
        <w:t xml:space="preserve"> </w:t>
      </w:r>
      <w:r w:rsidRPr="003618E2">
        <w:rPr>
          <w:lang w:val="es-ES"/>
        </w:rPr>
        <w:t>del</w:t>
      </w:r>
      <w:r w:rsidR="00D136BB">
        <w:rPr>
          <w:lang w:val="es-ES"/>
        </w:rPr>
        <w:t xml:space="preserve"> </w:t>
      </w:r>
      <w:r w:rsidRPr="003618E2">
        <w:rPr>
          <w:lang w:val="es-ES"/>
        </w:rPr>
        <w:t>diagnóstico,</w:t>
      </w:r>
      <w:r w:rsidR="00D136BB">
        <w:rPr>
          <w:lang w:val="es-ES"/>
        </w:rPr>
        <w:t xml:space="preserve"> </w:t>
      </w:r>
      <w:r w:rsidRPr="003618E2">
        <w:rPr>
          <w:lang w:val="es-ES"/>
        </w:rPr>
        <w:t>estudio</w:t>
      </w:r>
      <w:r w:rsidR="00D136BB">
        <w:rPr>
          <w:lang w:val="es-ES"/>
        </w:rPr>
        <w:t xml:space="preserve"> </w:t>
      </w:r>
      <w:r w:rsidRPr="003618E2">
        <w:rPr>
          <w:lang w:val="es-ES"/>
        </w:rPr>
        <w:t>de</w:t>
      </w:r>
      <w:r w:rsidR="00D136BB">
        <w:rPr>
          <w:lang w:val="es-ES"/>
        </w:rPr>
        <w:t xml:space="preserve"> </w:t>
      </w:r>
      <w:r w:rsidRPr="003618E2">
        <w:rPr>
          <w:lang w:val="es-ES"/>
        </w:rPr>
        <w:t>factibilidad</w:t>
      </w:r>
      <w:r w:rsidR="00D136BB">
        <w:rPr>
          <w:lang w:val="es-ES"/>
        </w:rPr>
        <w:t xml:space="preserve"> </w:t>
      </w:r>
      <w:r w:rsidRPr="003618E2">
        <w:rPr>
          <w:lang w:val="es-ES"/>
        </w:rPr>
        <w:t>y</w:t>
      </w:r>
      <w:r w:rsidR="00D136BB">
        <w:rPr>
          <w:lang w:val="es-ES"/>
        </w:rPr>
        <w:t xml:space="preserve"> </w:t>
      </w:r>
      <w:r w:rsidRPr="003618E2">
        <w:rPr>
          <w:lang w:val="es-ES"/>
        </w:rPr>
        <w:t>eficacia</w:t>
      </w:r>
      <w:r w:rsidR="00D136BB">
        <w:rPr>
          <w:lang w:val="es-ES"/>
        </w:rPr>
        <w:t xml:space="preserve"> </w:t>
      </w:r>
      <w:r w:rsidRPr="003618E2">
        <w:rPr>
          <w:lang w:val="es-ES"/>
        </w:rPr>
        <w:t>en</w:t>
      </w:r>
      <w:r w:rsidR="00D136BB">
        <w:rPr>
          <w:lang w:val="es-ES"/>
        </w:rPr>
        <w:t xml:space="preserve"> </w:t>
      </w:r>
      <w:r w:rsidRPr="003618E2">
        <w:rPr>
          <w:lang w:val="es-ES"/>
        </w:rPr>
        <w:t>función</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condiciones</w:t>
      </w:r>
      <w:r w:rsidR="00D136BB">
        <w:rPr>
          <w:lang w:val="es-ES"/>
        </w:rPr>
        <w:t xml:space="preserve"> </w:t>
      </w:r>
      <w:r w:rsidRPr="003618E2">
        <w:rPr>
          <w:lang w:val="es-ES"/>
        </w:rPr>
        <w:t>locales</w:t>
      </w:r>
      <w:r w:rsidR="00D136BB">
        <w:rPr>
          <w:lang w:val="es-ES"/>
        </w:rPr>
        <w:t xml:space="preserve"> </w:t>
      </w:r>
      <w:r w:rsidRPr="003618E2">
        <w:rPr>
          <w:lang w:val="es-ES"/>
        </w:rPr>
        <w:t>del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avanzadas</w:t>
      </w:r>
      <w:r w:rsidR="00D136BB">
        <w:rPr>
          <w:lang w:val="es-ES"/>
        </w:rPr>
        <w:t xml:space="preserve"> </w:t>
      </w:r>
      <w:r w:rsidRPr="003618E2">
        <w:rPr>
          <w:lang w:val="es-ES"/>
        </w:rPr>
        <w:t>para</w:t>
      </w:r>
      <w:r w:rsidR="00D136BB">
        <w:rPr>
          <w:lang w:val="es-ES"/>
        </w:rPr>
        <w:t xml:space="preserve"> </w:t>
      </w: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aguas</w:t>
      </w:r>
      <w:r w:rsidR="00D136BB">
        <w:rPr>
          <w:lang w:val="es-ES"/>
        </w:rPr>
        <w:t xml:space="preserve"> </w:t>
      </w:r>
      <w:r w:rsidRPr="003618E2">
        <w:rPr>
          <w:lang w:val="es-ES"/>
        </w:rPr>
        <w:t>residuales</w:t>
      </w:r>
      <w:r w:rsidR="00D136BB">
        <w:rPr>
          <w:lang w:val="es-ES"/>
        </w:rPr>
        <w:t xml:space="preserve"> </w:t>
      </w:r>
      <w:r w:rsidRPr="003618E2">
        <w:rPr>
          <w:lang w:val="es-ES"/>
        </w:rPr>
        <w:t>por</w:t>
      </w:r>
      <w:r w:rsidR="00D136BB">
        <w:rPr>
          <w:lang w:val="es-ES"/>
        </w:rPr>
        <w:t xml:space="preserve"> </w:t>
      </w:r>
      <w:r w:rsidRPr="003618E2">
        <w:rPr>
          <w:lang w:val="es-ES"/>
        </w:rPr>
        <w:t>irradiación</w:t>
      </w:r>
      <w:r w:rsidR="00D136BB">
        <w:rPr>
          <w:lang w:val="es-ES"/>
        </w:rPr>
        <w:t xml:space="preserve"> </w:t>
      </w:r>
      <w:r w:rsidRPr="003618E2">
        <w:rPr>
          <w:lang w:val="es-ES"/>
        </w:rPr>
        <w:t>con</w:t>
      </w:r>
      <w:r w:rsidR="00D136BB">
        <w:rPr>
          <w:lang w:val="es-ES"/>
        </w:rPr>
        <w:t xml:space="preserve"> </w:t>
      </w:r>
      <w:r w:rsidRPr="003618E2">
        <w:rPr>
          <w:lang w:val="es-ES"/>
        </w:rPr>
        <w:t>haz</w:t>
      </w:r>
      <w:r w:rsidR="00D136BB">
        <w:rPr>
          <w:lang w:val="es-ES"/>
        </w:rPr>
        <w:t xml:space="preserve"> </w:t>
      </w:r>
      <w:r w:rsidRPr="003618E2">
        <w:rPr>
          <w:lang w:val="es-ES"/>
        </w:rPr>
        <w:t>de</w:t>
      </w:r>
      <w:r w:rsidR="00D136BB">
        <w:rPr>
          <w:lang w:val="es-ES"/>
        </w:rPr>
        <w:t xml:space="preserve"> </w:t>
      </w:r>
      <w:r w:rsidRPr="003618E2">
        <w:rPr>
          <w:lang w:val="es-ES"/>
        </w:rPr>
        <w:t>electrones.</w:t>
      </w:r>
      <w:r w:rsidR="00D136BB">
        <w:rPr>
          <w:lang w:val="es-ES"/>
        </w:rPr>
        <w:t xml:space="preserve"> </w:t>
      </w:r>
    </w:p>
    <w:p w14:paraId="3F3A897A" w14:textId="6F36C668" w:rsidR="006D362C" w:rsidRPr="003618E2" w:rsidRDefault="006D362C" w:rsidP="006D362C">
      <w:pPr>
        <w:pStyle w:val="BodyText"/>
        <w:rPr>
          <w:lang w:val="es-ES"/>
        </w:rPr>
      </w:pPr>
      <w:r w:rsidRPr="003618E2">
        <w:rPr>
          <w:b/>
          <w:bCs/>
          <w:lang w:val="es-ES"/>
        </w:rPr>
        <w:t>Indicador:</w:t>
      </w:r>
      <w:r w:rsidR="00D136BB">
        <w:rPr>
          <w:lang w:val="es-ES"/>
        </w:rPr>
        <w:t xml:space="preserve"> </w:t>
      </w:r>
      <w:r w:rsidRPr="003618E2">
        <w:rPr>
          <w:lang w:val="es-ES"/>
        </w:rPr>
        <w:t>(01)</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diseños</w:t>
      </w:r>
      <w:r w:rsidR="00D136BB">
        <w:rPr>
          <w:lang w:val="es-ES"/>
        </w:rPr>
        <w:t xml:space="preserve"> </w:t>
      </w:r>
      <w:r w:rsidRPr="003618E2">
        <w:rPr>
          <w:lang w:val="es-ES"/>
        </w:rPr>
        <w:t>conceptuales</w:t>
      </w:r>
      <w:r w:rsidR="00D136BB">
        <w:rPr>
          <w:lang w:val="es-ES"/>
        </w:rPr>
        <w:t xml:space="preserve"> </w:t>
      </w:r>
      <w:r w:rsidRPr="003618E2">
        <w:rPr>
          <w:lang w:val="es-ES"/>
        </w:rPr>
        <w:t>finalizados.</w:t>
      </w:r>
      <w:r w:rsidR="00D136BB">
        <w:rPr>
          <w:lang w:val="es-ES"/>
        </w:rPr>
        <w:t xml:space="preserve"> </w:t>
      </w:r>
      <w:r w:rsidRPr="003618E2">
        <w:rPr>
          <w:lang w:val="es-ES"/>
        </w:rPr>
        <w:t>(02)</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publicaciones</w:t>
      </w:r>
      <w:r w:rsidR="00D136BB">
        <w:rPr>
          <w:lang w:val="es-ES"/>
        </w:rPr>
        <w:t xml:space="preserve"> </w:t>
      </w:r>
      <w:r w:rsidRPr="003618E2">
        <w:rPr>
          <w:lang w:val="es-ES"/>
        </w:rPr>
        <w:t>científicas</w:t>
      </w:r>
      <w:r w:rsidR="00D136BB">
        <w:rPr>
          <w:lang w:val="es-ES"/>
        </w:rPr>
        <w:t xml:space="preserve"> </w:t>
      </w:r>
      <w:r w:rsidRPr="003618E2">
        <w:rPr>
          <w:lang w:val="es-ES"/>
        </w:rPr>
        <w:t>y</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noticias</w:t>
      </w:r>
      <w:r w:rsidR="00D136BB">
        <w:rPr>
          <w:lang w:val="es-ES"/>
        </w:rPr>
        <w:t xml:space="preserve"> </w:t>
      </w:r>
      <w:r w:rsidRPr="003618E2">
        <w:rPr>
          <w:lang w:val="es-ES"/>
        </w:rPr>
        <w:t>elaboradas</w:t>
      </w:r>
      <w:r w:rsidR="00D136BB">
        <w:rPr>
          <w:lang w:val="es-ES"/>
        </w:rPr>
        <w:t xml:space="preserve"> </w:t>
      </w:r>
      <w:r w:rsidRPr="003618E2">
        <w:rPr>
          <w:lang w:val="es-ES"/>
        </w:rPr>
        <w:t>por</w:t>
      </w:r>
      <w:r w:rsidR="00D136BB">
        <w:rPr>
          <w:lang w:val="es-ES"/>
        </w:rPr>
        <w:t xml:space="preserve"> </w:t>
      </w:r>
      <w:r w:rsidRPr="003618E2">
        <w:rPr>
          <w:lang w:val="es-ES"/>
        </w:rPr>
        <w:t>los</w:t>
      </w:r>
      <w:r w:rsidR="00D136BB">
        <w:rPr>
          <w:lang w:val="es-ES"/>
        </w:rPr>
        <w:t xml:space="preserve"> </w:t>
      </w:r>
      <w:r w:rsidRPr="003618E2">
        <w:rPr>
          <w:lang w:val="es-ES"/>
        </w:rPr>
        <w:t>respectivos</w:t>
      </w:r>
      <w:r w:rsidR="00D136BB">
        <w:rPr>
          <w:lang w:val="es-ES"/>
        </w:rPr>
        <w:t xml:space="preserve"> </w:t>
      </w:r>
      <w:r w:rsidRPr="003618E2">
        <w:rPr>
          <w:lang w:val="es-ES"/>
        </w:rPr>
        <w:t>departamentos</w:t>
      </w:r>
      <w:r w:rsidR="00D136BB">
        <w:rPr>
          <w:lang w:val="es-ES"/>
        </w:rPr>
        <w:t xml:space="preserve"> </w:t>
      </w:r>
      <w:r w:rsidRPr="003618E2">
        <w:rPr>
          <w:lang w:val="es-ES"/>
        </w:rPr>
        <w:t>de</w:t>
      </w:r>
      <w:r w:rsidR="00D136BB">
        <w:rPr>
          <w:lang w:val="es-ES"/>
        </w:rPr>
        <w:t xml:space="preserve"> </w:t>
      </w:r>
      <w:r w:rsidRPr="003618E2">
        <w:rPr>
          <w:lang w:val="es-ES"/>
        </w:rPr>
        <w:t>comunicación</w:t>
      </w:r>
      <w:r w:rsidR="00D136BB">
        <w:rPr>
          <w:lang w:val="es-ES"/>
        </w:rPr>
        <w:t xml:space="preserve"> </w:t>
      </w:r>
      <w:r w:rsidRPr="003618E2">
        <w:rPr>
          <w:lang w:val="es-ES"/>
        </w:rPr>
        <w:t>(divulgación</w:t>
      </w:r>
      <w:r w:rsidR="00D136BB">
        <w:rPr>
          <w:lang w:val="es-ES"/>
        </w:rPr>
        <w:t xml:space="preserve"> </w:t>
      </w:r>
      <w:r w:rsidRPr="003618E2">
        <w:rPr>
          <w:lang w:val="es-ES"/>
        </w:rPr>
        <w:t>técnica</w:t>
      </w:r>
      <w:r w:rsidR="00D136BB">
        <w:rPr>
          <w:lang w:val="es-ES"/>
        </w:rPr>
        <w:t xml:space="preserve"> </w:t>
      </w:r>
      <w:r w:rsidRPr="003618E2">
        <w:rPr>
          <w:lang w:val="es-ES"/>
        </w:rPr>
        <w:t>-periodística).</w:t>
      </w:r>
    </w:p>
    <w:p w14:paraId="43B8EAE8" w14:textId="3271EF81" w:rsidR="006D362C" w:rsidRPr="003618E2" w:rsidRDefault="006D362C" w:rsidP="006D362C">
      <w:pPr>
        <w:pStyle w:val="BodyText"/>
        <w:rPr>
          <w:lang w:val="es-ES"/>
        </w:rPr>
      </w:pPr>
      <w:r w:rsidRPr="003618E2">
        <w:rPr>
          <w:b/>
          <w:bCs/>
          <w:lang w:val="es-ES"/>
        </w:rPr>
        <w:t>Línea</w:t>
      </w:r>
      <w:r w:rsidR="00D136BB">
        <w:rPr>
          <w:b/>
          <w:bCs/>
          <w:lang w:val="es-ES"/>
        </w:rPr>
        <w:t xml:space="preserve"> </w:t>
      </w:r>
      <w:r w:rsidRPr="003618E2">
        <w:rPr>
          <w:b/>
          <w:bCs/>
          <w:lang w:val="es-ES"/>
        </w:rPr>
        <w:t>Base</w:t>
      </w:r>
      <w:r w:rsidRPr="003618E2">
        <w:rPr>
          <w:lang w:val="es-ES"/>
        </w:rPr>
        <w:t>:</w:t>
      </w:r>
      <w:r w:rsidR="00D136BB">
        <w:rPr>
          <w:lang w:val="es-ES"/>
        </w:rPr>
        <w:t xml:space="preserve"> </w:t>
      </w:r>
      <w:r w:rsidRPr="003618E2">
        <w:rPr>
          <w:lang w:val="es-ES"/>
        </w:rPr>
        <w:t>03</w:t>
      </w:r>
    </w:p>
    <w:p w14:paraId="28189B1A" w14:textId="77777777" w:rsidR="006D362C" w:rsidRPr="003618E2" w:rsidRDefault="006D362C" w:rsidP="006D362C">
      <w:pPr>
        <w:pStyle w:val="BodyText"/>
        <w:rPr>
          <w:lang w:val="es-ES"/>
        </w:rPr>
      </w:pPr>
    </w:p>
    <w:p w14:paraId="5302FF99" w14:textId="517370AC" w:rsidR="006D362C" w:rsidRPr="003618E2" w:rsidRDefault="006D362C" w:rsidP="006D362C">
      <w:pPr>
        <w:pStyle w:val="BodyText"/>
        <w:numPr>
          <w:ilvl w:val="0"/>
          <w:numId w:val="34"/>
        </w:numPr>
        <w:rPr>
          <w:b/>
          <w:bCs/>
          <w:lang w:val="es-ES"/>
        </w:rPr>
      </w:pPr>
      <w:r w:rsidRPr="003618E2">
        <w:rPr>
          <w:b/>
          <w:bCs/>
          <w:lang w:val="es-ES"/>
        </w:rPr>
        <w:t>Tratamiento</w:t>
      </w:r>
      <w:r w:rsidR="00D136BB">
        <w:rPr>
          <w:b/>
          <w:bCs/>
          <w:lang w:val="es-ES"/>
        </w:rPr>
        <w:t xml:space="preserve"> </w:t>
      </w:r>
      <w:r w:rsidRPr="003618E2">
        <w:rPr>
          <w:b/>
          <w:bCs/>
          <w:lang w:val="es-ES"/>
        </w:rPr>
        <w:t>fitosanitario</w:t>
      </w:r>
      <w:r w:rsidR="00D136BB">
        <w:rPr>
          <w:b/>
          <w:bCs/>
          <w:lang w:val="es-ES"/>
        </w:rPr>
        <w:t xml:space="preserve"> </w:t>
      </w:r>
      <w:r w:rsidRPr="003618E2">
        <w:rPr>
          <w:b/>
          <w:bCs/>
          <w:lang w:val="es-ES"/>
        </w:rPr>
        <w:t>de</w:t>
      </w:r>
      <w:r w:rsidR="00D136BB">
        <w:rPr>
          <w:b/>
          <w:bCs/>
          <w:lang w:val="es-ES"/>
        </w:rPr>
        <w:t xml:space="preserve"> </w:t>
      </w:r>
      <w:r w:rsidRPr="003618E2">
        <w:rPr>
          <w:b/>
          <w:bCs/>
          <w:lang w:val="es-ES"/>
        </w:rPr>
        <w:t>alimentos</w:t>
      </w:r>
      <w:r w:rsidR="00D136BB">
        <w:rPr>
          <w:b/>
          <w:bCs/>
          <w:lang w:val="es-ES"/>
        </w:rPr>
        <w:t xml:space="preserve"> </w:t>
      </w:r>
      <w:r w:rsidRPr="003618E2">
        <w:rPr>
          <w:b/>
          <w:bCs/>
          <w:lang w:val="es-ES"/>
        </w:rPr>
        <w:t>frescos,</w:t>
      </w:r>
      <w:r w:rsidR="00D136BB">
        <w:rPr>
          <w:b/>
          <w:bCs/>
          <w:lang w:val="es-ES"/>
        </w:rPr>
        <w:t xml:space="preserve"> </w:t>
      </w:r>
      <w:r w:rsidRPr="003618E2">
        <w:rPr>
          <w:b/>
          <w:bCs/>
          <w:lang w:val="es-ES"/>
        </w:rPr>
        <w:t>congelados,</w:t>
      </w:r>
      <w:r w:rsidR="00D136BB">
        <w:rPr>
          <w:b/>
          <w:bCs/>
          <w:lang w:val="es-ES"/>
        </w:rPr>
        <w:t xml:space="preserve"> </w:t>
      </w:r>
      <w:r w:rsidRPr="003618E2">
        <w:rPr>
          <w:b/>
          <w:bCs/>
          <w:lang w:val="es-ES"/>
        </w:rPr>
        <w:t>deshidratados</w:t>
      </w:r>
      <w:r w:rsidR="00D136BB">
        <w:rPr>
          <w:b/>
          <w:bCs/>
          <w:lang w:val="es-ES"/>
        </w:rPr>
        <w:t xml:space="preserve"> </w:t>
      </w:r>
      <w:r w:rsidRPr="003618E2">
        <w:rPr>
          <w:b/>
          <w:bCs/>
          <w:lang w:val="es-ES"/>
        </w:rPr>
        <w:t>y</w:t>
      </w:r>
      <w:r w:rsidR="00D136BB">
        <w:rPr>
          <w:b/>
          <w:bCs/>
          <w:lang w:val="es-ES"/>
        </w:rPr>
        <w:t xml:space="preserve"> </w:t>
      </w:r>
      <w:r w:rsidRPr="003618E2">
        <w:rPr>
          <w:b/>
          <w:bCs/>
          <w:lang w:val="es-ES"/>
        </w:rPr>
        <w:t>procesados</w:t>
      </w:r>
      <w:r w:rsidR="00D136BB">
        <w:rPr>
          <w:b/>
          <w:bCs/>
          <w:lang w:val="es-ES"/>
        </w:rPr>
        <w:t xml:space="preserve"> </w:t>
      </w:r>
      <w:r w:rsidRPr="003618E2">
        <w:rPr>
          <w:b/>
          <w:bCs/>
          <w:lang w:val="es-ES"/>
        </w:rPr>
        <w:t>por</w:t>
      </w:r>
      <w:r w:rsidR="00D136BB">
        <w:rPr>
          <w:b/>
          <w:bCs/>
          <w:lang w:val="es-ES"/>
        </w:rPr>
        <w:t xml:space="preserve"> </w:t>
      </w:r>
      <w:r w:rsidRPr="003618E2">
        <w:rPr>
          <w:b/>
          <w:bCs/>
          <w:lang w:val="es-ES"/>
        </w:rPr>
        <w:t>radiación</w:t>
      </w:r>
      <w:r w:rsidR="00D136BB">
        <w:rPr>
          <w:b/>
          <w:bCs/>
          <w:lang w:val="es-ES"/>
        </w:rPr>
        <w:t xml:space="preserve"> </w:t>
      </w:r>
      <w:r w:rsidRPr="003618E2">
        <w:rPr>
          <w:b/>
          <w:bCs/>
          <w:lang w:val="es-ES"/>
        </w:rPr>
        <w:t>ionizante.</w:t>
      </w:r>
    </w:p>
    <w:p w14:paraId="3514718A" w14:textId="6EC94504" w:rsidR="006D362C" w:rsidRPr="003618E2" w:rsidRDefault="006D362C" w:rsidP="006D362C">
      <w:pPr>
        <w:pStyle w:val="BodyText"/>
        <w:rPr>
          <w:lang w:val="es-ES"/>
        </w:rPr>
      </w:pPr>
      <w:r w:rsidRPr="003618E2">
        <w:rPr>
          <w:b/>
          <w:bCs/>
          <w:lang w:val="es-ES"/>
        </w:rPr>
        <w:t>Justificación:</w:t>
      </w:r>
      <w:r w:rsidR="00D136BB">
        <w:rPr>
          <w:lang w:val="es-ES"/>
        </w:rPr>
        <w:t xml:space="preserve"> </w:t>
      </w:r>
      <w:r w:rsidRPr="003618E2">
        <w:rPr>
          <w:lang w:val="es-ES"/>
        </w:rPr>
        <w:t>Estudios</w:t>
      </w:r>
      <w:r w:rsidR="00D136BB">
        <w:rPr>
          <w:lang w:val="es-ES"/>
        </w:rPr>
        <w:t xml:space="preserve"> </w:t>
      </w:r>
      <w:r w:rsidRPr="003618E2">
        <w:rPr>
          <w:lang w:val="es-ES"/>
        </w:rPr>
        <w:t>realizados</w:t>
      </w:r>
      <w:r w:rsidR="00D136BB">
        <w:rPr>
          <w:lang w:val="es-ES"/>
        </w:rPr>
        <w:t xml:space="preserve"> </w:t>
      </w:r>
      <w:r w:rsidRPr="003618E2">
        <w:rPr>
          <w:lang w:val="es-ES"/>
        </w:rPr>
        <w:t>en</w:t>
      </w:r>
      <w:r w:rsidR="00D136BB">
        <w:rPr>
          <w:lang w:val="es-ES"/>
        </w:rPr>
        <w:t xml:space="preserve"> </w:t>
      </w:r>
      <w:r w:rsidRPr="003618E2">
        <w:rPr>
          <w:lang w:val="es-ES"/>
        </w:rPr>
        <w:t>los</w:t>
      </w:r>
      <w:r w:rsidR="00D136BB">
        <w:rPr>
          <w:lang w:val="es-ES"/>
        </w:rPr>
        <w:t xml:space="preserve"> </w:t>
      </w:r>
      <w:r w:rsidRPr="003618E2">
        <w:rPr>
          <w:lang w:val="es-ES"/>
        </w:rPr>
        <w:t>últimos</w:t>
      </w:r>
      <w:r w:rsidR="00D136BB">
        <w:rPr>
          <w:lang w:val="es-ES"/>
        </w:rPr>
        <w:t xml:space="preserve"> </w:t>
      </w:r>
      <w:r w:rsidRPr="003618E2">
        <w:rPr>
          <w:lang w:val="es-ES"/>
        </w:rPr>
        <w:t>años</w:t>
      </w:r>
      <w:r w:rsidR="00D136BB">
        <w:rPr>
          <w:lang w:val="es-ES"/>
        </w:rPr>
        <w:t xml:space="preserve"> </w:t>
      </w:r>
      <w:r w:rsidRPr="003618E2">
        <w:rPr>
          <w:lang w:val="es-ES"/>
        </w:rPr>
        <w:t>demuestran</w:t>
      </w:r>
      <w:r w:rsidR="00D136BB">
        <w:rPr>
          <w:lang w:val="es-ES"/>
        </w:rPr>
        <w:t xml:space="preserve"> </w:t>
      </w:r>
      <w:r w:rsidRPr="003618E2">
        <w:rPr>
          <w:lang w:val="es-ES"/>
        </w:rPr>
        <w:t>que</w:t>
      </w:r>
      <w:r w:rsidR="00D136BB">
        <w:rPr>
          <w:lang w:val="es-ES"/>
        </w:rPr>
        <w:t xml:space="preserve"> </w:t>
      </w:r>
      <w:r w:rsidRPr="003618E2">
        <w:rPr>
          <w:lang w:val="es-ES"/>
        </w:rPr>
        <w:t>el</w:t>
      </w:r>
      <w:r w:rsidR="00D136BB">
        <w:rPr>
          <w:lang w:val="es-ES"/>
        </w:rPr>
        <w:t xml:space="preserve"> </w:t>
      </w:r>
      <w:r w:rsidRPr="003618E2">
        <w:rPr>
          <w:lang w:val="es-ES"/>
        </w:rPr>
        <w:t>desperdicio</w:t>
      </w:r>
      <w:r w:rsidR="00D136BB">
        <w:rPr>
          <w:lang w:val="es-ES"/>
        </w:rPr>
        <w:t xml:space="preserve"> </w:t>
      </w:r>
      <w:r w:rsidRPr="003618E2">
        <w:rPr>
          <w:lang w:val="es-ES"/>
        </w:rPr>
        <w:t>de</w:t>
      </w:r>
      <w:r w:rsidR="00D136BB">
        <w:rPr>
          <w:lang w:val="es-ES"/>
        </w:rPr>
        <w:t xml:space="preserve"> </w:t>
      </w:r>
      <w:r w:rsidRPr="003618E2">
        <w:rPr>
          <w:lang w:val="es-ES"/>
        </w:rPr>
        <w:t>alimentos</w:t>
      </w:r>
      <w:r w:rsidR="00D136BB">
        <w:rPr>
          <w:lang w:val="es-ES"/>
        </w:rPr>
        <w:t xml:space="preserve"> </w:t>
      </w:r>
      <w:r w:rsidRPr="003618E2">
        <w:rPr>
          <w:lang w:val="es-ES"/>
        </w:rPr>
        <w:t>es</w:t>
      </w:r>
      <w:r w:rsidR="00D136BB">
        <w:rPr>
          <w:lang w:val="es-ES"/>
        </w:rPr>
        <w:t xml:space="preserve"> </w:t>
      </w:r>
      <w:r w:rsidRPr="003618E2">
        <w:rPr>
          <w:lang w:val="es-ES"/>
        </w:rPr>
        <w:t>muy</w:t>
      </w:r>
      <w:r w:rsidR="00D136BB">
        <w:rPr>
          <w:lang w:val="es-ES"/>
        </w:rPr>
        <w:t xml:space="preserve"> </w:t>
      </w:r>
      <w:r w:rsidRPr="003618E2">
        <w:rPr>
          <w:lang w:val="es-ES"/>
        </w:rPr>
        <w:t>alto.</w:t>
      </w:r>
      <w:r w:rsidR="00D136BB">
        <w:rPr>
          <w:lang w:val="es-ES"/>
        </w:rPr>
        <w:t xml:space="preserve"> </w:t>
      </w:r>
      <w:r w:rsidRPr="003618E2">
        <w:rPr>
          <w:lang w:val="es-ES"/>
        </w:rPr>
        <w:t>Son</w:t>
      </w:r>
      <w:r w:rsidR="00D136BB">
        <w:rPr>
          <w:lang w:val="es-ES"/>
        </w:rPr>
        <w:t xml:space="preserve"> </w:t>
      </w:r>
      <w:r w:rsidRPr="003618E2">
        <w:rPr>
          <w:lang w:val="es-ES"/>
        </w:rPr>
        <w:t>necesarias</w:t>
      </w:r>
      <w:r w:rsidR="00D136BB">
        <w:rPr>
          <w:lang w:val="es-ES"/>
        </w:rPr>
        <w:t xml:space="preserve"> </w:t>
      </w:r>
      <w:r w:rsidRPr="003618E2">
        <w:rPr>
          <w:lang w:val="es-ES"/>
        </w:rPr>
        <w:t>tecnologías</w:t>
      </w:r>
      <w:r w:rsidR="00D136BB">
        <w:rPr>
          <w:lang w:val="es-ES"/>
        </w:rPr>
        <w:t xml:space="preserve"> </w:t>
      </w:r>
      <w:r w:rsidRPr="003618E2">
        <w:rPr>
          <w:lang w:val="es-ES"/>
        </w:rPr>
        <w:t>que</w:t>
      </w:r>
      <w:r w:rsidR="00D136BB">
        <w:rPr>
          <w:lang w:val="es-ES"/>
        </w:rPr>
        <w:t xml:space="preserve"> </w:t>
      </w:r>
      <w:r w:rsidRPr="003618E2">
        <w:rPr>
          <w:lang w:val="es-ES"/>
        </w:rPr>
        <w:t>ayuden</w:t>
      </w:r>
      <w:r w:rsidR="00D136BB">
        <w:rPr>
          <w:lang w:val="es-ES"/>
        </w:rPr>
        <w:t xml:space="preserve"> </w:t>
      </w:r>
      <w:r w:rsidRPr="003618E2">
        <w:rPr>
          <w:lang w:val="es-ES"/>
        </w:rPr>
        <w:t>a</w:t>
      </w:r>
      <w:r w:rsidR="00D136BB">
        <w:rPr>
          <w:lang w:val="es-ES"/>
        </w:rPr>
        <w:t xml:space="preserve"> </w:t>
      </w:r>
      <w:r w:rsidRPr="003618E2">
        <w:rPr>
          <w:lang w:val="es-ES"/>
        </w:rPr>
        <w:t>aumentar</w:t>
      </w:r>
      <w:r w:rsidR="00D136BB">
        <w:rPr>
          <w:lang w:val="es-ES"/>
        </w:rPr>
        <w:t xml:space="preserve"> </w:t>
      </w:r>
      <w:r w:rsidRPr="003618E2">
        <w:rPr>
          <w:lang w:val="es-ES"/>
        </w:rPr>
        <w:t>la</w:t>
      </w:r>
      <w:r w:rsidR="00D136BB">
        <w:rPr>
          <w:lang w:val="es-ES"/>
        </w:rPr>
        <w:t xml:space="preserve"> </w:t>
      </w:r>
      <w:r w:rsidRPr="003618E2">
        <w:rPr>
          <w:lang w:val="es-ES"/>
        </w:rPr>
        <w:t>vida</w:t>
      </w:r>
      <w:r w:rsidR="00D136BB">
        <w:rPr>
          <w:lang w:val="es-ES"/>
        </w:rPr>
        <w:t xml:space="preserve"> </w:t>
      </w:r>
      <w:r w:rsidRPr="003618E2">
        <w:rPr>
          <w:lang w:val="es-ES"/>
        </w:rPr>
        <w:t>de</w:t>
      </w:r>
      <w:r w:rsidR="00D136BB">
        <w:rPr>
          <w:lang w:val="es-ES"/>
        </w:rPr>
        <w:t xml:space="preserve"> </w:t>
      </w:r>
      <w:r w:rsidRPr="003618E2">
        <w:rPr>
          <w:lang w:val="es-ES"/>
        </w:rPr>
        <w:t>anaquel</w:t>
      </w:r>
      <w:r w:rsidR="00D136BB">
        <w:rPr>
          <w:lang w:val="es-ES"/>
        </w:rPr>
        <w:t xml:space="preserve"> </w:t>
      </w:r>
      <w:r w:rsidRPr="003618E2">
        <w:rPr>
          <w:lang w:val="es-ES"/>
        </w:rPr>
        <w:t>y</w:t>
      </w:r>
      <w:r w:rsidR="00D136BB">
        <w:rPr>
          <w:lang w:val="es-ES"/>
        </w:rPr>
        <w:t xml:space="preserve"> </w:t>
      </w:r>
      <w:r w:rsidRPr="003618E2">
        <w:rPr>
          <w:lang w:val="es-ES"/>
        </w:rPr>
        <w:t>a</w:t>
      </w:r>
      <w:r w:rsidR="00D136BB">
        <w:rPr>
          <w:lang w:val="es-ES"/>
        </w:rPr>
        <w:t xml:space="preserve"> </w:t>
      </w:r>
      <w:r w:rsidRPr="003618E2">
        <w:rPr>
          <w:lang w:val="es-ES"/>
        </w:rPr>
        <w:t>eliminar</w:t>
      </w:r>
      <w:r w:rsidR="00D136BB">
        <w:rPr>
          <w:lang w:val="es-ES"/>
        </w:rPr>
        <w:t xml:space="preserve"> </w:t>
      </w:r>
      <w:r w:rsidRPr="003618E2">
        <w:rPr>
          <w:lang w:val="es-ES"/>
        </w:rPr>
        <w:t>problemas</w:t>
      </w:r>
      <w:r w:rsidR="00D136BB">
        <w:rPr>
          <w:lang w:val="es-ES"/>
        </w:rPr>
        <w:t xml:space="preserve"> </w:t>
      </w:r>
      <w:r w:rsidRPr="003618E2">
        <w:rPr>
          <w:lang w:val="es-ES"/>
        </w:rPr>
        <w:t>con</w:t>
      </w:r>
      <w:r w:rsidR="00D136BB">
        <w:rPr>
          <w:lang w:val="es-ES"/>
        </w:rPr>
        <w:t xml:space="preserve"> </w:t>
      </w:r>
      <w:r w:rsidRPr="003618E2">
        <w:rPr>
          <w:lang w:val="es-ES"/>
        </w:rPr>
        <w:t>microrganismos</w:t>
      </w:r>
      <w:r w:rsidR="00D136BB">
        <w:rPr>
          <w:lang w:val="es-ES"/>
        </w:rPr>
        <w:t xml:space="preserve"> </w:t>
      </w:r>
      <w:r w:rsidRPr="003618E2">
        <w:rPr>
          <w:lang w:val="es-ES"/>
        </w:rPr>
        <w:t>patógenos.</w:t>
      </w:r>
      <w:r w:rsidR="00D136BB">
        <w:rPr>
          <w:lang w:val="es-ES"/>
        </w:rPr>
        <w:t xml:space="preserve"> </w:t>
      </w:r>
      <w:r w:rsidRPr="003618E2">
        <w:rPr>
          <w:lang w:val="es-ES"/>
        </w:rPr>
        <w:t>Las</w:t>
      </w:r>
      <w:r w:rsidR="00D136BB">
        <w:rPr>
          <w:lang w:val="es-ES"/>
        </w:rPr>
        <w:t xml:space="preserve"> </w:t>
      </w:r>
      <w:r w:rsidRPr="003618E2">
        <w:rPr>
          <w:lang w:val="es-ES"/>
        </w:rPr>
        <w:t>tendencias</w:t>
      </w:r>
      <w:r w:rsidR="00D136BB">
        <w:rPr>
          <w:lang w:val="es-ES"/>
        </w:rPr>
        <w:t xml:space="preserve"> </w:t>
      </w:r>
      <w:r w:rsidRPr="003618E2">
        <w:rPr>
          <w:lang w:val="es-ES"/>
        </w:rPr>
        <w:t>globales</w:t>
      </w:r>
      <w:r w:rsidR="00D136BB">
        <w:rPr>
          <w:lang w:val="es-ES"/>
        </w:rPr>
        <w:t xml:space="preserve"> </w:t>
      </w:r>
      <w:r w:rsidRPr="003618E2">
        <w:rPr>
          <w:lang w:val="es-ES"/>
        </w:rPr>
        <w:t>incentivan</w:t>
      </w:r>
      <w:r w:rsidR="00D136BB">
        <w:rPr>
          <w:lang w:val="es-ES"/>
        </w:rPr>
        <w:t xml:space="preserve"> </w:t>
      </w:r>
      <w:r w:rsidRPr="003618E2">
        <w:rPr>
          <w:lang w:val="es-ES"/>
        </w:rPr>
        <w:t>el</w:t>
      </w:r>
      <w:r w:rsidR="00D136BB">
        <w:rPr>
          <w:lang w:val="es-ES"/>
        </w:rPr>
        <w:t xml:space="preserve"> </w:t>
      </w:r>
      <w:r w:rsidRPr="003618E2">
        <w:rPr>
          <w:lang w:val="es-ES"/>
        </w:rPr>
        <w:t>aumento</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y</w:t>
      </w:r>
      <w:r w:rsidR="00D136BB">
        <w:rPr>
          <w:lang w:val="es-ES"/>
        </w:rPr>
        <w:t xml:space="preserve"> </w:t>
      </w:r>
      <w:r w:rsidRPr="003618E2">
        <w:rPr>
          <w:lang w:val="es-ES"/>
        </w:rPr>
        <w:t>seguridad</w:t>
      </w:r>
      <w:r w:rsidR="00D136BB">
        <w:rPr>
          <w:lang w:val="es-ES"/>
        </w:rPr>
        <w:t xml:space="preserve"> </w:t>
      </w:r>
      <w:r w:rsidRPr="003618E2">
        <w:rPr>
          <w:lang w:val="es-ES"/>
        </w:rPr>
        <w:t>alimentaria.</w:t>
      </w:r>
      <w:r w:rsidR="00D136BB">
        <w:rPr>
          <w:lang w:val="es-ES"/>
        </w:rPr>
        <w:t xml:space="preserve"> </w:t>
      </w:r>
      <w:r w:rsidRPr="003618E2">
        <w:rPr>
          <w:lang w:val="es-ES"/>
        </w:rPr>
        <w:t>América</w:t>
      </w:r>
      <w:r w:rsidR="00D136BB">
        <w:rPr>
          <w:lang w:val="es-ES"/>
        </w:rPr>
        <w:t xml:space="preserve"> </w:t>
      </w:r>
      <w:r w:rsidRPr="003618E2">
        <w:rPr>
          <w:lang w:val="es-ES"/>
        </w:rPr>
        <w:t>Latina</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Caribe</w:t>
      </w:r>
      <w:r w:rsidR="00D136BB">
        <w:rPr>
          <w:lang w:val="es-ES"/>
        </w:rPr>
        <w:t xml:space="preserve"> </w:t>
      </w:r>
      <w:r w:rsidRPr="003618E2">
        <w:rPr>
          <w:lang w:val="es-ES"/>
        </w:rPr>
        <w:t>tienen</w:t>
      </w:r>
      <w:r w:rsidR="00D136BB">
        <w:rPr>
          <w:lang w:val="es-ES"/>
        </w:rPr>
        <w:t xml:space="preserve"> </w:t>
      </w:r>
      <w:r w:rsidRPr="003618E2">
        <w:rPr>
          <w:lang w:val="es-ES"/>
        </w:rPr>
        <w:t>alta</w:t>
      </w:r>
      <w:r w:rsidR="00D136BB">
        <w:rPr>
          <w:lang w:val="es-ES"/>
        </w:rPr>
        <w:t xml:space="preserve"> </w:t>
      </w:r>
      <w:r w:rsidRPr="003618E2">
        <w:rPr>
          <w:lang w:val="es-ES"/>
        </w:rPr>
        <w:t>capacidad</w:t>
      </w:r>
      <w:r w:rsidR="00D136BB">
        <w:rPr>
          <w:lang w:val="es-ES"/>
        </w:rPr>
        <w:t xml:space="preserve"> </w:t>
      </w:r>
      <w:r w:rsidRPr="003618E2">
        <w:rPr>
          <w:lang w:val="es-ES"/>
        </w:rPr>
        <w:t>de</w:t>
      </w:r>
      <w:r w:rsidR="00D136BB">
        <w:rPr>
          <w:lang w:val="es-ES"/>
        </w:rPr>
        <w:t xml:space="preserve"> </w:t>
      </w:r>
      <w:r w:rsidRPr="003618E2">
        <w:rPr>
          <w:lang w:val="es-ES"/>
        </w:rPr>
        <w:t>exportación</w:t>
      </w:r>
      <w:r w:rsidR="00D136BB">
        <w:rPr>
          <w:lang w:val="es-ES"/>
        </w:rPr>
        <w:t xml:space="preserve"> </w:t>
      </w:r>
      <w:r w:rsidRPr="003618E2">
        <w:rPr>
          <w:lang w:val="es-ES"/>
        </w:rPr>
        <w:t>de</w:t>
      </w:r>
      <w:r w:rsidR="00D136BB">
        <w:rPr>
          <w:lang w:val="es-ES"/>
        </w:rPr>
        <w:t xml:space="preserve"> </w:t>
      </w:r>
      <w:r w:rsidRPr="003618E2">
        <w:rPr>
          <w:lang w:val="es-ES"/>
        </w:rPr>
        <w:t>alimentos</w:t>
      </w:r>
      <w:r w:rsidR="00D136BB">
        <w:rPr>
          <w:lang w:val="es-ES"/>
        </w:rPr>
        <w:t xml:space="preserve"> </w:t>
      </w:r>
      <w:r w:rsidRPr="003618E2">
        <w:rPr>
          <w:lang w:val="es-ES"/>
        </w:rPr>
        <w:t>en</w:t>
      </w:r>
      <w:r w:rsidR="00D136BB">
        <w:rPr>
          <w:lang w:val="es-ES"/>
        </w:rPr>
        <w:t xml:space="preserve"> </w:t>
      </w:r>
      <w:r w:rsidRPr="003618E2">
        <w:rPr>
          <w:lang w:val="es-ES"/>
        </w:rPr>
        <w:t>especial</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frescos.</w:t>
      </w:r>
      <w:r w:rsidR="00D136BB">
        <w:rPr>
          <w:lang w:val="es-ES"/>
        </w:rPr>
        <w:t xml:space="preserve">  </w:t>
      </w:r>
      <w:r w:rsidRPr="003618E2">
        <w:rPr>
          <w:lang w:val="es-ES"/>
        </w:rPr>
        <w:t>En</w:t>
      </w:r>
      <w:r w:rsidR="00D136BB">
        <w:rPr>
          <w:lang w:val="es-ES"/>
        </w:rPr>
        <w:t xml:space="preserve"> </w:t>
      </w:r>
      <w:r w:rsidRPr="003618E2">
        <w:rPr>
          <w:lang w:val="es-ES"/>
        </w:rPr>
        <w:t>estos</w:t>
      </w:r>
      <w:r w:rsidR="00D136BB">
        <w:rPr>
          <w:lang w:val="es-ES"/>
        </w:rPr>
        <w:t xml:space="preserve"> </w:t>
      </w:r>
      <w:r w:rsidRPr="003618E2">
        <w:rPr>
          <w:lang w:val="es-ES"/>
        </w:rPr>
        <w:t>casos</w:t>
      </w:r>
      <w:r w:rsidR="00D136BB">
        <w:rPr>
          <w:lang w:val="es-ES"/>
        </w:rPr>
        <w:t xml:space="preserve"> </w:t>
      </w:r>
      <w:r w:rsidRPr="003618E2">
        <w:rPr>
          <w:lang w:val="es-ES"/>
        </w:rPr>
        <w:t>el</w:t>
      </w:r>
      <w:r w:rsidR="00D136BB">
        <w:rPr>
          <w:lang w:val="es-ES"/>
        </w:rPr>
        <w:t xml:space="preserve"> </w:t>
      </w:r>
      <w:r w:rsidRPr="003618E2">
        <w:rPr>
          <w:lang w:val="es-ES"/>
        </w:rPr>
        <w:t>procesamiento</w:t>
      </w:r>
      <w:r w:rsidR="00D136BB">
        <w:rPr>
          <w:lang w:val="es-ES"/>
        </w:rPr>
        <w:t xml:space="preserve"> </w:t>
      </w:r>
      <w:r w:rsidRPr="003618E2">
        <w:rPr>
          <w:lang w:val="es-ES"/>
        </w:rPr>
        <w:t>de</w:t>
      </w:r>
      <w:r w:rsidR="00D136BB">
        <w:rPr>
          <w:lang w:val="es-ES"/>
        </w:rPr>
        <w:t xml:space="preserve"> </w:t>
      </w:r>
      <w:r w:rsidRPr="003618E2">
        <w:rPr>
          <w:lang w:val="es-ES"/>
        </w:rPr>
        <w:t>alimentos</w:t>
      </w:r>
      <w:r w:rsidR="00D136BB">
        <w:rPr>
          <w:lang w:val="es-ES"/>
        </w:rPr>
        <w:t xml:space="preserve"> </w:t>
      </w:r>
      <w:r w:rsidRPr="003618E2">
        <w:rPr>
          <w:lang w:val="es-ES"/>
        </w:rPr>
        <w:t>por</w:t>
      </w:r>
      <w:r w:rsidR="00D136BB">
        <w:rPr>
          <w:lang w:val="es-ES"/>
        </w:rPr>
        <w:t xml:space="preserve"> </w:t>
      </w:r>
      <w:r w:rsidRPr="003618E2">
        <w:rPr>
          <w:lang w:val="es-ES"/>
        </w:rPr>
        <w:t>radiación</w:t>
      </w:r>
      <w:r w:rsidR="00D136BB">
        <w:rPr>
          <w:lang w:val="es-ES"/>
        </w:rPr>
        <w:t xml:space="preserve"> </w:t>
      </w:r>
      <w:r w:rsidRPr="003618E2">
        <w:rPr>
          <w:lang w:val="es-ES"/>
        </w:rPr>
        <w:t>con</w:t>
      </w:r>
      <w:r w:rsidR="00D136BB">
        <w:rPr>
          <w:lang w:val="es-ES"/>
        </w:rPr>
        <w:t xml:space="preserve"> </w:t>
      </w:r>
      <w:r w:rsidRPr="003618E2">
        <w:rPr>
          <w:lang w:val="es-ES"/>
        </w:rPr>
        <w:t>objetivos</w:t>
      </w:r>
      <w:r w:rsidR="00D136BB">
        <w:rPr>
          <w:lang w:val="es-ES"/>
        </w:rPr>
        <w:t xml:space="preserve"> </w:t>
      </w:r>
      <w:r w:rsidRPr="003618E2">
        <w:rPr>
          <w:lang w:val="es-ES"/>
        </w:rPr>
        <w:t>fitosanitarios</w:t>
      </w:r>
      <w:r w:rsidR="00D136BB">
        <w:rPr>
          <w:lang w:val="es-ES"/>
        </w:rPr>
        <w:t xml:space="preserve"> </w:t>
      </w:r>
      <w:r w:rsidRPr="003618E2">
        <w:rPr>
          <w:lang w:val="es-ES"/>
        </w:rPr>
        <w:t>ayuda</w:t>
      </w:r>
      <w:r w:rsidR="00D136BB">
        <w:rPr>
          <w:lang w:val="es-ES"/>
        </w:rPr>
        <w:t xml:space="preserve"> </w:t>
      </w:r>
      <w:r w:rsidRPr="003618E2">
        <w:rPr>
          <w:lang w:val="es-ES"/>
        </w:rPr>
        <w:t>a</w:t>
      </w:r>
      <w:r w:rsidR="00D136BB">
        <w:rPr>
          <w:lang w:val="es-ES"/>
        </w:rPr>
        <w:t xml:space="preserve"> </w:t>
      </w:r>
      <w:r w:rsidRPr="003618E2">
        <w:rPr>
          <w:lang w:val="es-ES"/>
        </w:rPr>
        <w:t>fortalecer</w:t>
      </w:r>
      <w:r w:rsidR="00D136BB">
        <w:rPr>
          <w:lang w:val="es-ES"/>
        </w:rPr>
        <w:t xml:space="preserve"> </w:t>
      </w:r>
      <w:r w:rsidRPr="003618E2">
        <w:rPr>
          <w:lang w:val="es-ES"/>
        </w:rPr>
        <w:t>la</w:t>
      </w:r>
      <w:r w:rsidR="00D136BB">
        <w:rPr>
          <w:lang w:val="es-ES"/>
        </w:rPr>
        <w:t xml:space="preserve"> </w:t>
      </w:r>
      <w:r w:rsidRPr="003618E2">
        <w:rPr>
          <w:lang w:val="es-ES"/>
        </w:rPr>
        <w:t>economía</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estado</w:t>
      </w:r>
      <w:r w:rsidR="00D136BB">
        <w:rPr>
          <w:lang w:val="es-ES"/>
        </w:rPr>
        <w:t xml:space="preserve"> </w:t>
      </w:r>
      <w:r w:rsidRPr="003618E2">
        <w:rPr>
          <w:lang w:val="es-ES"/>
        </w:rPr>
        <w:t>de</w:t>
      </w:r>
      <w:r w:rsidR="00D136BB">
        <w:rPr>
          <w:lang w:val="es-ES"/>
        </w:rPr>
        <w:t xml:space="preserve"> </w:t>
      </w:r>
      <w:r w:rsidRPr="003618E2">
        <w:rPr>
          <w:lang w:val="es-ES"/>
        </w:rPr>
        <w:t>salud</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población,</w:t>
      </w:r>
      <w:r w:rsidR="00D136BB">
        <w:rPr>
          <w:lang w:val="es-ES"/>
        </w:rPr>
        <w:t xml:space="preserve"> </w:t>
      </w:r>
      <w:r w:rsidRPr="003618E2">
        <w:rPr>
          <w:lang w:val="es-ES"/>
        </w:rPr>
        <w:t>generando</w:t>
      </w:r>
      <w:r w:rsidR="00D136BB">
        <w:rPr>
          <w:lang w:val="es-ES"/>
        </w:rPr>
        <w:t xml:space="preserve"> </w:t>
      </w:r>
      <w:r w:rsidRPr="003618E2">
        <w:rPr>
          <w:lang w:val="es-ES"/>
        </w:rPr>
        <w:t>procesos</w:t>
      </w:r>
      <w:r w:rsidR="00D136BB">
        <w:rPr>
          <w:lang w:val="es-ES"/>
        </w:rPr>
        <w:t xml:space="preserve"> </w:t>
      </w:r>
      <w:r w:rsidRPr="003618E2">
        <w:rPr>
          <w:lang w:val="es-ES"/>
        </w:rPr>
        <w:t>más</w:t>
      </w:r>
      <w:r w:rsidR="00D136BB">
        <w:rPr>
          <w:lang w:val="es-ES"/>
        </w:rPr>
        <w:t xml:space="preserve"> </w:t>
      </w:r>
      <w:r w:rsidRPr="003618E2">
        <w:rPr>
          <w:lang w:val="es-ES"/>
        </w:rPr>
        <w:t>competitivos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sector</w:t>
      </w:r>
      <w:r w:rsidR="00D136BB">
        <w:rPr>
          <w:lang w:val="es-ES"/>
        </w:rPr>
        <w:t xml:space="preserve"> </w:t>
      </w:r>
      <w:r w:rsidRPr="003618E2">
        <w:rPr>
          <w:lang w:val="es-ES"/>
        </w:rPr>
        <w:t>agroindustrial.</w:t>
      </w:r>
      <w:r w:rsidR="00D136BB">
        <w:rPr>
          <w:lang w:val="es-ES"/>
        </w:rPr>
        <w:t xml:space="preserve"> </w:t>
      </w:r>
      <w:r w:rsidRPr="003618E2">
        <w:rPr>
          <w:lang w:val="es-ES"/>
        </w:rPr>
        <w:t>Es</w:t>
      </w:r>
      <w:r w:rsidR="00D136BB">
        <w:rPr>
          <w:lang w:val="es-ES"/>
        </w:rPr>
        <w:t xml:space="preserve"> </w:t>
      </w:r>
      <w:r w:rsidRPr="003618E2">
        <w:rPr>
          <w:lang w:val="es-ES"/>
        </w:rPr>
        <w:t>necesario</w:t>
      </w:r>
      <w:r w:rsidR="00D136BB">
        <w:rPr>
          <w:lang w:val="es-ES"/>
        </w:rPr>
        <w:t xml:space="preserve"> </w:t>
      </w:r>
      <w:r w:rsidRPr="003618E2">
        <w:rPr>
          <w:lang w:val="es-ES"/>
        </w:rPr>
        <w:t>difundir</w:t>
      </w:r>
      <w:r w:rsidR="00D136BB">
        <w:rPr>
          <w:lang w:val="es-ES"/>
        </w:rPr>
        <w:t xml:space="preserve"> </w:t>
      </w:r>
      <w:r w:rsidRPr="003618E2">
        <w:rPr>
          <w:lang w:val="es-ES"/>
        </w:rPr>
        <w:t>y</w:t>
      </w:r>
      <w:r w:rsidR="00D136BB">
        <w:rPr>
          <w:lang w:val="es-ES"/>
        </w:rPr>
        <w:t xml:space="preserve"> </w:t>
      </w:r>
      <w:r w:rsidRPr="003618E2">
        <w:rPr>
          <w:lang w:val="es-ES"/>
        </w:rPr>
        <w:t>promover</w:t>
      </w:r>
      <w:r w:rsidR="00D136BB">
        <w:rPr>
          <w:lang w:val="es-ES"/>
        </w:rPr>
        <w:t xml:space="preserve"> </w:t>
      </w:r>
      <w:r w:rsidRPr="003618E2">
        <w:rPr>
          <w:lang w:val="es-ES"/>
        </w:rPr>
        <w:t>(usuarios,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decisiones),</w:t>
      </w:r>
      <w:r w:rsidR="00D136BB">
        <w:rPr>
          <w:lang w:val="es-ES"/>
        </w:rPr>
        <w:t xml:space="preserve"> </w:t>
      </w:r>
      <w:r w:rsidRPr="003618E2">
        <w:rPr>
          <w:lang w:val="es-ES"/>
        </w:rPr>
        <w:t>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estas</w:t>
      </w:r>
      <w:r w:rsidR="00D136BB">
        <w:rPr>
          <w:lang w:val="es-ES"/>
        </w:rPr>
        <w:t xml:space="preserve"> </w:t>
      </w:r>
      <w:r w:rsidRPr="003618E2">
        <w:rPr>
          <w:lang w:val="es-ES"/>
        </w:rPr>
        <w:t>tecnologías</w:t>
      </w:r>
      <w:r w:rsidR="00D136BB">
        <w:rPr>
          <w:lang w:val="es-ES"/>
        </w:rPr>
        <w:t xml:space="preserve"> </w:t>
      </w:r>
      <w:r w:rsidRPr="003618E2">
        <w:rPr>
          <w:lang w:val="es-ES"/>
        </w:rPr>
        <w:t>para</w:t>
      </w:r>
      <w:r w:rsidR="00D136BB">
        <w:rPr>
          <w:lang w:val="es-ES"/>
        </w:rPr>
        <w:t xml:space="preserve"> </w:t>
      </w:r>
      <w:r w:rsidRPr="003618E2">
        <w:rPr>
          <w:lang w:val="es-ES"/>
        </w:rPr>
        <w:t>el</w:t>
      </w:r>
      <w:r w:rsidR="00D136BB">
        <w:rPr>
          <w:lang w:val="es-ES"/>
        </w:rPr>
        <w:t xml:space="preserve"> </w:t>
      </w:r>
      <w:r w:rsidRPr="003618E2">
        <w:rPr>
          <w:lang w:val="es-ES"/>
        </w:rPr>
        <w:t>tratamiento</w:t>
      </w:r>
      <w:r w:rsidR="00D136BB">
        <w:rPr>
          <w:lang w:val="es-ES"/>
        </w:rPr>
        <w:t xml:space="preserve"> </w:t>
      </w:r>
      <w:r w:rsidRPr="003618E2">
        <w:rPr>
          <w:lang w:val="es-ES"/>
        </w:rPr>
        <w:t>de</w:t>
      </w:r>
      <w:r w:rsidR="00D136BB">
        <w:rPr>
          <w:lang w:val="es-ES"/>
        </w:rPr>
        <w:t xml:space="preserve"> </w:t>
      </w:r>
      <w:r w:rsidRPr="003618E2">
        <w:rPr>
          <w:lang w:val="es-ES"/>
        </w:rPr>
        <w:t>alimentos.</w:t>
      </w:r>
    </w:p>
    <w:p w14:paraId="6C54969E" w14:textId="196EAF18" w:rsidR="006D362C" w:rsidRPr="003618E2" w:rsidRDefault="006D362C" w:rsidP="006D362C">
      <w:pPr>
        <w:pStyle w:val="BodyText"/>
        <w:rPr>
          <w:lang w:val="es-ES"/>
        </w:rPr>
      </w:pPr>
      <w:r w:rsidRPr="003618E2">
        <w:rPr>
          <w:b/>
          <w:lang w:val="es-ES"/>
        </w:rPr>
        <w:t>Objetivo:</w:t>
      </w:r>
      <w:r w:rsidR="00D136BB">
        <w:rPr>
          <w:lang w:val="es-ES"/>
        </w:rPr>
        <w:t xml:space="preserve"> </w:t>
      </w:r>
      <w:r w:rsidRPr="003618E2">
        <w:rPr>
          <w:lang w:val="es-ES"/>
        </w:rPr>
        <w:t>Presentación</w:t>
      </w:r>
      <w:r w:rsidR="00D136BB">
        <w:rPr>
          <w:lang w:val="es-ES"/>
        </w:rPr>
        <w:t xml:space="preserve"> </w:t>
      </w:r>
      <w:r w:rsidRPr="003618E2">
        <w:rPr>
          <w:lang w:val="es-ES"/>
        </w:rPr>
        <w:t>de</w:t>
      </w:r>
      <w:r w:rsidR="00D136BB">
        <w:rPr>
          <w:lang w:val="es-ES"/>
        </w:rPr>
        <w:t xml:space="preserve"> </w:t>
      </w:r>
      <w:r w:rsidRPr="003618E2">
        <w:rPr>
          <w:lang w:val="es-ES"/>
        </w:rPr>
        <w:t>protocolos</w:t>
      </w:r>
      <w:r w:rsidR="00D136BB">
        <w:rPr>
          <w:lang w:val="es-ES"/>
        </w:rPr>
        <w:t xml:space="preserve"> </w:t>
      </w:r>
      <w:r w:rsidRPr="003618E2">
        <w:rPr>
          <w:lang w:val="es-ES"/>
        </w:rPr>
        <w:t>de</w:t>
      </w:r>
      <w:r w:rsidR="00D136BB">
        <w:rPr>
          <w:lang w:val="es-ES"/>
        </w:rPr>
        <w:t xml:space="preserve"> </w:t>
      </w:r>
      <w:r w:rsidRPr="003618E2">
        <w:rPr>
          <w:lang w:val="es-ES"/>
        </w:rPr>
        <w:t>irradiación</w:t>
      </w:r>
      <w:r w:rsidR="00D136BB">
        <w:rPr>
          <w:lang w:val="es-ES"/>
        </w:rPr>
        <w:t xml:space="preserve"> </w:t>
      </w:r>
      <w:r w:rsidRPr="003618E2">
        <w:rPr>
          <w:lang w:val="es-ES"/>
        </w:rPr>
        <w:t>de</w:t>
      </w:r>
      <w:r w:rsidR="00D136BB">
        <w:rPr>
          <w:lang w:val="es-ES"/>
        </w:rPr>
        <w:t xml:space="preserve"> </w:t>
      </w:r>
      <w:r w:rsidRPr="003618E2">
        <w:rPr>
          <w:lang w:val="es-ES"/>
        </w:rPr>
        <w:t>nuevos</w:t>
      </w:r>
      <w:r w:rsidR="00D136BB">
        <w:rPr>
          <w:lang w:val="es-ES"/>
        </w:rPr>
        <w:t xml:space="preserve"> </w:t>
      </w:r>
      <w:r w:rsidRPr="003618E2">
        <w:rPr>
          <w:lang w:val="es-ES"/>
        </w:rPr>
        <w:t>productos</w:t>
      </w:r>
      <w:r w:rsidR="00D136BB">
        <w:rPr>
          <w:lang w:val="es-ES"/>
        </w:rPr>
        <w:t xml:space="preserve"> </w:t>
      </w:r>
      <w:r w:rsidRPr="003618E2">
        <w:rPr>
          <w:lang w:val="es-ES"/>
        </w:rPr>
        <w:t>a</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decisión</w:t>
      </w:r>
      <w:r w:rsidR="00D136BB">
        <w:rPr>
          <w:lang w:val="es-ES"/>
        </w:rPr>
        <w:t xml:space="preserve"> </w:t>
      </w:r>
      <w:r w:rsidRPr="003618E2">
        <w:rPr>
          <w:lang w:val="es-ES"/>
        </w:rPr>
        <w:t>que</w:t>
      </w:r>
      <w:r w:rsidR="00D136BB">
        <w:rPr>
          <w:lang w:val="es-ES"/>
        </w:rPr>
        <w:t xml:space="preserve"> </w:t>
      </w:r>
      <w:r w:rsidRPr="003618E2">
        <w:rPr>
          <w:lang w:val="es-ES"/>
        </w:rPr>
        <w:t>demuestren</w:t>
      </w:r>
      <w:r w:rsidR="00D136BB">
        <w:rPr>
          <w:lang w:val="es-ES"/>
        </w:rPr>
        <w:t xml:space="preserve"> </w:t>
      </w:r>
      <w:r w:rsidRPr="003618E2">
        <w:rPr>
          <w:lang w:val="es-ES"/>
        </w:rPr>
        <w:t>la</w:t>
      </w:r>
      <w:r w:rsidR="00D136BB">
        <w:rPr>
          <w:lang w:val="es-ES"/>
        </w:rPr>
        <w:t xml:space="preserve"> </w:t>
      </w:r>
      <w:r w:rsidRPr="003618E2">
        <w:rPr>
          <w:lang w:val="es-ES"/>
        </w:rPr>
        <w:t>mejora</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calidad,</w:t>
      </w:r>
      <w:r w:rsidR="00D136BB">
        <w:rPr>
          <w:lang w:val="es-ES"/>
        </w:rPr>
        <w:t xml:space="preserve"> </w:t>
      </w:r>
      <w:r w:rsidRPr="003618E2">
        <w:rPr>
          <w:lang w:val="es-ES"/>
        </w:rPr>
        <w:t>tiempo</w:t>
      </w:r>
      <w:r w:rsidR="00D136BB">
        <w:rPr>
          <w:lang w:val="es-ES"/>
        </w:rPr>
        <w:t xml:space="preserve"> </w:t>
      </w:r>
      <w:r w:rsidRPr="003618E2">
        <w:rPr>
          <w:lang w:val="es-ES"/>
        </w:rPr>
        <w:t>de</w:t>
      </w:r>
      <w:r w:rsidR="00D136BB">
        <w:rPr>
          <w:lang w:val="es-ES"/>
        </w:rPr>
        <w:t xml:space="preserve"> </w:t>
      </w:r>
      <w:r w:rsidRPr="003618E2">
        <w:rPr>
          <w:lang w:val="es-ES"/>
        </w:rPr>
        <w:t>anaquel</w:t>
      </w:r>
      <w:r w:rsidR="00D136BB">
        <w:rPr>
          <w:lang w:val="es-ES"/>
        </w:rPr>
        <w:t xml:space="preserve"> </w:t>
      </w:r>
      <w:r w:rsidRPr="003618E2">
        <w:rPr>
          <w:lang w:val="es-ES"/>
        </w:rPr>
        <w:t>de</w:t>
      </w:r>
      <w:r w:rsidR="00D136BB">
        <w:rPr>
          <w:lang w:val="es-ES"/>
        </w:rPr>
        <w:t xml:space="preserve"> </w:t>
      </w:r>
      <w:r w:rsidRPr="003618E2">
        <w:rPr>
          <w:lang w:val="es-ES"/>
        </w:rPr>
        <w:t>alimentos</w:t>
      </w:r>
      <w:r w:rsidR="00D136BB">
        <w:rPr>
          <w:lang w:val="es-ES"/>
        </w:rPr>
        <w:t xml:space="preserve"> </w:t>
      </w:r>
      <w:r w:rsidRPr="003618E2">
        <w:rPr>
          <w:lang w:val="es-ES"/>
        </w:rPr>
        <w:t>estratégicos</w:t>
      </w:r>
      <w:r w:rsidR="00D136BB">
        <w:rPr>
          <w:lang w:val="es-ES"/>
        </w:rPr>
        <w:t xml:space="preserve"> </w:t>
      </w:r>
      <w:r w:rsidRPr="003618E2">
        <w:rPr>
          <w:lang w:val="es-ES"/>
        </w:rPr>
        <w:t>para</w:t>
      </w:r>
      <w:r w:rsidR="00D136BB">
        <w:rPr>
          <w:lang w:val="es-ES"/>
        </w:rPr>
        <w:t xml:space="preserve"> </w:t>
      </w:r>
      <w:r w:rsidRPr="003618E2">
        <w:rPr>
          <w:lang w:val="es-ES"/>
        </w:rPr>
        <w:t>los</w:t>
      </w:r>
      <w:r w:rsidR="00D136BB">
        <w:rPr>
          <w:lang w:val="es-ES"/>
        </w:rPr>
        <w:t xml:space="preserve"> </w:t>
      </w:r>
      <w:r w:rsidRPr="003618E2">
        <w:rPr>
          <w:lang w:val="es-ES"/>
        </w:rPr>
        <w:t>países</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p>
    <w:p w14:paraId="0423234A" w14:textId="5D1FBBC1" w:rsidR="006D362C" w:rsidRPr="003618E2" w:rsidRDefault="006D362C" w:rsidP="006D362C">
      <w:pPr>
        <w:pStyle w:val="BodyText"/>
        <w:rPr>
          <w:lang w:val="es-ES"/>
        </w:rPr>
      </w:pPr>
      <w:r w:rsidRPr="003618E2">
        <w:rPr>
          <w:b/>
          <w:bCs/>
          <w:lang w:val="es-ES"/>
        </w:rPr>
        <w:t>Indicador:</w:t>
      </w:r>
      <w:r w:rsidR="00D136BB">
        <w:rPr>
          <w:lang w:val="es-ES"/>
        </w:rPr>
        <w:t xml:space="preserve"> </w:t>
      </w:r>
      <w:r w:rsidRPr="003618E2">
        <w:rPr>
          <w:lang w:val="es-ES"/>
        </w:rPr>
        <w:t>(1)</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protocolos</w:t>
      </w:r>
      <w:r w:rsidR="00D136BB">
        <w:rPr>
          <w:lang w:val="es-ES"/>
        </w:rPr>
        <w:t xml:space="preserve"> </w:t>
      </w:r>
      <w:r w:rsidRPr="003618E2">
        <w:rPr>
          <w:lang w:val="es-ES"/>
        </w:rPr>
        <w:t>de</w:t>
      </w:r>
      <w:r w:rsidR="00D136BB">
        <w:rPr>
          <w:lang w:val="es-ES"/>
        </w:rPr>
        <w:t xml:space="preserve"> </w:t>
      </w:r>
      <w:r w:rsidRPr="003618E2">
        <w:rPr>
          <w:lang w:val="es-ES"/>
        </w:rPr>
        <w:t>irradiación</w:t>
      </w:r>
      <w:r w:rsidR="00D136BB">
        <w:rPr>
          <w:lang w:val="es-ES"/>
        </w:rPr>
        <w:t xml:space="preserve"> </w:t>
      </w:r>
      <w:r w:rsidRPr="003618E2">
        <w:rPr>
          <w:lang w:val="es-ES"/>
        </w:rPr>
        <w:t>de</w:t>
      </w:r>
      <w:r w:rsidR="00D136BB">
        <w:rPr>
          <w:lang w:val="es-ES"/>
        </w:rPr>
        <w:t xml:space="preserve"> </w:t>
      </w:r>
      <w:r w:rsidRPr="003618E2">
        <w:rPr>
          <w:lang w:val="es-ES"/>
        </w:rPr>
        <w:t>nuevos</w:t>
      </w:r>
      <w:r w:rsidR="00D136BB">
        <w:rPr>
          <w:lang w:val="es-ES"/>
        </w:rPr>
        <w:t xml:space="preserve"> </w:t>
      </w:r>
      <w:r w:rsidRPr="003618E2">
        <w:rPr>
          <w:lang w:val="es-ES"/>
        </w:rPr>
        <w:t>productos.</w:t>
      </w:r>
      <w:r w:rsidR="00D136BB">
        <w:rPr>
          <w:lang w:val="es-ES"/>
        </w:rPr>
        <w:t xml:space="preserve"> </w:t>
      </w:r>
      <w:r w:rsidRPr="003618E2">
        <w:rPr>
          <w:lang w:val="es-ES"/>
        </w:rPr>
        <w:t>(2)</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publicaciones</w:t>
      </w:r>
      <w:r w:rsidR="00D136BB">
        <w:rPr>
          <w:lang w:val="es-ES"/>
        </w:rPr>
        <w:t xml:space="preserve"> </w:t>
      </w:r>
      <w:r w:rsidRPr="003618E2">
        <w:rPr>
          <w:lang w:val="es-ES"/>
        </w:rPr>
        <w:t>científicas</w:t>
      </w:r>
      <w:r w:rsidR="00D136BB">
        <w:rPr>
          <w:lang w:val="es-ES"/>
        </w:rPr>
        <w:t xml:space="preserve"> </w:t>
      </w:r>
      <w:r w:rsidRPr="003618E2">
        <w:rPr>
          <w:lang w:val="es-ES"/>
        </w:rPr>
        <w:t>y</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noticias</w:t>
      </w:r>
      <w:r w:rsidR="00D136BB">
        <w:rPr>
          <w:lang w:val="es-ES"/>
        </w:rPr>
        <w:t xml:space="preserve"> </w:t>
      </w:r>
      <w:r w:rsidRPr="003618E2">
        <w:rPr>
          <w:lang w:val="es-ES"/>
        </w:rPr>
        <w:t>elaboradas</w:t>
      </w:r>
      <w:r w:rsidR="00D136BB">
        <w:rPr>
          <w:lang w:val="es-ES"/>
        </w:rPr>
        <w:t xml:space="preserve"> </w:t>
      </w:r>
      <w:r w:rsidRPr="003618E2">
        <w:rPr>
          <w:lang w:val="es-ES"/>
        </w:rPr>
        <w:t>por</w:t>
      </w:r>
      <w:r w:rsidR="00D136BB">
        <w:rPr>
          <w:lang w:val="es-ES"/>
        </w:rPr>
        <w:t xml:space="preserve"> </w:t>
      </w:r>
      <w:r w:rsidRPr="003618E2">
        <w:rPr>
          <w:lang w:val="es-ES"/>
        </w:rPr>
        <w:t>los</w:t>
      </w:r>
      <w:r w:rsidR="00D136BB">
        <w:rPr>
          <w:lang w:val="es-ES"/>
        </w:rPr>
        <w:t xml:space="preserve"> </w:t>
      </w:r>
      <w:r w:rsidRPr="003618E2">
        <w:rPr>
          <w:lang w:val="es-ES"/>
        </w:rPr>
        <w:t>respectivos</w:t>
      </w:r>
      <w:r w:rsidR="00D136BB">
        <w:rPr>
          <w:lang w:val="es-ES"/>
        </w:rPr>
        <w:t xml:space="preserve"> </w:t>
      </w:r>
      <w:r w:rsidRPr="003618E2">
        <w:rPr>
          <w:lang w:val="es-ES"/>
        </w:rPr>
        <w:t>departamentos</w:t>
      </w:r>
      <w:r w:rsidR="00D136BB">
        <w:rPr>
          <w:lang w:val="es-ES"/>
        </w:rPr>
        <w:t xml:space="preserve"> </w:t>
      </w:r>
      <w:r w:rsidRPr="003618E2">
        <w:rPr>
          <w:lang w:val="es-ES"/>
        </w:rPr>
        <w:t>de</w:t>
      </w:r>
      <w:r w:rsidR="00D136BB">
        <w:rPr>
          <w:lang w:val="es-ES"/>
        </w:rPr>
        <w:t xml:space="preserve"> </w:t>
      </w:r>
      <w:r w:rsidRPr="003618E2">
        <w:rPr>
          <w:lang w:val="es-ES"/>
        </w:rPr>
        <w:t>comunicación</w:t>
      </w:r>
      <w:r w:rsidR="00D136BB">
        <w:rPr>
          <w:lang w:val="es-ES"/>
        </w:rPr>
        <w:t xml:space="preserve"> </w:t>
      </w:r>
      <w:r w:rsidRPr="003618E2">
        <w:rPr>
          <w:lang w:val="es-ES"/>
        </w:rPr>
        <w:t>(divulgación</w:t>
      </w:r>
      <w:r w:rsidR="00D136BB">
        <w:rPr>
          <w:lang w:val="es-ES"/>
        </w:rPr>
        <w:t xml:space="preserve"> </w:t>
      </w:r>
      <w:r w:rsidRPr="003618E2">
        <w:rPr>
          <w:lang w:val="es-ES"/>
        </w:rPr>
        <w:t>técnica</w:t>
      </w:r>
      <w:r w:rsidR="00D136BB">
        <w:rPr>
          <w:lang w:val="es-ES"/>
        </w:rPr>
        <w:t xml:space="preserve"> </w:t>
      </w:r>
      <w:r w:rsidRPr="003618E2">
        <w:rPr>
          <w:lang w:val="es-ES"/>
        </w:rPr>
        <w:t>-periodística).</w:t>
      </w:r>
    </w:p>
    <w:p w14:paraId="530D72F9" w14:textId="43A2AC36" w:rsidR="006D362C" w:rsidRPr="003618E2" w:rsidRDefault="006D362C" w:rsidP="006D362C">
      <w:pPr>
        <w:pStyle w:val="BodyText"/>
        <w:rPr>
          <w:lang w:val="es-ES"/>
        </w:rPr>
      </w:pPr>
      <w:r w:rsidRPr="003618E2">
        <w:rPr>
          <w:b/>
          <w:bCs/>
          <w:lang w:val="es-ES"/>
        </w:rPr>
        <w:lastRenderedPageBreak/>
        <w:t>Línea</w:t>
      </w:r>
      <w:r w:rsidR="00D136BB">
        <w:rPr>
          <w:b/>
          <w:bCs/>
          <w:lang w:val="es-ES"/>
        </w:rPr>
        <w:t xml:space="preserve"> </w:t>
      </w:r>
      <w:r w:rsidRPr="003618E2">
        <w:rPr>
          <w:b/>
          <w:bCs/>
          <w:lang w:val="es-ES"/>
        </w:rPr>
        <w:t>Base</w:t>
      </w:r>
      <w:r w:rsidRPr="003618E2">
        <w:rPr>
          <w:lang w:val="es-ES"/>
        </w:rPr>
        <w:t>:</w:t>
      </w:r>
      <w:r w:rsidR="00D136BB">
        <w:rPr>
          <w:lang w:val="es-ES"/>
        </w:rPr>
        <w:t xml:space="preserve"> </w:t>
      </w:r>
      <w:r w:rsidRPr="003618E2">
        <w:rPr>
          <w:lang w:val="es-ES"/>
        </w:rPr>
        <w:t>02</w:t>
      </w:r>
      <w:r w:rsidR="00D136BB">
        <w:rPr>
          <w:lang w:val="es-ES"/>
        </w:rPr>
        <w:t xml:space="preserve"> </w:t>
      </w:r>
      <w:r w:rsidRPr="003618E2">
        <w:rPr>
          <w:lang w:val="es-ES"/>
        </w:rPr>
        <w:t>protocolos</w:t>
      </w:r>
      <w:r w:rsidR="00D136BB">
        <w:rPr>
          <w:lang w:val="es-ES"/>
        </w:rPr>
        <w:t xml:space="preserve"> </w:t>
      </w:r>
      <w:r w:rsidRPr="003618E2">
        <w:rPr>
          <w:lang w:val="es-ES"/>
        </w:rPr>
        <w:t>de</w:t>
      </w:r>
      <w:r w:rsidR="00D136BB">
        <w:rPr>
          <w:lang w:val="es-ES"/>
        </w:rPr>
        <w:t xml:space="preserve"> </w:t>
      </w:r>
      <w:r w:rsidRPr="003618E2">
        <w:rPr>
          <w:lang w:val="es-ES"/>
        </w:rPr>
        <w:t>irradiación</w:t>
      </w:r>
      <w:r w:rsidR="00D136BB">
        <w:rPr>
          <w:lang w:val="es-ES"/>
        </w:rPr>
        <w:t xml:space="preserve"> </w:t>
      </w:r>
      <w:r w:rsidRPr="003618E2">
        <w:rPr>
          <w:lang w:val="es-ES"/>
        </w:rPr>
        <w:t>por</w:t>
      </w:r>
      <w:r w:rsidR="00D136BB">
        <w:rPr>
          <w:lang w:val="es-ES"/>
        </w:rPr>
        <w:t xml:space="preserve"> </w:t>
      </w:r>
      <w:r w:rsidRPr="003618E2">
        <w:rPr>
          <w:lang w:val="es-ES"/>
        </w:rPr>
        <w:t>país</w:t>
      </w:r>
      <w:r w:rsidR="00D136BB">
        <w:rPr>
          <w:lang w:val="es-ES"/>
        </w:rPr>
        <w:t xml:space="preserve"> </w:t>
      </w:r>
      <w:r w:rsidRPr="003618E2">
        <w:rPr>
          <w:lang w:val="es-ES"/>
        </w:rPr>
        <w:t>participante.</w:t>
      </w:r>
    </w:p>
    <w:p w14:paraId="460090ED" w14:textId="77777777" w:rsidR="006D362C" w:rsidRPr="003618E2" w:rsidRDefault="006D362C" w:rsidP="006D362C">
      <w:pPr>
        <w:pStyle w:val="BodyText"/>
        <w:rPr>
          <w:lang w:val="es-ES"/>
        </w:rPr>
      </w:pPr>
    </w:p>
    <w:p w14:paraId="1EC49F1A" w14:textId="425DC629" w:rsidR="006D362C" w:rsidRPr="003618E2" w:rsidRDefault="006D362C" w:rsidP="006D362C">
      <w:pPr>
        <w:pStyle w:val="BodyText"/>
        <w:numPr>
          <w:ilvl w:val="0"/>
          <w:numId w:val="34"/>
        </w:numPr>
        <w:rPr>
          <w:b/>
          <w:bCs/>
          <w:lang w:val="es-ES"/>
        </w:rPr>
      </w:pPr>
      <w:r w:rsidRPr="003618E2">
        <w:rPr>
          <w:b/>
          <w:bCs/>
          <w:lang w:val="es-ES"/>
        </w:rPr>
        <w:t>Harmonización</w:t>
      </w:r>
      <w:r w:rsidR="00D136BB">
        <w:rPr>
          <w:b/>
          <w:bCs/>
          <w:lang w:val="es-ES"/>
        </w:rPr>
        <w:t xml:space="preserve"> </w:t>
      </w:r>
      <w:r w:rsidRPr="003618E2">
        <w:rPr>
          <w:b/>
          <w:bCs/>
          <w:lang w:val="es-ES"/>
        </w:rPr>
        <w:t>de</w:t>
      </w:r>
      <w:r w:rsidR="00D136BB">
        <w:rPr>
          <w:b/>
          <w:bCs/>
          <w:lang w:val="es-ES"/>
        </w:rPr>
        <w:t xml:space="preserve"> </w:t>
      </w:r>
      <w:r w:rsidRPr="003618E2">
        <w:rPr>
          <w:b/>
          <w:bCs/>
          <w:lang w:val="es-ES"/>
        </w:rPr>
        <w:t>sistemas</w:t>
      </w:r>
      <w:r w:rsidR="00D136BB">
        <w:rPr>
          <w:b/>
          <w:bCs/>
          <w:lang w:val="es-ES"/>
        </w:rPr>
        <w:t xml:space="preserve"> </w:t>
      </w:r>
      <w:r w:rsidRPr="003618E2">
        <w:rPr>
          <w:b/>
          <w:bCs/>
          <w:lang w:val="es-ES"/>
        </w:rPr>
        <w:t>de</w:t>
      </w:r>
      <w:r w:rsidR="00D136BB">
        <w:rPr>
          <w:b/>
          <w:bCs/>
          <w:lang w:val="es-ES"/>
        </w:rPr>
        <w:t xml:space="preserve"> </w:t>
      </w:r>
      <w:r w:rsidRPr="003618E2">
        <w:rPr>
          <w:b/>
          <w:bCs/>
          <w:lang w:val="es-ES"/>
        </w:rPr>
        <w:t>control</w:t>
      </w:r>
      <w:r w:rsidR="00D136BB">
        <w:rPr>
          <w:b/>
          <w:bCs/>
          <w:lang w:val="es-ES"/>
        </w:rPr>
        <w:t xml:space="preserve"> </w:t>
      </w:r>
      <w:r w:rsidRPr="003618E2">
        <w:rPr>
          <w:b/>
          <w:bCs/>
          <w:lang w:val="es-ES"/>
        </w:rPr>
        <w:t>y</w:t>
      </w:r>
      <w:r w:rsidR="00D136BB">
        <w:rPr>
          <w:b/>
          <w:bCs/>
          <w:lang w:val="es-ES"/>
        </w:rPr>
        <w:t xml:space="preserve"> </w:t>
      </w:r>
      <w:r w:rsidRPr="003618E2">
        <w:rPr>
          <w:b/>
          <w:bCs/>
          <w:lang w:val="es-ES"/>
        </w:rPr>
        <w:t>gestión</w:t>
      </w:r>
      <w:r w:rsidR="00D136BB">
        <w:rPr>
          <w:b/>
          <w:bCs/>
          <w:lang w:val="es-ES"/>
        </w:rPr>
        <w:t xml:space="preserve"> </w:t>
      </w:r>
      <w:r w:rsidRPr="003618E2">
        <w:rPr>
          <w:b/>
          <w:bCs/>
          <w:lang w:val="es-ES"/>
        </w:rPr>
        <w:t>de</w:t>
      </w:r>
      <w:r w:rsidR="00D136BB">
        <w:rPr>
          <w:b/>
          <w:bCs/>
          <w:lang w:val="es-ES"/>
        </w:rPr>
        <w:t xml:space="preserve"> </w:t>
      </w:r>
      <w:r w:rsidRPr="003618E2">
        <w:rPr>
          <w:b/>
          <w:bCs/>
          <w:lang w:val="es-ES"/>
        </w:rPr>
        <w:t>calidad</w:t>
      </w:r>
      <w:r w:rsidR="00D136BB">
        <w:rPr>
          <w:b/>
          <w:bCs/>
          <w:lang w:val="es-ES"/>
        </w:rPr>
        <w:t xml:space="preserve"> </w:t>
      </w:r>
      <w:r w:rsidRPr="003618E2">
        <w:rPr>
          <w:b/>
          <w:bCs/>
          <w:lang w:val="es-ES"/>
        </w:rPr>
        <w:t>en</w:t>
      </w:r>
      <w:r w:rsidR="00D136BB">
        <w:rPr>
          <w:b/>
          <w:bCs/>
          <w:lang w:val="es-ES"/>
        </w:rPr>
        <w:t xml:space="preserve"> </w:t>
      </w:r>
      <w:r w:rsidRPr="003618E2">
        <w:rPr>
          <w:b/>
          <w:bCs/>
          <w:lang w:val="es-ES"/>
        </w:rPr>
        <w:t>irradiadores</w:t>
      </w:r>
      <w:r w:rsidR="00D136BB">
        <w:rPr>
          <w:b/>
          <w:bCs/>
          <w:lang w:val="es-ES"/>
        </w:rPr>
        <w:t xml:space="preserve"> </w:t>
      </w:r>
      <w:r w:rsidRPr="003618E2">
        <w:rPr>
          <w:b/>
          <w:bCs/>
          <w:lang w:val="es-ES"/>
        </w:rPr>
        <w:t>(QA/QC)</w:t>
      </w:r>
      <w:r w:rsidR="00D136BB">
        <w:rPr>
          <w:b/>
          <w:bCs/>
          <w:lang w:val="es-ES"/>
        </w:rPr>
        <w:t xml:space="preserve"> </w:t>
      </w:r>
      <w:r w:rsidRPr="003618E2">
        <w:rPr>
          <w:b/>
          <w:bCs/>
          <w:lang w:val="es-ES"/>
        </w:rPr>
        <w:t>e</w:t>
      </w:r>
      <w:r w:rsidR="00D136BB">
        <w:rPr>
          <w:b/>
          <w:bCs/>
          <w:lang w:val="es-ES"/>
        </w:rPr>
        <w:t xml:space="preserve"> </w:t>
      </w:r>
      <w:r w:rsidRPr="003618E2">
        <w:rPr>
          <w:b/>
          <w:bCs/>
          <w:lang w:val="es-ES"/>
        </w:rPr>
        <w:t>inter-comparaciones</w:t>
      </w:r>
      <w:r w:rsidR="00D136BB">
        <w:rPr>
          <w:b/>
          <w:bCs/>
          <w:lang w:val="es-ES"/>
        </w:rPr>
        <w:t xml:space="preserve"> </w:t>
      </w:r>
      <w:r w:rsidRPr="003618E2">
        <w:rPr>
          <w:b/>
          <w:bCs/>
          <w:lang w:val="es-ES"/>
        </w:rPr>
        <w:t>dosimétricas</w:t>
      </w:r>
    </w:p>
    <w:p w14:paraId="78187B76" w14:textId="30BB44A0" w:rsidR="006D362C" w:rsidRPr="003618E2" w:rsidRDefault="006D362C" w:rsidP="006D362C">
      <w:pPr>
        <w:pStyle w:val="BodyText"/>
        <w:rPr>
          <w:lang w:val="es-ES"/>
        </w:rPr>
      </w:pPr>
      <w:r w:rsidRPr="003618E2">
        <w:rPr>
          <w:b/>
          <w:bCs/>
          <w:lang w:val="es-ES"/>
        </w:rPr>
        <w:t>Justificación:</w:t>
      </w:r>
      <w:r w:rsidR="00D136BB">
        <w:rPr>
          <w:lang w:val="es-ES"/>
        </w:rPr>
        <w:t xml:space="preserve"> </w:t>
      </w:r>
      <w:r w:rsidRPr="003618E2">
        <w:rPr>
          <w:lang w:val="es-ES"/>
        </w:rPr>
        <w:t>Armonizar</w:t>
      </w:r>
      <w:r w:rsidR="00D136BB">
        <w:rPr>
          <w:lang w:val="es-ES"/>
        </w:rPr>
        <w:t xml:space="preserve"> </w:t>
      </w:r>
      <w:r w:rsidRPr="003618E2">
        <w:rPr>
          <w:lang w:val="es-ES"/>
        </w:rPr>
        <w:t>los</w:t>
      </w:r>
      <w:r w:rsidR="00D136BB">
        <w:rPr>
          <w:lang w:val="es-ES"/>
        </w:rPr>
        <w:t xml:space="preserve"> </w:t>
      </w:r>
      <w:r w:rsidRPr="003618E2">
        <w:rPr>
          <w:lang w:val="es-ES"/>
        </w:rPr>
        <w:t>procedimientos</w:t>
      </w:r>
      <w:r w:rsidR="00D136BB">
        <w:rPr>
          <w:lang w:val="es-ES"/>
        </w:rPr>
        <w:t xml:space="preserve"> </w:t>
      </w:r>
      <w:r w:rsidRPr="003618E2">
        <w:rPr>
          <w:lang w:val="es-ES"/>
        </w:rPr>
        <w:t>de</w:t>
      </w:r>
      <w:r w:rsidR="00D136BB">
        <w:rPr>
          <w:lang w:val="es-ES"/>
        </w:rPr>
        <w:t xml:space="preserve"> </w:t>
      </w:r>
      <w:r w:rsidRPr="003618E2">
        <w:rPr>
          <w:lang w:val="es-ES"/>
        </w:rPr>
        <w:t>gestión</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(QC</w:t>
      </w:r>
      <w:r w:rsidR="00D136BB">
        <w:rPr>
          <w:lang w:val="es-ES"/>
        </w:rPr>
        <w:t xml:space="preserve"> </w:t>
      </w:r>
      <w:r w:rsidRPr="003618E2">
        <w:rPr>
          <w:lang w:val="es-ES"/>
        </w:rPr>
        <w:t>/</w:t>
      </w:r>
      <w:r w:rsidR="00D136BB">
        <w:rPr>
          <w:lang w:val="es-ES"/>
        </w:rPr>
        <w:t xml:space="preserve"> </w:t>
      </w:r>
      <w:r w:rsidRPr="003618E2">
        <w:rPr>
          <w:lang w:val="es-ES"/>
        </w:rPr>
        <w:t>QA)</w:t>
      </w:r>
      <w:r w:rsidR="00D136BB">
        <w:rPr>
          <w:lang w:val="es-ES"/>
        </w:rPr>
        <w:t xml:space="preserve"> </w:t>
      </w:r>
      <w:r w:rsidRPr="003618E2">
        <w:rPr>
          <w:lang w:val="es-ES"/>
        </w:rPr>
        <w:t>en</w:t>
      </w:r>
      <w:r w:rsidR="00D136BB">
        <w:rPr>
          <w:lang w:val="es-ES"/>
        </w:rPr>
        <w:t xml:space="preserve"> </w:t>
      </w:r>
      <w:r w:rsidRPr="003618E2">
        <w:rPr>
          <w:lang w:val="es-ES"/>
        </w:rPr>
        <w:t>irradiadores</w:t>
      </w:r>
      <w:r w:rsidR="00D136BB">
        <w:rPr>
          <w:lang w:val="es-ES"/>
        </w:rPr>
        <w:t xml:space="preserve"> </w:t>
      </w:r>
      <w:r w:rsidRPr="003618E2">
        <w:rPr>
          <w:lang w:val="es-ES"/>
        </w:rPr>
        <w:t>para</w:t>
      </w:r>
      <w:r w:rsidR="00D136BB">
        <w:rPr>
          <w:lang w:val="es-ES"/>
        </w:rPr>
        <w:t xml:space="preserve"> </w:t>
      </w:r>
      <w:r w:rsidRPr="003618E2">
        <w:rPr>
          <w:lang w:val="es-ES"/>
        </w:rPr>
        <w:t>reducir</w:t>
      </w:r>
      <w:r w:rsidR="00D136BB">
        <w:rPr>
          <w:lang w:val="es-ES"/>
        </w:rPr>
        <w:t xml:space="preserve"> </w:t>
      </w:r>
      <w:r w:rsidRPr="003618E2">
        <w:rPr>
          <w:lang w:val="es-ES"/>
        </w:rPr>
        <w:t>las</w:t>
      </w:r>
      <w:r w:rsidR="00D136BB">
        <w:rPr>
          <w:lang w:val="es-ES"/>
        </w:rPr>
        <w:t xml:space="preserve"> </w:t>
      </w:r>
      <w:r w:rsidRPr="003618E2">
        <w:rPr>
          <w:lang w:val="es-ES"/>
        </w:rPr>
        <w:t>deficiencias</w:t>
      </w:r>
      <w:r w:rsidR="00D136BB">
        <w:rPr>
          <w:lang w:val="es-ES"/>
        </w:rPr>
        <w:t xml:space="preserve"> </w:t>
      </w:r>
      <w:r w:rsidRPr="003618E2">
        <w:rPr>
          <w:lang w:val="es-ES"/>
        </w:rPr>
        <w:t>y</w:t>
      </w:r>
      <w:r w:rsidR="00D136BB">
        <w:rPr>
          <w:lang w:val="es-ES"/>
        </w:rPr>
        <w:t xml:space="preserve"> </w:t>
      </w:r>
      <w:r w:rsidRPr="003618E2">
        <w:rPr>
          <w:lang w:val="es-ES"/>
        </w:rPr>
        <w:t>las</w:t>
      </w:r>
      <w:r w:rsidR="00D136BB">
        <w:rPr>
          <w:lang w:val="es-ES"/>
        </w:rPr>
        <w:t xml:space="preserve"> </w:t>
      </w:r>
      <w:r w:rsidRPr="003618E2">
        <w:rPr>
          <w:lang w:val="es-ES"/>
        </w:rPr>
        <w:t>barreras</w:t>
      </w:r>
      <w:r w:rsidR="00D136BB">
        <w:rPr>
          <w:lang w:val="es-ES"/>
        </w:rPr>
        <w:t xml:space="preserve"> </w:t>
      </w:r>
      <w:r w:rsidRPr="003618E2">
        <w:rPr>
          <w:lang w:val="es-ES"/>
        </w:rPr>
        <w:t>comerciales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dentro</w:t>
      </w:r>
      <w:r w:rsidR="00D136BB">
        <w:rPr>
          <w:lang w:val="es-ES"/>
        </w:rPr>
        <w:t xml:space="preserve"> </w:t>
      </w:r>
      <w:r w:rsidRPr="003618E2">
        <w:rPr>
          <w:lang w:val="es-ES"/>
        </w:rPr>
        <w:t>de</w:t>
      </w:r>
      <w:r w:rsidR="00D136BB">
        <w:rPr>
          <w:lang w:val="es-ES"/>
        </w:rPr>
        <w:t xml:space="preserve"> </w:t>
      </w:r>
      <w:r w:rsidRPr="003618E2">
        <w:rPr>
          <w:lang w:val="es-ES"/>
        </w:rPr>
        <w:t>un</w:t>
      </w:r>
      <w:r w:rsidR="00D136BB">
        <w:rPr>
          <w:lang w:val="es-ES"/>
        </w:rPr>
        <w:t xml:space="preserve"> </w:t>
      </w:r>
      <w:r w:rsidRPr="003618E2">
        <w:rPr>
          <w:lang w:val="es-ES"/>
        </w:rPr>
        <w:t>contexto</w:t>
      </w:r>
      <w:r w:rsidR="00D136BB">
        <w:rPr>
          <w:lang w:val="es-ES"/>
        </w:rPr>
        <w:t xml:space="preserve"> </w:t>
      </w:r>
      <w:r w:rsidRPr="003618E2">
        <w:rPr>
          <w:lang w:val="es-ES"/>
        </w:rPr>
        <w:t>de</w:t>
      </w:r>
      <w:r w:rsidR="00D136BB">
        <w:rPr>
          <w:lang w:val="es-ES"/>
        </w:rPr>
        <w:t xml:space="preserve"> </w:t>
      </w:r>
      <w:r w:rsidRPr="003618E2">
        <w:rPr>
          <w:lang w:val="es-ES"/>
        </w:rPr>
        <w:t>comercio</w:t>
      </w:r>
      <w:r w:rsidR="00D136BB">
        <w:rPr>
          <w:lang w:val="es-ES"/>
        </w:rPr>
        <w:t xml:space="preserve"> </w:t>
      </w:r>
      <w:r w:rsidRPr="003618E2">
        <w:rPr>
          <w:lang w:val="es-ES"/>
        </w:rPr>
        <w:t>internacional.</w:t>
      </w:r>
      <w:r w:rsidR="00D136BB">
        <w:rPr>
          <w:lang w:val="es-ES"/>
        </w:rPr>
        <w:t xml:space="preserve"> </w:t>
      </w:r>
      <w:r w:rsidRPr="003618E2">
        <w:rPr>
          <w:lang w:val="es-ES"/>
        </w:rPr>
        <w:t>Actualmente</w:t>
      </w:r>
      <w:r w:rsidR="00D136BB">
        <w:rPr>
          <w:lang w:val="es-ES"/>
        </w:rPr>
        <w:t xml:space="preserve"> </w:t>
      </w:r>
      <w:r w:rsidRPr="003618E2">
        <w:rPr>
          <w:lang w:val="es-ES"/>
        </w:rPr>
        <w:t>el</w:t>
      </w:r>
      <w:r w:rsidR="00D136BB">
        <w:rPr>
          <w:lang w:val="es-ES"/>
        </w:rPr>
        <w:t xml:space="preserve"> </w:t>
      </w:r>
      <w:r w:rsidRPr="003618E2">
        <w:rPr>
          <w:lang w:val="es-ES"/>
        </w:rPr>
        <w:t>comercio</w:t>
      </w:r>
      <w:r w:rsidR="00D136BB">
        <w:rPr>
          <w:lang w:val="es-ES"/>
        </w:rPr>
        <w:t xml:space="preserve"> </w:t>
      </w:r>
      <w:r w:rsidRPr="003618E2">
        <w:rPr>
          <w:lang w:val="es-ES"/>
        </w:rPr>
        <w:t>internacional</w:t>
      </w:r>
      <w:r w:rsidR="00D136BB">
        <w:rPr>
          <w:lang w:val="es-ES"/>
        </w:rPr>
        <w:t xml:space="preserve"> </w:t>
      </w:r>
      <w:r w:rsidRPr="003618E2">
        <w:rPr>
          <w:lang w:val="es-ES"/>
        </w:rPr>
        <w:t>es</w:t>
      </w:r>
      <w:r w:rsidR="00D136BB">
        <w:rPr>
          <w:lang w:val="es-ES"/>
        </w:rPr>
        <w:t xml:space="preserve"> </w:t>
      </w:r>
      <w:r w:rsidRPr="003618E2">
        <w:rPr>
          <w:lang w:val="es-ES"/>
        </w:rPr>
        <w:t>muy</w:t>
      </w:r>
      <w:r w:rsidR="00D136BB">
        <w:rPr>
          <w:lang w:val="es-ES"/>
        </w:rPr>
        <w:t xml:space="preserve"> </w:t>
      </w:r>
      <w:r w:rsidRPr="003618E2">
        <w:rPr>
          <w:lang w:val="es-ES"/>
        </w:rPr>
        <w:t>exigente</w:t>
      </w:r>
      <w:r w:rsidR="00D136BB">
        <w:rPr>
          <w:lang w:val="es-ES"/>
        </w:rPr>
        <w:t xml:space="preserve"> </w:t>
      </w:r>
      <w:r w:rsidRPr="003618E2">
        <w:rPr>
          <w:lang w:val="es-ES"/>
        </w:rPr>
        <w:t>y</w:t>
      </w:r>
      <w:r w:rsidR="00D136BB">
        <w:rPr>
          <w:lang w:val="es-ES"/>
        </w:rPr>
        <w:t xml:space="preserve"> </w:t>
      </w:r>
      <w:r w:rsidRPr="003618E2">
        <w:rPr>
          <w:lang w:val="es-ES"/>
        </w:rPr>
        <w:t>se</w:t>
      </w:r>
      <w:r w:rsidR="00D136BB">
        <w:rPr>
          <w:lang w:val="es-ES"/>
        </w:rPr>
        <w:t xml:space="preserve"> </w:t>
      </w:r>
      <w:r w:rsidRPr="003618E2">
        <w:rPr>
          <w:lang w:val="es-ES"/>
        </w:rPr>
        <w:t>requiere</w:t>
      </w:r>
      <w:r w:rsidR="00D136BB">
        <w:rPr>
          <w:lang w:val="es-ES"/>
        </w:rPr>
        <w:t xml:space="preserve"> </w:t>
      </w:r>
      <w:r w:rsidRPr="003618E2">
        <w:rPr>
          <w:lang w:val="es-ES"/>
        </w:rPr>
        <w:t>la</w:t>
      </w:r>
      <w:r w:rsidR="00D136BB">
        <w:rPr>
          <w:lang w:val="es-ES"/>
        </w:rPr>
        <w:t xml:space="preserve"> </w:t>
      </w:r>
      <w:r w:rsidRPr="003618E2">
        <w:rPr>
          <w:lang w:val="es-ES"/>
        </w:rPr>
        <w:t>certificación</w:t>
      </w:r>
      <w:r w:rsidR="00D136BB">
        <w:rPr>
          <w:lang w:val="es-ES"/>
        </w:rPr>
        <w:t xml:space="preserve"> </w:t>
      </w:r>
      <w:r w:rsidRPr="003618E2">
        <w:rPr>
          <w:lang w:val="es-ES"/>
        </w:rPr>
        <w:t>de</w:t>
      </w:r>
      <w:r w:rsidR="00D136BB">
        <w:rPr>
          <w:lang w:val="es-ES"/>
        </w:rPr>
        <w:t xml:space="preserve"> </w:t>
      </w:r>
      <w:r w:rsidRPr="003618E2">
        <w:rPr>
          <w:lang w:val="es-ES"/>
        </w:rPr>
        <w:t>acuerdo</w:t>
      </w:r>
      <w:r w:rsidR="00D136BB">
        <w:rPr>
          <w:lang w:val="es-ES"/>
        </w:rPr>
        <w:t xml:space="preserve"> </w:t>
      </w:r>
      <w:r w:rsidRPr="003618E2">
        <w:rPr>
          <w:lang w:val="es-ES"/>
        </w:rPr>
        <w:t>a</w:t>
      </w:r>
      <w:r w:rsidR="00D136BB">
        <w:rPr>
          <w:lang w:val="es-ES"/>
        </w:rPr>
        <w:t xml:space="preserve"> </w:t>
      </w:r>
      <w:r w:rsidRPr="003618E2">
        <w:rPr>
          <w:lang w:val="es-ES"/>
        </w:rPr>
        <w:t>las</w:t>
      </w:r>
      <w:r w:rsidR="00D136BB">
        <w:rPr>
          <w:lang w:val="es-ES"/>
        </w:rPr>
        <w:t xml:space="preserve"> </w:t>
      </w:r>
      <w:r w:rsidRPr="003618E2">
        <w:rPr>
          <w:lang w:val="es-ES"/>
        </w:rPr>
        <w:t>normas</w:t>
      </w:r>
      <w:r w:rsidR="00D136BB">
        <w:rPr>
          <w:lang w:val="es-ES"/>
        </w:rPr>
        <w:t xml:space="preserve"> </w:t>
      </w:r>
      <w:r w:rsidRPr="003618E2">
        <w:rPr>
          <w:lang w:val="es-ES"/>
        </w:rPr>
        <w:t>ISO</w:t>
      </w:r>
      <w:r w:rsidR="00D136BB">
        <w:rPr>
          <w:lang w:val="es-ES"/>
        </w:rPr>
        <w:t xml:space="preserve"> </w:t>
      </w:r>
      <w:r w:rsidRPr="003618E2">
        <w:rPr>
          <w:lang w:val="es-ES"/>
        </w:rPr>
        <w:t>(9001:2015/satisfacción</w:t>
      </w:r>
      <w:r w:rsidR="00D136BB">
        <w:rPr>
          <w:lang w:val="es-ES"/>
        </w:rPr>
        <w:t xml:space="preserve"> </w:t>
      </w:r>
      <w:r w:rsidRPr="003618E2">
        <w:rPr>
          <w:lang w:val="es-ES"/>
        </w:rPr>
        <w:t>al</w:t>
      </w:r>
      <w:r w:rsidR="00D136BB">
        <w:rPr>
          <w:lang w:val="es-ES"/>
        </w:rPr>
        <w:t xml:space="preserve"> </w:t>
      </w:r>
      <w:r w:rsidRPr="003618E2">
        <w:rPr>
          <w:lang w:val="es-ES"/>
        </w:rPr>
        <w:t>cliente,</w:t>
      </w:r>
      <w:r w:rsidR="00D136BB">
        <w:rPr>
          <w:lang w:val="es-ES"/>
        </w:rPr>
        <w:t xml:space="preserve"> </w:t>
      </w:r>
      <w:r w:rsidRPr="003618E2">
        <w:rPr>
          <w:lang w:val="es-ES"/>
        </w:rPr>
        <w:t>11137/esterilización</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médicos,</w:t>
      </w:r>
      <w:r w:rsidR="00D136BB">
        <w:rPr>
          <w:lang w:val="es-ES"/>
        </w:rPr>
        <w:t xml:space="preserve"> </w:t>
      </w:r>
      <w:r w:rsidRPr="003618E2">
        <w:rPr>
          <w:lang w:val="es-ES"/>
        </w:rPr>
        <w:t>14470/alimentos).</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no</w:t>
      </w:r>
      <w:r w:rsidR="00D136BB">
        <w:rPr>
          <w:lang w:val="es-ES"/>
        </w:rPr>
        <w:t xml:space="preserve"> </w:t>
      </w:r>
      <w:r w:rsidRPr="003618E2">
        <w:rPr>
          <w:lang w:val="es-ES"/>
        </w:rPr>
        <w:t>cuenta</w:t>
      </w:r>
      <w:r w:rsidR="00D136BB">
        <w:rPr>
          <w:lang w:val="es-ES"/>
        </w:rPr>
        <w:t xml:space="preserve"> </w:t>
      </w:r>
      <w:r w:rsidRPr="003618E2">
        <w:rPr>
          <w:lang w:val="es-ES"/>
        </w:rPr>
        <w:t>con</w:t>
      </w:r>
      <w:r w:rsidR="00D136BB">
        <w:rPr>
          <w:lang w:val="es-ES"/>
        </w:rPr>
        <w:t xml:space="preserve"> </w:t>
      </w:r>
      <w:r w:rsidRPr="003618E2">
        <w:rPr>
          <w:lang w:val="es-ES"/>
        </w:rPr>
        <w:t>un</w:t>
      </w:r>
      <w:r w:rsidR="00D136BB">
        <w:rPr>
          <w:lang w:val="es-ES"/>
        </w:rPr>
        <w:t xml:space="preserve"> </w:t>
      </w:r>
      <w:r w:rsidRPr="003618E2">
        <w:rPr>
          <w:lang w:val="es-ES"/>
        </w:rPr>
        <w:t>centro</w:t>
      </w:r>
      <w:r w:rsidR="00D136BB">
        <w:rPr>
          <w:lang w:val="es-ES"/>
        </w:rPr>
        <w:t xml:space="preserve"> </w:t>
      </w:r>
      <w:r w:rsidRPr="003618E2">
        <w:rPr>
          <w:lang w:val="es-ES"/>
        </w:rPr>
        <w:t>de</w:t>
      </w:r>
      <w:r w:rsidR="00D136BB">
        <w:rPr>
          <w:lang w:val="es-ES"/>
        </w:rPr>
        <w:t xml:space="preserve"> </w:t>
      </w:r>
      <w:r w:rsidRPr="003618E2">
        <w:rPr>
          <w:lang w:val="es-ES"/>
        </w:rPr>
        <w:t>metrología</w:t>
      </w:r>
      <w:r w:rsidR="00D136BB">
        <w:rPr>
          <w:lang w:val="es-ES"/>
        </w:rPr>
        <w:t xml:space="preserve"> </w:t>
      </w:r>
      <w:r w:rsidRPr="003618E2">
        <w:rPr>
          <w:lang w:val="es-ES"/>
        </w:rPr>
        <w:t>primaria</w:t>
      </w:r>
      <w:r w:rsidR="00D136BB">
        <w:rPr>
          <w:lang w:val="es-ES"/>
        </w:rPr>
        <w:t xml:space="preserve"> </w:t>
      </w:r>
      <w:r w:rsidRPr="003618E2">
        <w:rPr>
          <w:lang w:val="es-ES"/>
        </w:rPr>
        <w:t>para</w:t>
      </w:r>
      <w:r w:rsidR="00D136BB">
        <w:rPr>
          <w:lang w:val="es-ES"/>
        </w:rPr>
        <w:t xml:space="preserve"> </w:t>
      </w:r>
      <w:r w:rsidRPr="003618E2">
        <w:rPr>
          <w:lang w:val="es-ES"/>
        </w:rPr>
        <w:t>medida</w:t>
      </w:r>
      <w:r w:rsidR="00D136BB">
        <w:rPr>
          <w:lang w:val="es-ES"/>
        </w:rPr>
        <w:t xml:space="preserve"> </w:t>
      </w:r>
      <w:r w:rsidRPr="003618E2">
        <w:rPr>
          <w:lang w:val="es-ES"/>
        </w:rPr>
        <w:t>de</w:t>
      </w:r>
      <w:r w:rsidR="00D136BB">
        <w:rPr>
          <w:lang w:val="es-ES"/>
        </w:rPr>
        <w:t xml:space="preserve"> </w:t>
      </w:r>
      <w:r w:rsidRPr="003618E2">
        <w:rPr>
          <w:lang w:val="es-ES"/>
        </w:rPr>
        <w:t>radiación</w:t>
      </w:r>
      <w:r w:rsidR="00D136BB">
        <w:rPr>
          <w:lang w:val="es-ES"/>
        </w:rPr>
        <w:t xml:space="preserve"> </w:t>
      </w:r>
      <w:r w:rsidRPr="003618E2">
        <w:rPr>
          <w:lang w:val="es-ES"/>
        </w:rPr>
        <w:t>de</w:t>
      </w:r>
      <w:r w:rsidR="00D136BB">
        <w:rPr>
          <w:lang w:val="es-ES"/>
        </w:rPr>
        <w:t xml:space="preserve"> </w:t>
      </w:r>
      <w:r w:rsidRPr="003618E2">
        <w:rPr>
          <w:lang w:val="es-ES"/>
        </w:rPr>
        <w:t>altas</w:t>
      </w:r>
      <w:r w:rsidR="00D136BB">
        <w:rPr>
          <w:lang w:val="es-ES"/>
        </w:rPr>
        <w:t xml:space="preserve"> </w:t>
      </w:r>
      <w:r w:rsidRPr="003618E2">
        <w:rPr>
          <w:lang w:val="es-ES"/>
        </w:rPr>
        <w:t>dosis.</w:t>
      </w:r>
      <w:r w:rsidR="00D136BB">
        <w:rPr>
          <w:lang w:val="es-ES"/>
        </w:rPr>
        <w:t xml:space="preserve"> </w:t>
      </w:r>
      <w:r w:rsidRPr="003618E2">
        <w:rPr>
          <w:lang w:val="es-ES"/>
        </w:rPr>
        <w:t>Es</w:t>
      </w:r>
      <w:r w:rsidR="00D136BB">
        <w:rPr>
          <w:lang w:val="es-ES"/>
        </w:rPr>
        <w:t xml:space="preserve"> </w:t>
      </w:r>
      <w:r w:rsidRPr="003618E2">
        <w:rPr>
          <w:lang w:val="es-ES"/>
        </w:rPr>
        <w:t>necesario</w:t>
      </w:r>
      <w:r w:rsidR="00D136BB">
        <w:rPr>
          <w:lang w:val="es-ES"/>
        </w:rPr>
        <w:t xml:space="preserve"> </w:t>
      </w:r>
      <w:r w:rsidRPr="003618E2">
        <w:rPr>
          <w:lang w:val="es-ES"/>
        </w:rPr>
        <w:t>difundir</w:t>
      </w:r>
      <w:r w:rsidR="00D136BB">
        <w:rPr>
          <w:lang w:val="es-ES"/>
        </w:rPr>
        <w:t xml:space="preserve"> </w:t>
      </w:r>
      <w:r w:rsidRPr="003618E2">
        <w:rPr>
          <w:lang w:val="es-ES"/>
        </w:rPr>
        <w:t>y</w:t>
      </w:r>
      <w:r w:rsidR="00D136BB">
        <w:rPr>
          <w:lang w:val="es-ES"/>
        </w:rPr>
        <w:t xml:space="preserve"> </w:t>
      </w:r>
      <w:r w:rsidRPr="003618E2">
        <w:rPr>
          <w:lang w:val="es-ES"/>
        </w:rPr>
        <w:t>promover</w:t>
      </w:r>
      <w:r w:rsidR="00D136BB">
        <w:rPr>
          <w:lang w:val="es-ES"/>
        </w:rPr>
        <w:t xml:space="preserve"> </w:t>
      </w:r>
      <w:r w:rsidRPr="003618E2">
        <w:rPr>
          <w:lang w:val="es-ES"/>
        </w:rPr>
        <w:t>(usuarios,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decisiones),</w:t>
      </w:r>
      <w:r w:rsidR="00D136BB">
        <w:rPr>
          <w:lang w:val="es-ES"/>
        </w:rPr>
        <w:t xml:space="preserve"> </w:t>
      </w:r>
      <w:r w:rsidRPr="003618E2">
        <w:rPr>
          <w:lang w:val="es-ES"/>
        </w:rPr>
        <w:t>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p>
    <w:p w14:paraId="5E4567F5" w14:textId="7D0023C4" w:rsidR="006D362C" w:rsidRPr="003618E2" w:rsidRDefault="006D362C" w:rsidP="006D362C">
      <w:pPr>
        <w:pStyle w:val="BodyText"/>
        <w:rPr>
          <w:lang w:val="es-ES"/>
        </w:rPr>
      </w:pPr>
      <w:r w:rsidRPr="003618E2">
        <w:rPr>
          <w:b/>
          <w:lang w:val="es-ES"/>
        </w:rPr>
        <w:t>Objetivo:</w:t>
      </w:r>
      <w:r w:rsidR="00D136BB">
        <w:rPr>
          <w:lang w:val="es-ES"/>
        </w:rPr>
        <w:t xml:space="preserve"> </w:t>
      </w:r>
      <w:r w:rsidRPr="003618E2">
        <w:rPr>
          <w:lang w:val="es-ES"/>
        </w:rPr>
        <w:t>Implementar</w:t>
      </w:r>
      <w:r w:rsidR="00D136BB">
        <w:rPr>
          <w:lang w:val="es-ES"/>
        </w:rPr>
        <w:t xml:space="preserve"> </w:t>
      </w:r>
      <w:r w:rsidRPr="003618E2">
        <w:rPr>
          <w:lang w:val="es-ES"/>
        </w:rPr>
        <w:t>los</w:t>
      </w:r>
      <w:r w:rsidR="00D136BB">
        <w:rPr>
          <w:lang w:val="es-ES"/>
        </w:rPr>
        <w:t xml:space="preserve"> </w:t>
      </w:r>
      <w:r w:rsidRPr="003618E2">
        <w:rPr>
          <w:lang w:val="es-ES"/>
        </w:rPr>
        <w:t>procedimientos</w:t>
      </w:r>
      <w:r w:rsidR="00D136BB">
        <w:rPr>
          <w:lang w:val="es-ES"/>
        </w:rPr>
        <w:t xml:space="preserve"> </w:t>
      </w:r>
      <w:r w:rsidRPr="003618E2">
        <w:rPr>
          <w:lang w:val="es-ES"/>
        </w:rPr>
        <w:t>armonizados</w:t>
      </w:r>
      <w:r w:rsidR="00D136BB">
        <w:rPr>
          <w:lang w:val="es-ES"/>
        </w:rPr>
        <w:t xml:space="preserve"> </w:t>
      </w:r>
      <w:r w:rsidRPr="003618E2">
        <w:rPr>
          <w:lang w:val="es-ES"/>
        </w:rPr>
        <w:t>de</w:t>
      </w:r>
      <w:r w:rsidR="00D136BB">
        <w:rPr>
          <w:lang w:val="es-ES"/>
        </w:rPr>
        <w:t xml:space="preserve"> </w:t>
      </w: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aseguramiento</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y</w:t>
      </w:r>
      <w:r w:rsidR="00D136BB">
        <w:rPr>
          <w:lang w:val="es-ES"/>
        </w:rPr>
        <w:t xml:space="preserve"> </w:t>
      </w:r>
      <w:r w:rsidRPr="003618E2">
        <w:rPr>
          <w:lang w:val="es-ES"/>
        </w:rPr>
        <w:t>gestión</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Realizar</w:t>
      </w:r>
      <w:r w:rsidR="00D136BB">
        <w:rPr>
          <w:lang w:val="es-ES"/>
        </w:rPr>
        <w:t xml:space="preserve"> </w:t>
      </w:r>
      <w:r w:rsidRPr="003618E2">
        <w:rPr>
          <w:lang w:val="es-ES"/>
        </w:rPr>
        <w:t>intercomparaciones</w:t>
      </w:r>
      <w:r w:rsidR="00D136BB">
        <w:rPr>
          <w:lang w:val="es-ES"/>
        </w:rPr>
        <w:t xml:space="preserve"> </w:t>
      </w:r>
      <w:r w:rsidRPr="003618E2">
        <w:rPr>
          <w:lang w:val="es-ES"/>
        </w:rPr>
        <w:t>dosimétricas</w:t>
      </w:r>
      <w:r w:rsidR="00D136BB">
        <w:rPr>
          <w:lang w:val="es-ES"/>
        </w:rPr>
        <w:t xml:space="preserve"> </w:t>
      </w:r>
      <w:r w:rsidRPr="003618E2">
        <w:rPr>
          <w:lang w:val="es-ES"/>
        </w:rPr>
        <w:t>regionales.</w:t>
      </w:r>
    </w:p>
    <w:p w14:paraId="27B21937" w14:textId="426FE510" w:rsidR="006D362C" w:rsidRPr="003618E2" w:rsidRDefault="006D362C" w:rsidP="006D362C">
      <w:pPr>
        <w:pStyle w:val="BodyText"/>
        <w:rPr>
          <w:lang w:val="es-ES"/>
        </w:rPr>
      </w:pPr>
      <w:r w:rsidRPr="003618E2">
        <w:rPr>
          <w:b/>
          <w:bCs/>
          <w:lang w:val="es-ES"/>
        </w:rPr>
        <w:t>Indicador:</w:t>
      </w:r>
      <w:r w:rsidR="00D136BB">
        <w:rPr>
          <w:lang w:val="es-ES"/>
        </w:rPr>
        <w:t xml:space="preserve"> </w:t>
      </w:r>
      <w:r w:rsidRPr="003618E2">
        <w:rPr>
          <w:lang w:val="es-ES"/>
        </w:rPr>
        <w:t>(1)</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instalaciones</w:t>
      </w:r>
      <w:r w:rsidR="00D136BB">
        <w:rPr>
          <w:lang w:val="es-ES"/>
        </w:rPr>
        <w:t xml:space="preserve"> </w:t>
      </w:r>
      <w:r w:rsidRPr="003618E2">
        <w:rPr>
          <w:lang w:val="es-ES"/>
        </w:rPr>
        <w:t>de</w:t>
      </w:r>
      <w:r w:rsidR="00D136BB">
        <w:rPr>
          <w:lang w:val="es-ES"/>
        </w:rPr>
        <w:t xml:space="preserve"> </w:t>
      </w:r>
      <w:r w:rsidRPr="003618E2">
        <w:rPr>
          <w:lang w:val="es-ES"/>
        </w:rPr>
        <w:t>irradiación</w:t>
      </w:r>
      <w:r w:rsidR="00D136BB">
        <w:rPr>
          <w:lang w:val="es-ES"/>
        </w:rPr>
        <w:t xml:space="preserve"> </w:t>
      </w:r>
      <w:r w:rsidRPr="003618E2">
        <w:rPr>
          <w:lang w:val="es-ES"/>
        </w:rPr>
        <w:t>que</w:t>
      </w:r>
      <w:r w:rsidR="00D136BB">
        <w:rPr>
          <w:lang w:val="es-ES"/>
        </w:rPr>
        <w:t xml:space="preserve"> </w:t>
      </w:r>
      <w:r w:rsidRPr="003618E2">
        <w:rPr>
          <w:lang w:val="es-ES"/>
        </w:rPr>
        <w:t>implementaron</w:t>
      </w:r>
      <w:r w:rsidR="00D136BB">
        <w:rPr>
          <w:lang w:val="es-ES"/>
        </w:rPr>
        <w:t xml:space="preserve"> </w:t>
      </w:r>
      <w:r w:rsidRPr="003618E2">
        <w:rPr>
          <w:lang w:val="es-ES"/>
        </w:rPr>
        <w:t>procedimientos</w:t>
      </w:r>
      <w:r w:rsidR="00D136BB">
        <w:rPr>
          <w:lang w:val="es-ES"/>
        </w:rPr>
        <w:t xml:space="preserve"> </w:t>
      </w:r>
      <w:r w:rsidRPr="003618E2">
        <w:rPr>
          <w:lang w:val="es-ES"/>
        </w:rPr>
        <w:t>armonizados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de</w:t>
      </w:r>
      <w:r w:rsidR="00D136BB">
        <w:rPr>
          <w:lang w:val="es-ES"/>
        </w:rPr>
        <w:t xml:space="preserve"> </w:t>
      </w:r>
      <w:r w:rsidRPr="003618E2">
        <w:rPr>
          <w:lang w:val="es-ES"/>
        </w:rPr>
        <w:t>acuerdo</w:t>
      </w:r>
      <w:r w:rsidR="00D136BB">
        <w:rPr>
          <w:lang w:val="es-ES"/>
        </w:rPr>
        <w:t xml:space="preserve"> </w:t>
      </w:r>
      <w:r w:rsidRPr="003618E2">
        <w:rPr>
          <w:lang w:val="es-ES"/>
        </w:rPr>
        <w:t>a</w:t>
      </w:r>
      <w:r w:rsidR="00D136BB">
        <w:rPr>
          <w:lang w:val="es-ES"/>
        </w:rPr>
        <w:t xml:space="preserve"> </w:t>
      </w:r>
      <w:r w:rsidRPr="003618E2">
        <w:rPr>
          <w:lang w:val="es-ES"/>
        </w:rPr>
        <w:t>los</w:t>
      </w:r>
      <w:r w:rsidR="00D136BB">
        <w:rPr>
          <w:lang w:val="es-ES"/>
        </w:rPr>
        <w:t xml:space="preserve"> </w:t>
      </w:r>
      <w:r w:rsidRPr="003618E2">
        <w:rPr>
          <w:lang w:val="es-ES"/>
        </w:rPr>
        <w:t>estándares</w:t>
      </w:r>
      <w:r w:rsidR="00D136BB">
        <w:rPr>
          <w:lang w:val="es-ES"/>
        </w:rPr>
        <w:t xml:space="preserve"> </w:t>
      </w:r>
      <w:r w:rsidRPr="003618E2">
        <w:rPr>
          <w:lang w:val="es-ES"/>
        </w:rPr>
        <w:t>internacionales.</w:t>
      </w:r>
      <w:r w:rsidR="00D136BB">
        <w:rPr>
          <w:lang w:val="es-ES"/>
        </w:rPr>
        <w:t xml:space="preserve"> </w:t>
      </w:r>
      <w:r w:rsidRPr="003618E2">
        <w:rPr>
          <w:lang w:val="es-ES"/>
        </w:rPr>
        <w:t>(2)</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instalaciones</w:t>
      </w:r>
      <w:r w:rsidR="00D136BB">
        <w:rPr>
          <w:lang w:val="es-ES"/>
        </w:rPr>
        <w:t xml:space="preserve"> </w:t>
      </w:r>
      <w:r w:rsidRPr="003618E2">
        <w:rPr>
          <w:lang w:val="es-ES"/>
        </w:rPr>
        <w:t>que</w:t>
      </w:r>
      <w:r w:rsidR="00D136BB">
        <w:rPr>
          <w:lang w:val="es-ES"/>
        </w:rPr>
        <w:t xml:space="preserve"> </w:t>
      </w:r>
      <w:r w:rsidRPr="003618E2">
        <w:rPr>
          <w:lang w:val="es-ES"/>
        </w:rPr>
        <w:t>participaron</w:t>
      </w:r>
      <w:r w:rsidR="00D136BB">
        <w:rPr>
          <w:lang w:val="es-ES"/>
        </w:rPr>
        <w:t xml:space="preserve"> </w:t>
      </w:r>
      <w:r w:rsidRPr="003618E2">
        <w:rPr>
          <w:lang w:val="es-ES"/>
        </w:rPr>
        <w:t>en</w:t>
      </w:r>
      <w:r w:rsidR="00D136BB">
        <w:rPr>
          <w:lang w:val="es-ES"/>
        </w:rPr>
        <w:t xml:space="preserve"> </w:t>
      </w:r>
      <w:r w:rsidRPr="003618E2">
        <w:rPr>
          <w:lang w:val="es-ES"/>
        </w:rPr>
        <w:t>las</w:t>
      </w:r>
      <w:r w:rsidR="00D136BB">
        <w:rPr>
          <w:lang w:val="es-ES"/>
        </w:rPr>
        <w:t xml:space="preserve"> </w:t>
      </w:r>
      <w:r w:rsidRPr="003618E2">
        <w:rPr>
          <w:lang w:val="es-ES"/>
        </w:rPr>
        <w:t>comparaciones</w:t>
      </w:r>
      <w:r w:rsidR="00D136BB">
        <w:rPr>
          <w:lang w:val="es-ES"/>
        </w:rPr>
        <w:t xml:space="preserve"> </w:t>
      </w:r>
      <w:r w:rsidRPr="003618E2">
        <w:rPr>
          <w:lang w:val="es-ES"/>
        </w:rPr>
        <w:t>dosimétricas.</w:t>
      </w:r>
      <w:r w:rsidR="00D136BB">
        <w:rPr>
          <w:lang w:val="es-ES"/>
        </w:rPr>
        <w:t xml:space="preserve"> </w:t>
      </w:r>
      <w:r w:rsidRPr="003618E2">
        <w:rPr>
          <w:lang w:val="es-ES"/>
        </w:rPr>
        <w:t>(3)</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publicaciones</w:t>
      </w:r>
      <w:r w:rsidR="00D136BB">
        <w:rPr>
          <w:lang w:val="es-ES"/>
        </w:rPr>
        <w:t xml:space="preserve"> </w:t>
      </w:r>
      <w:r w:rsidRPr="003618E2">
        <w:rPr>
          <w:lang w:val="es-ES"/>
        </w:rPr>
        <w:t>científicas</w:t>
      </w:r>
      <w:r w:rsidR="00D136BB">
        <w:rPr>
          <w:lang w:val="es-ES"/>
        </w:rPr>
        <w:t xml:space="preserve"> </w:t>
      </w:r>
      <w:r w:rsidRPr="003618E2">
        <w:rPr>
          <w:lang w:val="es-ES"/>
        </w:rPr>
        <w:t>y</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noticias</w:t>
      </w:r>
      <w:r w:rsidR="00D136BB">
        <w:rPr>
          <w:lang w:val="es-ES"/>
        </w:rPr>
        <w:t xml:space="preserve"> </w:t>
      </w:r>
      <w:r w:rsidRPr="003618E2">
        <w:rPr>
          <w:lang w:val="es-ES"/>
        </w:rPr>
        <w:t>elaboradas</w:t>
      </w:r>
      <w:r w:rsidR="00D136BB">
        <w:rPr>
          <w:lang w:val="es-ES"/>
        </w:rPr>
        <w:t xml:space="preserve"> </w:t>
      </w:r>
      <w:r w:rsidRPr="003618E2">
        <w:rPr>
          <w:lang w:val="es-ES"/>
        </w:rPr>
        <w:t>por</w:t>
      </w:r>
      <w:r w:rsidR="00D136BB">
        <w:rPr>
          <w:lang w:val="es-ES"/>
        </w:rPr>
        <w:t xml:space="preserve"> </w:t>
      </w:r>
      <w:r w:rsidRPr="003618E2">
        <w:rPr>
          <w:lang w:val="es-ES"/>
        </w:rPr>
        <w:t>los</w:t>
      </w:r>
      <w:r w:rsidR="00D136BB">
        <w:rPr>
          <w:lang w:val="es-ES"/>
        </w:rPr>
        <w:t xml:space="preserve"> </w:t>
      </w:r>
      <w:r w:rsidRPr="003618E2">
        <w:rPr>
          <w:lang w:val="es-ES"/>
        </w:rPr>
        <w:t>respectivos</w:t>
      </w:r>
      <w:r w:rsidR="00D136BB">
        <w:rPr>
          <w:lang w:val="es-ES"/>
        </w:rPr>
        <w:t xml:space="preserve"> </w:t>
      </w:r>
      <w:r w:rsidRPr="003618E2">
        <w:rPr>
          <w:lang w:val="es-ES"/>
        </w:rPr>
        <w:t>departamentos</w:t>
      </w:r>
      <w:r w:rsidR="00D136BB">
        <w:rPr>
          <w:lang w:val="es-ES"/>
        </w:rPr>
        <w:t xml:space="preserve"> </w:t>
      </w:r>
      <w:r w:rsidRPr="003618E2">
        <w:rPr>
          <w:lang w:val="es-ES"/>
        </w:rPr>
        <w:t>de</w:t>
      </w:r>
      <w:r w:rsidR="00D136BB">
        <w:rPr>
          <w:lang w:val="es-ES"/>
        </w:rPr>
        <w:t xml:space="preserve"> </w:t>
      </w:r>
      <w:r w:rsidRPr="003618E2">
        <w:rPr>
          <w:lang w:val="es-ES"/>
        </w:rPr>
        <w:t>comunicación</w:t>
      </w:r>
      <w:r w:rsidR="00D136BB">
        <w:rPr>
          <w:lang w:val="es-ES"/>
        </w:rPr>
        <w:t xml:space="preserve"> </w:t>
      </w:r>
      <w:r w:rsidRPr="003618E2">
        <w:rPr>
          <w:lang w:val="es-ES"/>
        </w:rPr>
        <w:t>(divulgación</w:t>
      </w:r>
      <w:r w:rsidR="00D136BB">
        <w:rPr>
          <w:lang w:val="es-ES"/>
        </w:rPr>
        <w:t xml:space="preserve"> </w:t>
      </w:r>
      <w:r w:rsidRPr="003618E2">
        <w:rPr>
          <w:lang w:val="es-ES"/>
        </w:rPr>
        <w:t>técnica</w:t>
      </w:r>
      <w:r w:rsidR="00D136BB">
        <w:rPr>
          <w:lang w:val="es-ES"/>
        </w:rPr>
        <w:t xml:space="preserve"> </w:t>
      </w:r>
      <w:r w:rsidRPr="003618E2">
        <w:rPr>
          <w:lang w:val="es-ES"/>
        </w:rPr>
        <w:t>-periodística).</w:t>
      </w:r>
    </w:p>
    <w:p w14:paraId="767E2C71" w14:textId="1B9B90BB" w:rsidR="006D362C" w:rsidRPr="003618E2" w:rsidRDefault="006D362C" w:rsidP="006D362C">
      <w:pPr>
        <w:pStyle w:val="BodyText"/>
        <w:rPr>
          <w:lang w:val="es-ES"/>
        </w:rPr>
      </w:pPr>
      <w:r w:rsidRPr="003618E2">
        <w:rPr>
          <w:b/>
          <w:bCs/>
          <w:lang w:val="es-ES"/>
        </w:rPr>
        <w:t>Línea</w:t>
      </w:r>
      <w:r w:rsidR="00D136BB">
        <w:rPr>
          <w:b/>
          <w:bCs/>
          <w:lang w:val="es-ES"/>
        </w:rPr>
        <w:t xml:space="preserve"> </w:t>
      </w:r>
      <w:r w:rsidRPr="003618E2">
        <w:rPr>
          <w:b/>
          <w:bCs/>
          <w:lang w:val="es-ES"/>
        </w:rPr>
        <w:t>Base</w:t>
      </w:r>
      <w:r w:rsidRPr="003618E2">
        <w:rPr>
          <w:lang w:val="es-ES"/>
        </w:rPr>
        <w:t>:</w:t>
      </w:r>
      <w:r w:rsidR="00D136BB">
        <w:rPr>
          <w:lang w:val="es-ES"/>
        </w:rPr>
        <w:t xml:space="preserve"> </w:t>
      </w:r>
      <w:r w:rsidRPr="003618E2">
        <w:rPr>
          <w:lang w:val="es-ES"/>
        </w:rPr>
        <w:t>(1)</w:t>
      </w:r>
      <w:r w:rsidR="00D136BB">
        <w:rPr>
          <w:lang w:val="es-ES"/>
        </w:rPr>
        <w:t xml:space="preserve"> </w:t>
      </w:r>
      <w:r w:rsidRPr="003618E2">
        <w:rPr>
          <w:lang w:val="es-ES"/>
        </w:rPr>
        <w:t>03</w:t>
      </w:r>
      <w:r w:rsidR="00D136BB">
        <w:rPr>
          <w:lang w:val="es-ES"/>
        </w:rPr>
        <w:t xml:space="preserve"> </w:t>
      </w:r>
      <w:r w:rsidRPr="003618E2">
        <w:rPr>
          <w:lang w:val="es-ES"/>
        </w:rPr>
        <w:t>instalaciones</w:t>
      </w:r>
      <w:r w:rsidR="00D136BB">
        <w:rPr>
          <w:lang w:val="es-ES"/>
        </w:rPr>
        <w:t xml:space="preserve"> </w:t>
      </w:r>
      <w:r w:rsidRPr="003618E2">
        <w:rPr>
          <w:lang w:val="es-ES"/>
        </w:rPr>
        <w:t>que</w:t>
      </w:r>
      <w:r w:rsidR="00D136BB">
        <w:rPr>
          <w:lang w:val="es-ES"/>
        </w:rPr>
        <w:t xml:space="preserve"> </w:t>
      </w:r>
      <w:r w:rsidRPr="003618E2">
        <w:rPr>
          <w:lang w:val="es-ES"/>
        </w:rPr>
        <w:t>han</w:t>
      </w:r>
      <w:r w:rsidR="00D136BB">
        <w:rPr>
          <w:lang w:val="es-ES"/>
        </w:rPr>
        <w:t xml:space="preserve"> </w:t>
      </w:r>
      <w:r w:rsidRPr="003618E2">
        <w:rPr>
          <w:lang w:val="es-ES"/>
        </w:rPr>
        <w:t>implementado</w:t>
      </w:r>
      <w:r w:rsidR="00D136BB">
        <w:rPr>
          <w:lang w:val="es-ES"/>
        </w:rPr>
        <w:t xml:space="preserve"> </w:t>
      </w:r>
      <w:r w:rsidRPr="003618E2">
        <w:rPr>
          <w:lang w:val="es-ES"/>
        </w:rPr>
        <w:t>los</w:t>
      </w:r>
      <w:r w:rsidR="00D136BB">
        <w:rPr>
          <w:lang w:val="es-ES"/>
        </w:rPr>
        <w:t xml:space="preserve"> </w:t>
      </w:r>
      <w:r w:rsidRPr="003618E2">
        <w:rPr>
          <w:lang w:val="es-ES"/>
        </w:rPr>
        <w:t>procedimientos</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estándares</w:t>
      </w:r>
      <w:r w:rsidR="00D136BB">
        <w:rPr>
          <w:lang w:val="es-ES"/>
        </w:rPr>
        <w:t xml:space="preserve"> </w:t>
      </w:r>
      <w:r w:rsidRPr="003618E2">
        <w:rPr>
          <w:lang w:val="es-ES"/>
        </w:rPr>
        <w:t>ISO.</w:t>
      </w:r>
      <w:r w:rsidR="00D136BB">
        <w:rPr>
          <w:lang w:val="es-ES"/>
        </w:rPr>
        <w:t xml:space="preserve"> </w:t>
      </w:r>
      <w:r w:rsidRPr="003618E2">
        <w:rPr>
          <w:lang w:val="es-ES"/>
        </w:rPr>
        <w:t>(2)</w:t>
      </w:r>
      <w:r w:rsidR="00D136BB">
        <w:rPr>
          <w:lang w:val="es-ES"/>
        </w:rPr>
        <w:t xml:space="preserve"> </w:t>
      </w:r>
      <w:r w:rsidRPr="003618E2">
        <w:rPr>
          <w:lang w:val="es-ES"/>
        </w:rPr>
        <w:t>03</w:t>
      </w:r>
      <w:r w:rsidR="00D136BB">
        <w:rPr>
          <w:lang w:val="es-ES"/>
        </w:rPr>
        <w:t xml:space="preserve"> </w:t>
      </w:r>
      <w:r w:rsidRPr="003618E2">
        <w:rPr>
          <w:lang w:val="es-ES"/>
        </w:rPr>
        <w:t>instalaciones</w:t>
      </w:r>
      <w:r w:rsidR="00D136BB">
        <w:rPr>
          <w:lang w:val="es-ES"/>
        </w:rPr>
        <w:t xml:space="preserve"> </w:t>
      </w:r>
      <w:r w:rsidRPr="003618E2">
        <w:rPr>
          <w:lang w:val="es-ES"/>
        </w:rPr>
        <w:t>participantes.</w:t>
      </w:r>
    </w:p>
    <w:p w14:paraId="617BE69B" w14:textId="77777777" w:rsidR="006D362C" w:rsidRPr="003618E2" w:rsidRDefault="006D362C" w:rsidP="006D362C">
      <w:pPr>
        <w:pStyle w:val="BodyText"/>
        <w:rPr>
          <w:b/>
          <w:bCs/>
          <w:u w:val="single"/>
          <w:lang w:val="es-ES"/>
        </w:rPr>
      </w:pPr>
    </w:p>
    <w:p w14:paraId="694AB660" w14:textId="7E256DDA" w:rsidR="006D362C" w:rsidRPr="003618E2" w:rsidRDefault="006D362C" w:rsidP="006D362C">
      <w:pPr>
        <w:pStyle w:val="BodyText"/>
        <w:numPr>
          <w:ilvl w:val="0"/>
          <w:numId w:val="34"/>
        </w:numPr>
        <w:rPr>
          <w:b/>
          <w:bCs/>
          <w:lang w:val="es-ES"/>
        </w:rPr>
      </w:pPr>
      <w:r w:rsidRPr="003618E2">
        <w:rPr>
          <w:b/>
          <w:bCs/>
          <w:lang w:val="es-ES"/>
        </w:rPr>
        <w:t>Desarrollo</w:t>
      </w:r>
      <w:r w:rsidR="00D136BB">
        <w:rPr>
          <w:b/>
          <w:bCs/>
          <w:lang w:val="es-ES"/>
        </w:rPr>
        <w:t xml:space="preserve"> </w:t>
      </w:r>
      <w:r w:rsidRPr="003618E2">
        <w:rPr>
          <w:b/>
          <w:bCs/>
          <w:lang w:val="es-ES"/>
        </w:rPr>
        <w:t>de</w:t>
      </w:r>
      <w:r w:rsidR="00D136BB">
        <w:rPr>
          <w:b/>
          <w:bCs/>
          <w:lang w:val="es-ES"/>
        </w:rPr>
        <w:t xml:space="preserve"> </w:t>
      </w:r>
      <w:r w:rsidRPr="003618E2">
        <w:rPr>
          <w:b/>
          <w:bCs/>
          <w:lang w:val="es-ES"/>
        </w:rPr>
        <w:t>materiales</w:t>
      </w:r>
      <w:r w:rsidR="00D136BB">
        <w:rPr>
          <w:b/>
          <w:bCs/>
          <w:lang w:val="es-ES"/>
        </w:rPr>
        <w:t xml:space="preserve"> </w:t>
      </w:r>
      <w:r w:rsidRPr="003618E2">
        <w:rPr>
          <w:b/>
          <w:bCs/>
          <w:lang w:val="es-ES"/>
        </w:rPr>
        <w:t>innovadores,</w:t>
      </w:r>
      <w:r w:rsidR="00D136BB">
        <w:rPr>
          <w:b/>
          <w:bCs/>
          <w:lang w:val="es-ES"/>
        </w:rPr>
        <w:t xml:space="preserve"> </w:t>
      </w:r>
      <w:r w:rsidRPr="003618E2">
        <w:rPr>
          <w:b/>
          <w:bCs/>
          <w:lang w:val="es-ES"/>
        </w:rPr>
        <w:t>competitivos</w:t>
      </w:r>
      <w:r w:rsidR="00D136BB">
        <w:rPr>
          <w:b/>
          <w:bCs/>
          <w:lang w:val="es-ES"/>
        </w:rPr>
        <w:t xml:space="preserve"> </w:t>
      </w:r>
      <w:r w:rsidRPr="003618E2">
        <w:rPr>
          <w:b/>
          <w:bCs/>
          <w:lang w:val="es-ES"/>
        </w:rPr>
        <w:t>y</w:t>
      </w:r>
      <w:r w:rsidR="00D136BB">
        <w:rPr>
          <w:b/>
          <w:bCs/>
          <w:lang w:val="es-ES"/>
        </w:rPr>
        <w:t xml:space="preserve"> </w:t>
      </w:r>
      <w:r w:rsidRPr="003618E2">
        <w:rPr>
          <w:b/>
          <w:bCs/>
          <w:lang w:val="es-ES"/>
        </w:rPr>
        <w:t>amigables</w:t>
      </w:r>
      <w:r w:rsidR="00D136BB">
        <w:rPr>
          <w:b/>
          <w:bCs/>
          <w:lang w:val="es-ES"/>
        </w:rPr>
        <w:t xml:space="preserve"> </w:t>
      </w:r>
      <w:r w:rsidRPr="003618E2">
        <w:rPr>
          <w:b/>
          <w:bCs/>
          <w:lang w:val="es-ES"/>
        </w:rPr>
        <w:t>con</w:t>
      </w:r>
      <w:r w:rsidR="00D136BB">
        <w:rPr>
          <w:b/>
          <w:bCs/>
          <w:lang w:val="es-ES"/>
        </w:rPr>
        <w:t xml:space="preserve"> </w:t>
      </w:r>
      <w:r w:rsidRPr="003618E2">
        <w:rPr>
          <w:b/>
          <w:bCs/>
          <w:lang w:val="es-ES"/>
        </w:rPr>
        <w:t>el</w:t>
      </w:r>
      <w:r w:rsidR="00D136BB">
        <w:rPr>
          <w:b/>
          <w:bCs/>
          <w:lang w:val="es-ES"/>
        </w:rPr>
        <w:t xml:space="preserve"> </w:t>
      </w:r>
      <w:r w:rsidRPr="003618E2">
        <w:rPr>
          <w:b/>
          <w:bCs/>
          <w:lang w:val="es-ES"/>
        </w:rPr>
        <w:t>medio</w:t>
      </w:r>
      <w:r w:rsidR="00D136BB">
        <w:rPr>
          <w:b/>
          <w:bCs/>
          <w:lang w:val="es-ES"/>
        </w:rPr>
        <w:t xml:space="preserve"> </w:t>
      </w:r>
      <w:r w:rsidRPr="003618E2">
        <w:rPr>
          <w:b/>
          <w:bCs/>
          <w:lang w:val="es-ES"/>
        </w:rPr>
        <w:t>ambiente</w:t>
      </w:r>
      <w:r w:rsidR="00D136BB">
        <w:rPr>
          <w:b/>
          <w:bCs/>
          <w:lang w:val="es-ES"/>
        </w:rPr>
        <w:t xml:space="preserve"> </w:t>
      </w:r>
      <w:r w:rsidRPr="003618E2">
        <w:rPr>
          <w:b/>
          <w:bCs/>
          <w:lang w:val="es-ES"/>
        </w:rPr>
        <w:t>para</w:t>
      </w:r>
      <w:r w:rsidR="00D136BB">
        <w:rPr>
          <w:b/>
          <w:bCs/>
          <w:lang w:val="es-ES"/>
        </w:rPr>
        <w:t xml:space="preserve"> </w:t>
      </w:r>
      <w:r w:rsidRPr="003618E2">
        <w:rPr>
          <w:b/>
          <w:bCs/>
          <w:lang w:val="es-ES"/>
        </w:rPr>
        <w:t>la</w:t>
      </w:r>
      <w:r w:rsidR="00D136BB">
        <w:rPr>
          <w:b/>
          <w:bCs/>
          <w:lang w:val="es-ES"/>
        </w:rPr>
        <w:t xml:space="preserve"> </w:t>
      </w:r>
      <w:r w:rsidRPr="003618E2">
        <w:rPr>
          <w:b/>
          <w:bCs/>
          <w:lang w:val="es-ES"/>
        </w:rPr>
        <w:t>salud,</w:t>
      </w:r>
      <w:r w:rsidR="00D136BB">
        <w:rPr>
          <w:b/>
          <w:bCs/>
          <w:lang w:val="es-ES"/>
        </w:rPr>
        <w:t xml:space="preserve"> </w:t>
      </w:r>
      <w:r w:rsidRPr="003618E2">
        <w:rPr>
          <w:b/>
          <w:bCs/>
          <w:lang w:val="es-ES"/>
        </w:rPr>
        <w:t>agricultura</w:t>
      </w:r>
      <w:r w:rsidR="00D136BB">
        <w:rPr>
          <w:b/>
          <w:bCs/>
          <w:lang w:val="es-ES"/>
        </w:rPr>
        <w:t xml:space="preserve"> </w:t>
      </w:r>
      <w:r w:rsidRPr="003618E2">
        <w:rPr>
          <w:b/>
          <w:bCs/>
          <w:lang w:val="es-ES"/>
        </w:rPr>
        <w:t>e</w:t>
      </w:r>
      <w:r w:rsidR="00D136BB">
        <w:rPr>
          <w:b/>
          <w:bCs/>
          <w:lang w:val="es-ES"/>
        </w:rPr>
        <w:t xml:space="preserve"> </w:t>
      </w:r>
      <w:r w:rsidRPr="003618E2">
        <w:rPr>
          <w:b/>
          <w:bCs/>
          <w:lang w:val="es-ES"/>
        </w:rPr>
        <w:t>industria,</w:t>
      </w:r>
      <w:r w:rsidR="00D136BB">
        <w:rPr>
          <w:b/>
          <w:bCs/>
          <w:lang w:val="es-ES"/>
        </w:rPr>
        <w:t xml:space="preserve"> </w:t>
      </w:r>
      <w:r w:rsidRPr="003618E2">
        <w:rPr>
          <w:b/>
          <w:bCs/>
          <w:lang w:val="es-ES"/>
        </w:rPr>
        <w:t>empleando</w:t>
      </w:r>
      <w:r w:rsidR="00D136BB">
        <w:rPr>
          <w:b/>
          <w:bCs/>
          <w:lang w:val="es-ES"/>
        </w:rPr>
        <w:t xml:space="preserve"> </w:t>
      </w:r>
      <w:r w:rsidRPr="003618E2">
        <w:rPr>
          <w:b/>
          <w:bCs/>
          <w:lang w:val="es-ES"/>
        </w:rPr>
        <w:t>tecnologías</w:t>
      </w:r>
      <w:r w:rsidR="00D136BB">
        <w:rPr>
          <w:b/>
          <w:bCs/>
          <w:lang w:val="es-ES"/>
        </w:rPr>
        <w:t xml:space="preserve"> </w:t>
      </w:r>
      <w:r w:rsidRPr="003618E2">
        <w:rPr>
          <w:b/>
          <w:bCs/>
          <w:lang w:val="es-ES"/>
        </w:rPr>
        <w:t>con</w:t>
      </w:r>
      <w:r w:rsidR="00D136BB">
        <w:rPr>
          <w:b/>
          <w:bCs/>
          <w:lang w:val="es-ES"/>
        </w:rPr>
        <w:t xml:space="preserve"> </w:t>
      </w:r>
      <w:r w:rsidRPr="003618E2">
        <w:rPr>
          <w:b/>
          <w:bCs/>
          <w:lang w:val="es-ES"/>
        </w:rPr>
        <w:t>radiación</w:t>
      </w:r>
      <w:r w:rsidR="00D136BB">
        <w:rPr>
          <w:b/>
          <w:bCs/>
          <w:lang w:val="es-ES"/>
        </w:rPr>
        <w:t xml:space="preserve"> </w:t>
      </w:r>
      <w:r w:rsidRPr="003618E2">
        <w:rPr>
          <w:b/>
          <w:bCs/>
          <w:lang w:val="es-ES"/>
        </w:rPr>
        <w:t>(nanotecnología,</w:t>
      </w:r>
      <w:r w:rsidR="00D136BB">
        <w:rPr>
          <w:b/>
          <w:bCs/>
          <w:lang w:val="es-ES"/>
        </w:rPr>
        <w:t xml:space="preserve"> </w:t>
      </w:r>
      <w:r w:rsidRPr="003618E2">
        <w:rPr>
          <w:b/>
          <w:bCs/>
          <w:lang w:val="es-ES"/>
        </w:rPr>
        <w:t>materiales</w:t>
      </w:r>
      <w:r w:rsidR="00D136BB">
        <w:rPr>
          <w:b/>
          <w:bCs/>
          <w:lang w:val="es-ES"/>
        </w:rPr>
        <w:t xml:space="preserve"> </w:t>
      </w:r>
      <w:r w:rsidRPr="003618E2">
        <w:rPr>
          <w:b/>
          <w:bCs/>
          <w:lang w:val="es-ES"/>
        </w:rPr>
        <w:t>compuestos,</w:t>
      </w:r>
      <w:r w:rsidR="00D136BB">
        <w:rPr>
          <w:b/>
          <w:bCs/>
          <w:lang w:val="es-ES"/>
        </w:rPr>
        <w:t xml:space="preserve"> </w:t>
      </w:r>
      <w:r w:rsidRPr="003618E2">
        <w:rPr>
          <w:b/>
          <w:bCs/>
          <w:lang w:val="es-ES"/>
        </w:rPr>
        <w:t>nuevas</w:t>
      </w:r>
      <w:r w:rsidR="00D136BB">
        <w:rPr>
          <w:b/>
          <w:bCs/>
          <w:lang w:val="es-ES"/>
        </w:rPr>
        <w:t xml:space="preserve"> </w:t>
      </w:r>
      <w:r w:rsidRPr="003618E2">
        <w:rPr>
          <w:b/>
          <w:bCs/>
          <w:lang w:val="es-ES"/>
        </w:rPr>
        <w:t>fórmulas</w:t>
      </w:r>
      <w:r w:rsidR="00D136BB">
        <w:rPr>
          <w:b/>
          <w:bCs/>
          <w:lang w:val="es-ES"/>
        </w:rPr>
        <w:t xml:space="preserve"> </w:t>
      </w:r>
      <w:r w:rsidRPr="003618E2">
        <w:rPr>
          <w:b/>
          <w:bCs/>
          <w:lang w:val="es-ES"/>
        </w:rPr>
        <w:t>curables,</w:t>
      </w:r>
      <w:r w:rsidR="00D136BB">
        <w:rPr>
          <w:b/>
          <w:bCs/>
          <w:lang w:val="es-ES"/>
        </w:rPr>
        <w:t xml:space="preserve"> </w:t>
      </w:r>
      <w:r w:rsidRPr="003618E2">
        <w:rPr>
          <w:b/>
          <w:bCs/>
          <w:lang w:val="es-ES"/>
        </w:rPr>
        <w:t>etc.)</w:t>
      </w:r>
    </w:p>
    <w:p w14:paraId="72437A8E" w14:textId="4F65670E" w:rsidR="006D362C" w:rsidRPr="003618E2" w:rsidRDefault="006D362C" w:rsidP="006D362C">
      <w:pPr>
        <w:pStyle w:val="BodyText"/>
        <w:rPr>
          <w:lang w:val="es-ES"/>
        </w:rPr>
      </w:pPr>
      <w:r w:rsidRPr="003618E2">
        <w:rPr>
          <w:b/>
          <w:lang w:val="es-ES"/>
        </w:rPr>
        <w:t>Justificación:</w:t>
      </w:r>
      <w:r w:rsidR="00D136BB">
        <w:rPr>
          <w:lang w:val="es-ES"/>
        </w:rPr>
        <w:t xml:space="preserve"> </w:t>
      </w:r>
      <w:r w:rsidRPr="003618E2">
        <w:rPr>
          <w:lang w:val="es-ES"/>
        </w:rPr>
        <w:t>La</w:t>
      </w:r>
      <w:r w:rsidR="00D136BB">
        <w:rPr>
          <w:lang w:val="es-ES"/>
        </w:rPr>
        <w:t xml:space="preserve"> </w:t>
      </w:r>
      <w:r w:rsidRPr="003618E2">
        <w:rPr>
          <w:lang w:val="es-ES"/>
        </w:rPr>
        <w:t>cuarta</w:t>
      </w:r>
      <w:r w:rsidR="00D136BB">
        <w:rPr>
          <w:lang w:val="es-ES"/>
        </w:rPr>
        <w:t xml:space="preserve"> </w:t>
      </w:r>
      <w:r w:rsidRPr="003618E2">
        <w:rPr>
          <w:lang w:val="es-ES"/>
        </w:rPr>
        <w:t>revolución</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ingeniera</w:t>
      </w:r>
      <w:r w:rsidR="00D136BB">
        <w:rPr>
          <w:lang w:val="es-ES"/>
        </w:rPr>
        <w:t xml:space="preserve"> </w:t>
      </w:r>
      <w:r w:rsidRPr="003618E2">
        <w:rPr>
          <w:lang w:val="es-ES"/>
        </w:rPr>
        <w:t>demanda</w:t>
      </w:r>
      <w:r w:rsidR="00D136BB">
        <w:rPr>
          <w:lang w:val="es-ES"/>
        </w:rPr>
        <w:t xml:space="preserve"> </w:t>
      </w:r>
      <w:r w:rsidRPr="003618E2">
        <w:rPr>
          <w:lang w:val="es-ES"/>
        </w:rPr>
        <w:t>la</w:t>
      </w:r>
      <w:r w:rsidR="00D136BB">
        <w:rPr>
          <w:lang w:val="es-ES"/>
        </w:rPr>
        <w:t xml:space="preserve"> </w:t>
      </w:r>
      <w:r w:rsidRPr="003618E2">
        <w:rPr>
          <w:lang w:val="es-ES"/>
        </w:rPr>
        <w:t>producción</w:t>
      </w:r>
      <w:r w:rsidR="00D136BB">
        <w:rPr>
          <w:lang w:val="es-ES"/>
        </w:rPr>
        <w:t xml:space="preserve"> </w:t>
      </w:r>
      <w:r w:rsidRPr="003618E2">
        <w:rPr>
          <w:lang w:val="es-ES"/>
        </w:rPr>
        <w:t>y</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nuevos</w:t>
      </w:r>
      <w:r w:rsidR="00D136BB">
        <w:rPr>
          <w:lang w:val="es-ES"/>
        </w:rPr>
        <w:t xml:space="preserve"> </w:t>
      </w:r>
      <w:r w:rsidRPr="003618E2">
        <w:rPr>
          <w:lang w:val="es-ES"/>
        </w:rPr>
        <w:t>compuestos,</w:t>
      </w:r>
      <w:r w:rsidR="00D136BB">
        <w:rPr>
          <w:lang w:val="es-ES"/>
        </w:rPr>
        <w:t xml:space="preserve"> </w:t>
      </w:r>
      <w:r w:rsidRPr="003618E2">
        <w:rPr>
          <w:lang w:val="es-ES"/>
        </w:rPr>
        <w:t>nanomateriales</w:t>
      </w:r>
      <w:r w:rsidR="00D136BB">
        <w:rPr>
          <w:lang w:val="es-ES"/>
        </w:rPr>
        <w:t xml:space="preserve"> </w:t>
      </w:r>
      <w:r w:rsidRPr="003618E2">
        <w:rPr>
          <w:lang w:val="es-ES"/>
        </w:rPr>
        <w:t>y</w:t>
      </w:r>
      <w:r w:rsidR="00D136BB">
        <w:rPr>
          <w:lang w:val="es-ES"/>
        </w:rPr>
        <w:t xml:space="preserve"> </w:t>
      </w:r>
      <w:r w:rsidRPr="003618E2">
        <w:rPr>
          <w:lang w:val="es-ES"/>
        </w:rPr>
        <w:t>formulaciones.</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(gamma,</w:t>
      </w:r>
      <w:r w:rsidR="00D136BB">
        <w:rPr>
          <w:lang w:val="es-ES"/>
        </w:rPr>
        <w:t xml:space="preserve"> </w:t>
      </w:r>
      <w:r w:rsidRPr="003618E2">
        <w:rPr>
          <w:lang w:val="es-ES"/>
        </w:rPr>
        <w:t>haces</w:t>
      </w:r>
      <w:r w:rsidR="00D136BB">
        <w:rPr>
          <w:lang w:val="es-ES"/>
        </w:rPr>
        <w:t xml:space="preserve"> </w:t>
      </w:r>
      <w:r w:rsidRPr="003618E2">
        <w:rPr>
          <w:lang w:val="es-ES"/>
        </w:rPr>
        <w:t>de</w:t>
      </w:r>
      <w:r w:rsidR="00D136BB">
        <w:rPr>
          <w:lang w:val="es-ES"/>
        </w:rPr>
        <w:t xml:space="preserve"> </w:t>
      </w:r>
      <w:r w:rsidRPr="003618E2">
        <w:rPr>
          <w:lang w:val="es-ES"/>
        </w:rPr>
        <w:t>electrones</w:t>
      </w:r>
      <w:r w:rsidR="00D136BB">
        <w:rPr>
          <w:lang w:val="es-ES"/>
        </w:rPr>
        <w:t xml:space="preserve"> </w:t>
      </w:r>
      <w:r w:rsidRPr="003618E2">
        <w:rPr>
          <w:lang w:val="es-ES"/>
        </w:rPr>
        <w:t>e</w:t>
      </w:r>
      <w:r w:rsidR="00D136BB">
        <w:rPr>
          <w:lang w:val="es-ES"/>
        </w:rPr>
        <w:t xml:space="preserve"> </w:t>
      </w:r>
      <w:r w:rsidRPr="003618E2">
        <w:rPr>
          <w:lang w:val="es-ES"/>
        </w:rPr>
        <w:t>iones,</w:t>
      </w:r>
      <w:r w:rsidR="00D136BB">
        <w:rPr>
          <w:lang w:val="es-ES"/>
        </w:rPr>
        <w:t xml:space="preserve"> </w:t>
      </w:r>
      <w:r w:rsidRPr="003618E2">
        <w:rPr>
          <w:lang w:val="es-ES"/>
        </w:rPr>
        <w:t>rayos</w:t>
      </w:r>
      <w:r w:rsidR="00D136BB">
        <w:rPr>
          <w:lang w:val="es-ES"/>
        </w:rPr>
        <w:t xml:space="preserve"> </w:t>
      </w:r>
      <w:r w:rsidRPr="003618E2">
        <w:rPr>
          <w:lang w:val="es-ES"/>
        </w:rPr>
        <w:t>X,</w:t>
      </w:r>
      <w:r w:rsidR="00D136BB">
        <w:rPr>
          <w:lang w:val="es-ES"/>
        </w:rPr>
        <w:t xml:space="preserve"> </w:t>
      </w:r>
      <w:r w:rsidRPr="003618E2">
        <w:rPr>
          <w:lang w:val="es-ES"/>
        </w:rPr>
        <w:t>etc.)</w:t>
      </w:r>
      <w:r w:rsidR="00D136BB">
        <w:rPr>
          <w:lang w:val="es-ES"/>
        </w:rPr>
        <w:t xml:space="preserve"> </w:t>
      </w:r>
      <w:r w:rsidRPr="003618E2">
        <w:rPr>
          <w:lang w:val="es-ES"/>
        </w:rPr>
        <w:t>apoyan</w:t>
      </w:r>
      <w:r w:rsidR="00D136BB">
        <w:rPr>
          <w:lang w:val="es-ES"/>
        </w:rPr>
        <w:t xml:space="preserve"> </w:t>
      </w:r>
      <w:r w:rsidRPr="003618E2">
        <w:rPr>
          <w:lang w:val="es-ES"/>
        </w:rPr>
        <w:t>el</w:t>
      </w:r>
      <w:r w:rsidR="00D136BB">
        <w:rPr>
          <w:lang w:val="es-ES"/>
        </w:rPr>
        <w:t xml:space="preserve"> </w:t>
      </w:r>
      <w:r w:rsidRPr="003618E2">
        <w:rPr>
          <w:lang w:val="es-ES"/>
        </w:rPr>
        <w:t>desarrollo,</w:t>
      </w:r>
      <w:r w:rsidR="00D136BB">
        <w:rPr>
          <w:lang w:val="es-ES"/>
        </w:rPr>
        <w:t xml:space="preserve"> </w:t>
      </w:r>
      <w:r w:rsidRPr="003618E2">
        <w:rPr>
          <w:lang w:val="es-ES"/>
        </w:rPr>
        <w:t>producción</w:t>
      </w:r>
      <w:r w:rsidR="00D136BB">
        <w:rPr>
          <w:lang w:val="es-ES"/>
        </w:rPr>
        <w:t xml:space="preserve"> </w:t>
      </w:r>
      <w:r w:rsidRPr="003618E2">
        <w:rPr>
          <w:lang w:val="es-ES"/>
        </w:rPr>
        <w:t>y</w:t>
      </w:r>
      <w:r w:rsidR="00D136BB">
        <w:rPr>
          <w:lang w:val="es-ES"/>
        </w:rPr>
        <w:t xml:space="preserve"> </w:t>
      </w:r>
      <w:r w:rsidRPr="003618E2">
        <w:rPr>
          <w:lang w:val="es-ES"/>
        </w:rPr>
        <w:t>mejora</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propiedades</w:t>
      </w:r>
      <w:r w:rsidR="00D136BB">
        <w:rPr>
          <w:lang w:val="es-ES"/>
        </w:rPr>
        <w:t xml:space="preserve"> </w:t>
      </w:r>
      <w:r w:rsidRPr="003618E2">
        <w:rPr>
          <w:lang w:val="es-ES"/>
        </w:rPr>
        <w:t>mecánicas</w:t>
      </w:r>
      <w:r w:rsidR="00D136BB">
        <w:rPr>
          <w:lang w:val="es-ES"/>
        </w:rPr>
        <w:t xml:space="preserve"> </w:t>
      </w:r>
      <w:r w:rsidRPr="003618E2">
        <w:rPr>
          <w:lang w:val="es-ES"/>
        </w:rPr>
        <w:t>y</w:t>
      </w:r>
      <w:r w:rsidR="00D136BB">
        <w:rPr>
          <w:lang w:val="es-ES"/>
        </w:rPr>
        <w:t xml:space="preserve"> </w:t>
      </w:r>
      <w:r w:rsidRPr="003618E2">
        <w:rPr>
          <w:lang w:val="es-ES"/>
        </w:rPr>
        <w:t>fisicoquímicas</w:t>
      </w:r>
      <w:r w:rsidR="00D136BB">
        <w:rPr>
          <w:lang w:val="es-ES"/>
        </w:rPr>
        <w:t xml:space="preserve"> </w:t>
      </w:r>
      <w:r w:rsidRPr="003618E2">
        <w:rPr>
          <w:lang w:val="es-ES"/>
        </w:rPr>
        <w:t>de</w:t>
      </w:r>
      <w:r w:rsidR="00D136BB">
        <w:rPr>
          <w:lang w:val="es-ES"/>
        </w:rPr>
        <w:t xml:space="preserve"> </w:t>
      </w:r>
      <w:r w:rsidRPr="003618E2">
        <w:rPr>
          <w:lang w:val="es-ES"/>
        </w:rPr>
        <w:t>polímeros,</w:t>
      </w:r>
      <w:r w:rsidR="00D136BB">
        <w:rPr>
          <w:lang w:val="es-ES"/>
        </w:rPr>
        <w:t xml:space="preserve"> </w:t>
      </w:r>
      <w:r w:rsidRPr="003618E2">
        <w:rPr>
          <w:lang w:val="es-ES"/>
        </w:rPr>
        <w:t>nanomateriales,</w:t>
      </w:r>
      <w:r w:rsidR="00D136BB">
        <w:rPr>
          <w:lang w:val="es-ES"/>
        </w:rPr>
        <w:t xml:space="preserve"> </w:t>
      </w:r>
      <w:r w:rsidRPr="003618E2">
        <w:rPr>
          <w:lang w:val="es-ES"/>
        </w:rPr>
        <w:t>polímeros</w:t>
      </w:r>
      <w:r w:rsidR="00D136BB">
        <w:rPr>
          <w:lang w:val="es-ES"/>
        </w:rPr>
        <w:t xml:space="preserve"> </w:t>
      </w:r>
      <w:r w:rsidRPr="003618E2">
        <w:rPr>
          <w:lang w:val="es-ES"/>
        </w:rPr>
        <w:t>y</w:t>
      </w:r>
      <w:r w:rsidR="00D136BB">
        <w:rPr>
          <w:lang w:val="es-ES"/>
        </w:rPr>
        <w:t xml:space="preserve"> </w:t>
      </w:r>
      <w:r w:rsidRPr="003618E2">
        <w:rPr>
          <w:lang w:val="es-ES"/>
        </w:rPr>
        <w:t>nuevas</w:t>
      </w:r>
      <w:r w:rsidR="00D136BB">
        <w:rPr>
          <w:lang w:val="es-ES"/>
        </w:rPr>
        <w:t xml:space="preserve"> </w:t>
      </w:r>
      <w:r w:rsidRPr="003618E2">
        <w:rPr>
          <w:lang w:val="es-ES"/>
        </w:rPr>
        <w:t>formulaciones.</w:t>
      </w:r>
      <w:r w:rsidR="00D136BB">
        <w:rPr>
          <w:lang w:val="es-ES"/>
        </w:rPr>
        <w:t xml:space="preserve"> </w:t>
      </w:r>
      <w:r w:rsidRPr="003618E2">
        <w:rPr>
          <w:lang w:val="es-ES"/>
        </w:rPr>
        <w:t>El</w:t>
      </w:r>
      <w:r w:rsidR="00D136BB">
        <w:rPr>
          <w:lang w:val="es-ES"/>
        </w:rPr>
        <w:t xml:space="preserve"> </w:t>
      </w:r>
      <w:r w:rsidRPr="003618E2">
        <w:rPr>
          <w:lang w:val="es-ES"/>
        </w:rPr>
        <w:t>desarrollo</w:t>
      </w:r>
      <w:r w:rsidR="00D136BB">
        <w:rPr>
          <w:lang w:val="es-ES"/>
        </w:rPr>
        <w:t xml:space="preserve"> </w:t>
      </w:r>
      <w:r w:rsidRPr="003618E2">
        <w:rPr>
          <w:lang w:val="es-ES"/>
        </w:rPr>
        <w:t>de</w:t>
      </w:r>
      <w:r w:rsidR="00D136BB">
        <w:rPr>
          <w:lang w:val="es-ES"/>
        </w:rPr>
        <w:t xml:space="preserve"> </w:t>
      </w:r>
      <w:r w:rsidRPr="003618E2">
        <w:rPr>
          <w:lang w:val="es-ES"/>
        </w:rPr>
        <w:t>alternativas</w:t>
      </w:r>
      <w:r w:rsidR="00D136BB">
        <w:rPr>
          <w:lang w:val="es-ES"/>
        </w:rPr>
        <w:t xml:space="preserve"> </w:t>
      </w:r>
      <w:r w:rsidRPr="003618E2">
        <w:rPr>
          <w:lang w:val="es-ES"/>
        </w:rPr>
        <w:t>energéticas</w:t>
      </w:r>
      <w:r w:rsidR="00D136BB">
        <w:rPr>
          <w:lang w:val="es-ES"/>
        </w:rPr>
        <w:t xml:space="preserve"> </w:t>
      </w:r>
      <w:r w:rsidRPr="003618E2">
        <w:rPr>
          <w:lang w:val="es-ES"/>
        </w:rPr>
        <w:t>limpias</w:t>
      </w:r>
      <w:r w:rsidR="00D136BB">
        <w:rPr>
          <w:lang w:val="es-ES"/>
        </w:rPr>
        <w:t xml:space="preserve"> </w:t>
      </w:r>
      <w:r w:rsidRPr="003618E2">
        <w:rPr>
          <w:lang w:val="es-ES"/>
        </w:rPr>
        <w:t>y</w:t>
      </w:r>
      <w:r w:rsidR="00D136BB">
        <w:rPr>
          <w:lang w:val="es-ES"/>
        </w:rPr>
        <w:t xml:space="preserve"> </w:t>
      </w:r>
      <w:r w:rsidRPr="003618E2">
        <w:rPr>
          <w:lang w:val="es-ES"/>
        </w:rPr>
        <w:t>renovables</w:t>
      </w:r>
      <w:r w:rsidR="00D136BB">
        <w:rPr>
          <w:lang w:val="es-ES"/>
        </w:rPr>
        <w:t xml:space="preserve"> </w:t>
      </w:r>
      <w:r w:rsidRPr="003618E2">
        <w:rPr>
          <w:lang w:val="es-ES"/>
        </w:rPr>
        <w:t>(celdas</w:t>
      </w:r>
      <w:r w:rsidR="00D136BB">
        <w:rPr>
          <w:lang w:val="es-ES"/>
        </w:rPr>
        <w:t xml:space="preserve"> </w:t>
      </w:r>
      <w:r w:rsidRPr="003618E2">
        <w:rPr>
          <w:lang w:val="es-ES"/>
        </w:rPr>
        <w:t>solares).</w:t>
      </w:r>
      <w:r w:rsidR="00D136BB">
        <w:rPr>
          <w:lang w:val="es-ES"/>
        </w:rPr>
        <w:t xml:space="preserve">  </w:t>
      </w:r>
      <w:r w:rsidRPr="003618E2">
        <w:rPr>
          <w:lang w:val="es-ES"/>
        </w:rPr>
        <w:t>La</w:t>
      </w:r>
      <w:r w:rsidR="00D136BB">
        <w:rPr>
          <w:lang w:val="es-ES"/>
        </w:rPr>
        <w:t xml:space="preserve"> </w:t>
      </w:r>
      <w:r w:rsidRPr="003618E2">
        <w:rPr>
          <w:lang w:val="es-ES"/>
        </w:rPr>
        <w:t>industria</w:t>
      </w:r>
      <w:r w:rsidR="00D136BB">
        <w:rPr>
          <w:lang w:val="es-ES"/>
        </w:rPr>
        <w:t xml:space="preserve"> </w:t>
      </w:r>
      <w:r w:rsidRPr="003618E2">
        <w:rPr>
          <w:lang w:val="es-ES"/>
        </w:rPr>
        <w:t>automovilística,</w:t>
      </w:r>
      <w:r w:rsidR="00D136BB">
        <w:rPr>
          <w:lang w:val="es-ES"/>
        </w:rPr>
        <w:t xml:space="preserve"> </w:t>
      </w:r>
      <w:r w:rsidRPr="003618E2">
        <w:rPr>
          <w:lang w:val="es-ES"/>
        </w:rPr>
        <w:t>aeroespacial</w:t>
      </w:r>
      <w:r w:rsidR="00D136BB">
        <w:rPr>
          <w:lang w:val="es-ES"/>
        </w:rPr>
        <w:t xml:space="preserve"> </w:t>
      </w:r>
      <w:r w:rsidRPr="003618E2">
        <w:rPr>
          <w:lang w:val="es-ES"/>
        </w:rPr>
        <w:t>y</w:t>
      </w:r>
      <w:r w:rsidR="00D136BB">
        <w:rPr>
          <w:lang w:val="es-ES"/>
        </w:rPr>
        <w:t xml:space="preserve"> </w:t>
      </w:r>
      <w:r w:rsidRPr="003618E2">
        <w:rPr>
          <w:lang w:val="es-ES"/>
        </w:rPr>
        <w:t>electrónica</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demanda</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livianos</w:t>
      </w:r>
      <w:r w:rsidR="00D136BB">
        <w:rPr>
          <w:lang w:val="es-ES"/>
        </w:rPr>
        <w:t xml:space="preserve"> </w:t>
      </w:r>
      <w:r w:rsidRPr="003618E2">
        <w:rPr>
          <w:lang w:val="es-ES"/>
        </w:rPr>
        <w:t>y</w:t>
      </w:r>
      <w:r w:rsidR="00D136BB">
        <w:rPr>
          <w:lang w:val="es-ES"/>
        </w:rPr>
        <w:t xml:space="preserve"> </w:t>
      </w:r>
      <w:r w:rsidRPr="003618E2">
        <w:rPr>
          <w:lang w:val="es-ES"/>
        </w:rPr>
        <w:t>resistentes</w:t>
      </w:r>
      <w:r w:rsidR="00D136BB">
        <w:rPr>
          <w:lang w:val="es-ES"/>
        </w:rPr>
        <w:t xml:space="preserve"> </w:t>
      </w:r>
      <w:r w:rsidRPr="003618E2">
        <w:rPr>
          <w:lang w:val="es-ES"/>
        </w:rPr>
        <w:t>a</w:t>
      </w:r>
      <w:r w:rsidR="00D136BB">
        <w:rPr>
          <w:lang w:val="es-ES"/>
        </w:rPr>
        <w:t xml:space="preserve"> </w:t>
      </w:r>
      <w:r w:rsidRPr="003618E2">
        <w:rPr>
          <w:lang w:val="es-ES"/>
        </w:rPr>
        <w:t>la</w:t>
      </w:r>
      <w:r w:rsidR="00D136BB">
        <w:rPr>
          <w:lang w:val="es-ES"/>
        </w:rPr>
        <w:t xml:space="preserve"> </w:t>
      </w:r>
      <w:r w:rsidRPr="003618E2">
        <w:rPr>
          <w:lang w:val="es-ES"/>
        </w:rPr>
        <w:t>temperatura</w:t>
      </w:r>
      <w:r w:rsidR="00D136BB">
        <w:rPr>
          <w:lang w:val="es-ES"/>
        </w:rPr>
        <w:t xml:space="preserve"> </w:t>
      </w:r>
      <w:r w:rsidRPr="003618E2">
        <w:rPr>
          <w:lang w:val="es-ES"/>
        </w:rPr>
        <w:t>y</w:t>
      </w:r>
      <w:r w:rsidR="00D136BB">
        <w:rPr>
          <w:lang w:val="es-ES"/>
        </w:rPr>
        <w:t xml:space="preserve"> </w:t>
      </w:r>
      <w:r w:rsidRPr="003618E2">
        <w:rPr>
          <w:lang w:val="es-ES"/>
        </w:rPr>
        <w:t>corrosión.</w:t>
      </w:r>
      <w:r w:rsidR="00D136BB">
        <w:rPr>
          <w:lang w:val="es-ES"/>
        </w:rPr>
        <w:t xml:space="preserve"> </w:t>
      </w:r>
      <w:r w:rsidRPr="003618E2">
        <w:rPr>
          <w:lang w:val="es-ES"/>
        </w:rPr>
        <w:t>Este</w:t>
      </w:r>
      <w:r w:rsidR="00D136BB">
        <w:rPr>
          <w:lang w:val="es-ES"/>
        </w:rPr>
        <w:t xml:space="preserve"> </w:t>
      </w:r>
      <w:r w:rsidRPr="003618E2">
        <w:rPr>
          <w:lang w:val="es-ES"/>
        </w:rPr>
        <w:t>tipo</w:t>
      </w:r>
      <w:r w:rsidR="00D136BB">
        <w:rPr>
          <w:lang w:val="es-ES"/>
        </w:rPr>
        <w:t xml:space="preserve"> </w:t>
      </w:r>
      <w:r w:rsidRPr="003618E2">
        <w:rPr>
          <w:lang w:val="es-ES"/>
        </w:rPr>
        <w:t>de</w:t>
      </w:r>
      <w:r w:rsidR="00D136BB">
        <w:rPr>
          <w:lang w:val="es-ES"/>
        </w:rPr>
        <w:t xml:space="preserve"> </w:t>
      </w:r>
      <w:r w:rsidRPr="003618E2">
        <w:rPr>
          <w:lang w:val="es-ES"/>
        </w:rPr>
        <w:t>tecnología</w:t>
      </w:r>
      <w:r w:rsidR="00D136BB">
        <w:rPr>
          <w:lang w:val="es-ES"/>
        </w:rPr>
        <w:t xml:space="preserve"> </w:t>
      </w:r>
      <w:r w:rsidRPr="003618E2">
        <w:rPr>
          <w:lang w:val="es-ES"/>
        </w:rPr>
        <w:t>disminuye</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productos</w:t>
      </w:r>
      <w:r w:rsidR="00D136BB">
        <w:rPr>
          <w:lang w:val="es-ES"/>
        </w:rPr>
        <w:t xml:space="preserve"> </w:t>
      </w:r>
      <w:r w:rsidRPr="003618E2">
        <w:rPr>
          <w:lang w:val="es-ES"/>
        </w:rPr>
        <w:t>químicos</w:t>
      </w:r>
      <w:r w:rsidR="00D136BB">
        <w:rPr>
          <w:lang w:val="es-ES"/>
        </w:rPr>
        <w:t xml:space="preserve"> </w:t>
      </w:r>
      <w:r w:rsidRPr="003618E2">
        <w:rPr>
          <w:lang w:val="es-ES"/>
        </w:rPr>
        <w:t>que</w:t>
      </w:r>
      <w:r w:rsidR="00D136BB">
        <w:rPr>
          <w:lang w:val="es-ES"/>
        </w:rPr>
        <w:t xml:space="preserve"> </w:t>
      </w:r>
      <w:r w:rsidRPr="003618E2">
        <w:rPr>
          <w:lang w:val="es-ES"/>
        </w:rPr>
        <w:t>pueden</w:t>
      </w:r>
      <w:r w:rsidR="00D136BB">
        <w:rPr>
          <w:lang w:val="es-ES"/>
        </w:rPr>
        <w:t xml:space="preserve"> </w:t>
      </w:r>
      <w:r w:rsidRPr="003618E2">
        <w:rPr>
          <w:lang w:val="es-ES"/>
        </w:rPr>
        <w:t>ser</w:t>
      </w:r>
      <w:r w:rsidR="00D136BB">
        <w:rPr>
          <w:lang w:val="es-ES"/>
        </w:rPr>
        <w:t xml:space="preserve"> </w:t>
      </w:r>
      <w:r w:rsidRPr="003618E2">
        <w:rPr>
          <w:lang w:val="es-ES"/>
        </w:rPr>
        <w:t>dañinos</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salud</w:t>
      </w:r>
      <w:r w:rsidR="00D136BB">
        <w:rPr>
          <w:lang w:val="es-ES"/>
        </w:rPr>
        <w:t xml:space="preserve"> </w:t>
      </w:r>
      <w:r w:rsidRPr="003618E2">
        <w:rPr>
          <w:lang w:val="es-ES"/>
        </w:rPr>
        <w:t>y</w:t>
      </w:r>
      <w:r w:rsidR="00D136BB">
        <w:rPr>
          <w:lang w:val="es-ES"/>
        </w:rPr>
        <w:t xml:space="preserve"> </w:t>
      </w:r>
      <w:r w:rsidRPr="003618E2">
        <w:rPr>
          <w:lang w:val="es-ES"/>
        </w:rPr>
        <w:t>afectar</w:t>
      </w:r>
      <w:r w:rsidR="00D136BB">
        <w:rPr>
          <w:lang w:val="es-ES"/>
        </w:rPr>
        <w:t xml:space="preserve"> </w:t>
      </w:r>
      <w:r w:rsidRPr="003618E2">
        <w:rPr>
          <w:lang w:val="es-ES"/>
        </w:rPr>
        <w:t>el</w:t>
      </w:r>
      <w:r w:rsidR="00D136BB">
        <w:rPr>
          <w:lang w:val="es-ES"/>
        </w:rPr>
        <w:t xml:space="preserve"> </w:t>
      </w:r>
      <w:r w:rsidRPr="003618E2">
        <w:rPr>
          <w:lang w:val="es-ES"/>
        </w:rPr>
        <w:t>medio</w:t>
      </w:r>
      <w:r w:rsidR="00D136BB">
        <w:rPr>
          <w:lang w:val="es-ES"/>
        </w:rPr>
        <w:t xml:space="preserve"> </w:t>
      </w:r>
      <w:r w:rsidRPr="003618E2">
        <w:rPr>
          <w:lang w:val="es-ES"/>
        </w:rPr>
        <w:t>ambiente.</w:t>
      </w:r>
      <w:r w:rsidR="00D136BB">
        <w:rPr>
          <w:lang w:val="es-ES"/>
        </w:rPr>
        <w:t xml:space="preserve"> </w:t>
      </w:r>
      <w:r w:rsidRPr="003618E2">
        <w:rPr>
          <w:lang w:val="es-ES"/>
        </w:rPr>
        <w:t>Es</w:t>
      </w:r>
      <w:r w:rsidR="00D136BB">
        <w:rPr>
          <w:lang w:val="es-ES"/>
        </w:rPr>
        <w:t xml:space="preserve"> </w:t>
      </w:r>
      <w:r w:rsidRPr="003618E2">
        <w:rPr>
          <w:lang w:val="es-ES"/>
        </w:rPr>
        <w:t>necesario</w:t>
      </w:r>
      <w:r w:rsidR="00D136BB">
        <w:rPr>
          <w:lang w:val="es-ES"/>
        </w:rPr>
        <w:t xml:space="preserve"> </w:t>
      </w:r>
      <w:r w:rsidRPr="003618E2">
        <w:rPr>
          <w:lang w:val="es-ES"/>
        </w:rPr>
        <w:t>difundir</w:t>
      </w:r>
      <w:r w:rsidR="00D136BB">
        <w:rPr>
          <w:lang w:val="es-ES"/>
        </w:rPr>
        <w:t xml:space="preserve"> </w:t>
      </w:r>
      <w:r w:rsidRPr="003618E2">
        <w:rPr>
          <w:lang w:val="es-ES"/>
        </w:rPr>
        <w:t>y</w:t>
      </w:r>
      <w:r w:rsidR="00D136BB">
        <w:rPr>
          <w:lang w:val="es-ES"/>
        </w:rPr>
        <w:t xml:space="preserve"> </w:t>
      </w:r>
      <w:r w:rsidRPr="003618E2">
        <w:rPr>
          <w:lang w:val="es-ES"/>
        </w:rPr>
        <w:t>promover</w:t>
      </w:r>
      <w:r w:rsidR="00D136BB">
        <w:rPr>
          <w:lang w:val="es-ES"/>
        </w:rPr>
        <w:t xml:space="preserve"> </w:t>
      </w:r>
      <w:r w:rsidRPr="003618E2">
        <w:rPr>
          <w:lang w:val="es-ES"/>
        </w:rPr>
        <w:t>(usuarios,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decisiones),</w:t>
      </w:r>
      <w:r w:rsidR="00D136BB">
        <w:rPr>
          <w:lang w:val="es-ES"/>
        </w:rPr>
        <w:t xml:space="preserve"> </w:t>
      </w:r>
      <w:r w:rsidRPr="003618E2">
        <w:rPr>
          <w:lang w:val="es-ES"/>
        </w:rPr>
        <w:t>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p>
    <w:p w14:paraId="21C19931" w14:textId="6F64E419" w:rsidR="006D362C" w:rsidRPr="003618E2" w:rsidRDefault="006D362C" w:rsidP="006D362C">
      <w:pPr>
        <w:pStyle w:val="BodyText"/>
        <w:rPr>
          <w:lang w:val="es-ES"/>
        </w:rPr>
      </w:pPr>
      <w:r w:rsidRPr="003618E2">
        <w:rPr>
          <w:b/>
          <w:lang w:val="es-ES"/>
        </w:rPr>
        <w:t>Objetivo:</w:t>
      </w:r>
      <w:r w:rsidR="00D136BB">
        <w:rPr>
          <w:lang w:val="es-ES"/>
        </w:rPr>
        <w:t xml:space="preserve"> </w:t>
      </w:r>
      <w:r w:rsidRPr="003618E2">
        <w:rPr>
          <w:lang w:val="es-ES"/>
        </w:rPr>
        <w:t>Incrementar</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nuevos</w:t>
      </w:r>
      <w:r w:rsidR="00D136BB">
        <w:rPr>
          <w:lang w:val="es-ES"/>
        </w:rPr>
        <w:t xml:space="preserve"> </w:t>
      </w:r>
      <w:r w:rsidRPr="003618E2">
        <w:rPr>
          <w:lang w:val="es-ES"/>
        </w:rPr>
        <w:t>materiales</w:t>
      </w:r>
      <w:r w:rsidR="00D136BB">
        <w:rPr>
          <w:lang w:val="es-ES"/>
        </w:rPr>
        <w:t xml:space="preserve"> </w:t>
      </w:r>
      <w:r w:rsidRPr="003618E2">
        <w:rPr>
          <w:lang w:val="es-ES"/>
        </w:rPr>
        <w:t>obtenidos</w:t>
      </w:r>
      <w:r w:rsidR="00D136BB">
        <w:rPr>
          <w:lang w:val="es-ES"/>
        </w:rPr>
        <w:t xml:space="preserve"> </w:t>
      </w:r>
      <w:r w:rsidRPr="003618E2">
        <w:rPr>
          <w:lang w:val="es-ES"/>
        </w:rPr>
        <w:t>mediante</w:t>
      </w:r>
      <w:r w:rsidR="00D136BB">
        <w:rPr>
          <w:lang w:val="es-ES"/>
        </w:rPr>
        <w:t xml:space="preserve"> </w:t>
      </w:r>
      <w:r w:rsidRPr="003618E2">
        <w:rPr>
          <w:lang w:val="es-ES"/>
        </w:rPr>
        <w:t>tecnologías</w:t>
      </w:r>
      <w:r w:rsidR="00D136BB">
        <w:rPr>
          <w:lang w:val="es-ES"/>
        </w:rPr>
        <w:t xml:space="preserve"> </w:t>
      </w:r>
      <w:r w:rsidRPr="003618E2">
        <w:rPr>
          <w:lang w:val="es-ES"/>
        </w:rPr>
        <w:t>de</w:t>
      </w:r>
      <w:r w:rsidR="00D136BB">
        <w:rPr>
          <w:lang w:val="es-ES"/>
        </w:rPr>
        <w:t xml:space="preserve"> </w:t>
      </w:r>
      <w:r w:rsidRPr="003618E2">
        <w:rPr>
          <w:lang w:val="es-ES"/>
        </w:rPr>
        <w:t>radiación</w:t>
      </w:r>
      <w:r w:rsidR="00D136BB">
        <w:rPr>
          <w:lang w:val="es-ES"/>
        </w:rPr>
        <w:t xml:space="preserve"> </w:t>
      </w:r>
      <w:r w:rsidRPr="003618E2">
        <w:rPr>
          <w:lang w:val="es-ES"/>
        </w:rPr>
        <w:t>ionizante</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p>
    <w:p w14:paraId="1B1EAD2B" w14:textId="5216A62F" w:rsidR="006D362C" w:rsidRPr="003618E2" w:rsidRDefault="006D362C" w:rsidP="006D362C">
      <w:pPr>
        <w:pStyle w:val="BodyText"/>
        <w:rPr>
          <w:lang w:val="es-ES"/>
        </w:rPr>
      </w:pPr>
      <w:r w:rsidRPr="003618E2">
        <w:rPr>
          <w:b/>
          <w:bCs/>
          <w:lang w:val="es-ES"/>
        </w:rPr>
        <w:lastRenderedPageBreak/>
        <w:t>Indicador:</w:t>
      </w:r>
      <w:r w:rsidR="00D136BB">
        <w:rPr>
          <w:lang w:val="es-ES"/>
        </w:rPr>
        <w:t xml:space="preserve"> </w:t>
      </w:r>
      <w:r w:rsidRPr="003618E2">
        <w:rPr>
          <w:lang w:val="es-ES"/>
        </w:rPr>
        <w:t>(1)</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metodologías</w:t>
      </w:r>
      <w:r w:rsidR="00D136BB">
        <w:rPr>
          <w:lang w:val="es-ES"/>
        </w:rPr>
        <w:t xml:space="preserve"> </w:t>
      </w:r>
      <w:r w:rsidRPr="003618E2">
        <w:rPr>
          <w:lang w:val="es-ES"/>
        </w:rPr>
        <w:t>trasferidas</w:t>
      </w:r>
      <w:r w:rsidR="00D136BB">
        <w:rPr>
          <w:lang w:val="es-ES"/>
        </w:rPr>
        <w:t xml:space="preserve"> </w:t>
      </w:r>
      <w:r w:rsidRPr="003618E2">
        <w:rPr>
          <w:lang w:val="es-ES"/>
        </w:rPr>
        <w:t>(2)</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materiales</w:t>
      </w:r>
      <w:r w:rsidR="00D136BB">
        <w:rPr>
          <w:lang w:val="es-ES"/>
        </w:rPr>
        <w:t xml:space="preserve"> </w:t>
      </w:r>
      <w:r w:rsidRPr="003618E2">
        <w:rPr>
          <w:lang w:val="es-ES"/>
        </w:rPr>
        <w:t>desarrollados</w:t>
      </w:r>
      <w:r w:rsidR="00D136BB">
        <w:rPr>
          <w:lang w:val="es-ES"/>
        </w:rPr>
        <w:t xml:space="preserve"> </w:t>
      </w:r>
      <w:r w:rsidRPr="003618E2">
        <w:rPr>
          <w:lang w:val="es-ES"/>
        </w:rPr>
        <w:t>(3)</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publicaciones</w:t>
      </w:r>
      <w:r w:rsidR="00D136BB">
        <w:rPr>
          <w:lang w:val="es-ES"/>
        </w:rPr>
        <w:t xml:space="preserve"> </w:t>
      </w:r>
      <w:r w:rsidRPr="003618E2">
        <w:rPr>
          <w:lang w:val="es-ES"/>
        </w:rPr>
        <w:t>científicas</w:t>
      </w:r>
      <w:r w:rsidR="00D136BB">
        <w:rPr>
          <w:lang w:val="es-ES"/>
        </w:rPr>
        <w:t xml:space="preserve"> </w:t>
      </w:r>
      <w:r w:rsidRPr="003618E2">
        <w:rPr>
          <w:lang w:val="es-ES"/>
        </w:rPr>
        <w:t>y</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noticias</w:t>
      </w:r>
      <w:r w:rsidR="00D136BB">
        <w:rPr>
          <w:lang w:val="es-ES"/>
        </w:rPr>
        <w:t xml:space="preserve"> </w:t>
      </w:r>
      <w:r w:rsidRPr="003618E2">
        <w:rPr>
          <w:lang w:val="es-ES"/>
        </w:rPr>
        <w:t>elaboradas</w:t>
      </w:r>
      <w:r w:rsidR="00D136BB">
        <w:rPr>
          <w:lang w:val="es-ES"/>
        </w:rPr>
        <w:t xml:space="preserve"> </w:t>
      </w:r>
      <w:r w:rsidRPr="003618E2">
        <w:rPr>
          <w:lang w:val="es-ES"/>
        </w:rPr>
        <w:t>por</w:t>
      </w:r>
      <w:r w:rsidR="00D136BB">
        <w:rPr>
          <w:lang w:val="es-ES"/>
        </w:rPr>
        <w:t xml:space="preserve"> </w:t>
      </w:r>
      <w:r w:rsidRPr="003618E2">
        <w:rPr>
          <w:lang w:val="es-ES"/>
        </w:rPr>
        <w:t>los</w:t>
      </w:r>
      <w:r w:rsidR="00D136BB">
        <w:rPr>
          <w:lang w:val="es-ES"/>
        </w:rPr>
        <w:t xml:space="preserve"> </w:t>
      </w:r>
      <w:r w:rsidRPr="003618E2">
        <w:rPr>
          <w:lang w:val="es-ES"/>
        </w:rPr>
        <w:t>respectivosdepartamentos</w:t>
      </w:r>
      <w:r w:rsidR="00D136BB">
        <w:rPr>
          <w:lang w:val="es-ES"/>
        </w:rPr>
        <w:t xml:space="preserve"> </w:t>
      </w:r>
      <w:r w:rsidRPr="003618E2">
        <w:rPr>
          <w:lang w:val="es-ES"/>
        </w:rPr>
        <w:t>de</w:t>
      </w:r>
      <w:r w:rsidR="00D136BB">
        <w:rPr>
          <w:lang w:val="es-ES"/>
        </w:rPr>
        <w:t xml:space="preserve"> </w:t>
      </w:r>
      <w:r w:rsidRPr="003618E2">
        <w:rPr>
          <w:lang w:val="es-ES"/>
        </w:rPr>
        <w:t>comunicación</w:t>
      </w:r>
      <w:r w:rsidR="00D136BB">
        <w:rPr>
          <w:lang w:val="es-ES"/>
        </w:rPr>
        <w:t xml:space="preserve"> </w:t>
      </w:r>
      <w:r w:rsidRPr="003618E2">
        <w:rPr>
          <w:lang w:val="es-ES"/>
        </w:rPr>
        <w:t>(divulgación</w:t>
      </w:r>
      <w:r w:rsidR="00D136BB">
        <w:rPr>
          <w:lang w:val="es-ES"/>
        </w:rPr>
        <w:t xml:space="preserve"> </w:t>
      </w:r>
      <w:r w:rsidRPr="003618E2">
        <w:rPr>
          <w:lang w:val="es-ES"/>
        </w:rPr>
        <w:t>técnica</w:t>
      </w:r>
      <w:r w:rsidR="00D136BB">
        <w:rPr>
          <w:lang w:val="es-ES"/>
        </w:rPr>
        <w:t xml:space="preserve"> </w:t>
      </w:r>
      <w:r w:rsidRPr="003618E2">
        <w:rPr>
          <w:lang w:val="es-ES"/>
        </w:rPr>
        <w:t>-periodística).</w:t>
      </w:r>
    </w:p>
    <w:p w14:paraId="02E5FF3A" w14:textId="4C212BC6" w:rsidR="006D362C" w:rsidRPr="003618E2" w:rsidRDefault="006D362C" w:rsidP="006D362C">
      <w:pPr>
        <w:pStyle w:val="BodyText"/>
        <w:numPr>
          <w:ilvl w:val="0"/>
          <w:numId w:val="34"/>
        </w:numPr>
        <w:rPr>
          <w:b/>
          <w:bCs/>
          <w:lang w:val="es-ES"/>
        </w:rPr>
      </w:pPr>
      <w:r w:rsidRPr="003618E2">
        <w:rPr>
          <w:b/>
          <w:bCs/>
          <w:lang w:val="es-ES"/>
        </w:rPr>
        <w:t>Aumento</w:t>
      </w:r>
      <w:r w:rsidR="00D136BB">
        <w:rPr>
          <w:b/>
          <w:bCs/>
          <w:lang w:val="es-ES"/>
        </w:rPr>
        <w:t xml:space="preserve"> </w:t>
      </w:r>
      <w:r w:rsidRPr="003618E2">
        <w:rPr>
          <w:b/>
          <w:bCs/>
          <w:lang w:val="es-ES"/>
        </w:rPr>
        <w:t>de</w:t>
      </w:r>
      <w:r w:rsidR="00D136BB">
        <w:rPr>
          <w:b/>
          <w:bCs/>
          <w:lang w:val="es-ES"/>
        </w:rPr>
        <w:t xml:space="preserve"> </w:t>
      </w:r>
      <w:r w:rsidRPr="003618E2">
        <w:rPr>
          <w:b/>
          <w:bCs/>
          <w:lang w:val="es-ES"/>
        </w:rPr>
        <w:t>la</w:t>
      </w:r>
      <w:r w:rsidR="00D136BB">
        <w:rPr>
          <w:b/>
          <w:bCs/>
          <w:lang w:val="es-ES"/>
        </w:rPr>
        <w:t xml:space="preserve"> </w:t>
      </w:r>
      <w:r w:rsidRPr="003618E2">
        <w:rPr>
          <w:b/>
          <w:bCs/>
          <w:lang w:val="es-ES"/>
        </w:rPr>
        <w:t>competitividad</w:t>
      </w:r>
      <w:r w:rsidR="00D136BB">
        <w:rPr>
          <w:b/>
          <w:bCs/>
          <w:lang w:val="es-ES"/>
        </w:rPr>
        <w:t xml:space="preserve"> </w:t>
      </w:r>
      <w:r w:rsidRPr="003618E2">
        <w:rPr>
          <w:b/>
          <w:bCs/>
          <w:lang w:val="es-ES"/>
        </w:rPr>
        <w:t>de</w:t>
      </w:r>
      <w:r w:rsidR="00D136BB">
        <w:rPr>
          <w:b/>
          <w:bCs/>
          <w:lang w:val="es-ES"/>
        </w:rPr>
        <w:t xml:space="preserve"> </w:t>
      </w:r>
      <w:r w:rsidRPr="003618E2">
        <w:rPr>
          <w:b/>
          <w:bCs/>
          <w:lang w:val="es-ES"/>
        </w:rPr>
        <w:t>la</w:t>
      </w:r>
      <w:r w:rsidR="00D136BB">
        <w:rPr>
          <w:b/>
          <w:bCs/>
          <w:lang w:val="es-ES"/>
        </w:rPr>
        <w:t xml:space="preserve"> </w:t>
      </w:r>
      <w:r w:rsidRPr="003618E2">
        <w:rPr>
          <w:b/>
          <w:bCs/>
          <w:lang w:val="es-ES"/>
        </w:rPr>
        <w:t>industria</w:t>
      </w:r>
      <w:r w:rsidR="00D136BB">
        <w:rPr>
          <w:b/>
          <w:bCs/>
          <w:lang w:val="es-ES"/>
        </w:rPr>
        <w:t xml:space="preserve"> </w:t>
      </w:r>
      <w:r w:rsidRPr="003618E2">
        <w:rPr>
          <w:b/>
          <w:bCs/>
          <w:lang w:val="es-ES"/>
        </w:rPr>
        <w:t>por</w:t>
      </w:r>
      <w:r w:rsidR="00D136BB">
        <w:rPr>
          <w:b/>
          <w:bCs/>
          <w:lang w:val="es-ES"/>
        </w:rPr>
        <w:t xml:space="preserve"> </w:t>
      </w:r>
      <w:r w:rsidRPr="003618E2">
        <w:rPr>
          <w:b/>
          <w:bCs/>
          <w:lang w:val="es-ES"/>
        </w:rPr>
        <w:t>medio</w:t>
      </w:r>
      <w:r w:rsidR="00D136BB">
        <w:rPr>
          <w:b/>
          <w:bCs/>
          <w:lang w:val="es-ES"/>
        </w:rPr>
        <w:t xml:space="preserve"> </w:t>
      </w:r>
      <w:r w:rsidRPr="003618E2">
        <w:rPr>
          <w:b/>
          <w:bCs/>
          <w:lang w:val="es-ES"/>
        </w:rPr>
        <w:t>de</w:t>
      </w:r>
      <w:r w:rsidR="00D136BB">
        <w:rPr>
          <w:b/>
          <w:bCs/>
          <w:lang w:val="es-ES"/>
        </w:rPr>
        <w:t xml:space="preserve"> </w:t>
      </w:r>
      <w:r w:rsidRPr="003618E2">
        <w:rPr>
          <w:b/>
          <w:bCs/>
          <w:lang w:val="es-ES"/>
        </w:rPr>
        <w:t>la</w:t>
      </w:r>
      <w:r w:rsidR="00D136BB">
        <w:rPr>
          <w:b/>
          <w:bCs/>
          <w:lang w:val="es-ES"/>
        </w:rPr>
        <w:t xml:space="preserve"> </w:t>
      </w:r>
      <w:r w:rsidRPr="003618E2">
        <w:rPr>
          <w:b/>
          <w:bCs/>
          <w:lang w:val="es-ES"/>
        </w:rPr>
        <w:t>optimización</w:t>
      </w:r>
      <w:r w:rsidR="00D136BB">
        <w:rPr>
          <w:b/>
          <w:bCs/>
          <w:lang w:val="es-ES"/>
        </w:rPr>
        <w:t xml:space="preserve"> </w:t>
      </w:r>
      <w:r w:rsidRPr="003618E2">
        <w:rPr>
          <w:b/>
          <w:bCs/>
          <w:lang w:val="es-ES"/>
        </w:rPr>
        <w:t>de</w:t>
      </w:r>
      <w:r w:rsidR="00D136BB">
        <w:rPr>
          <w:b/>
          <w:bCs/>
          <w:lang w:val="es-ES"/>
        </w:rPr>
        <w:t xml:space="preserve"> </w:t>
      </w:r>
      <w:r w:rsidRPr="003618E2">
        <w:rPr>
          <w:b/>
          <w:bCs/>
          <w:lang w:val="es-ES"/>
        </w:rPr>
        <w:t>procesos</w:t>
      </w:r>
      <w:r w:rsidR="00D136BB">
        <w:rPr>
          <w:b/>
          <w:bCs/>
          <w:lang w:val="es-ES"/>
        </w:rPr>
        <w:t xml:space="preserve"> </w:t>
      </w:r>
      <w:r w:rsidRPr="003618E2">
        <w:rPr>
          <w:b/>
          <w:bCs/>
          <w:lang w:val="es-ES"/>
        </w:rPr>
        <w:t>y</w:t>
      </w:r>
      <w:r w:rsidR="00D136BB">
        <w:rPr>
          <w:b/>
          <w:bCs/>
          <w:lang w:val="es-ES"/>
        </w:rPr>
        <w:t xml:space="preserve"> </w:t>
      </w:r>
      <w:r w:rsidRPr="003618E2">
        <w:rPr>
          <w:b/>
          <w:bCs/>
          <w:lang w:val="es-ES"/>
        </w:rPr>
        <w:t>disminución</w:t>
      </w:r>
      <w:r w:rsidR="00D136BB">
        <w:rPr>
          <w:b/>
          <w:bCs/>
          <w:lang w:val="es-ES"/>
        </w:rPr>
        <w:t xml:space="preserve"> </w:t>
      </w:r>
      <w:r w:rsidRPr="003618E2">
        <w:rPr>
          <w:b/>
          <w:bCs/>
          <w:lang w:val="es-ES"/>
        </w:rPr>
        <w:t>del</w:t>
      </w:r>
      <w:r w:rsidR="00D136BB">
        <w:rPr>
          <w:b/>
          <w:bCs/>
          <w:lang w:val="es-ES"/>
        </w:rPr>
        <w:t xml:space="preserve"> </w:t>
      </w:r>
      <w:r w:rsidRPr="003618E2">
        <w:rPr>
          <w:b/>
          <w:bCs/>
          <w:lang w:val="es-ES"/>
        </w:rPr>
        <w:t>impacto</w:t>
      </w:r>
      <w:r w:rsidR="00D136BB">
        <w:rPr>
          <w:b/>
          <w:bCs/>
          <w:lang w:val="es-ES"/>
        </w:rPr>
        <w:t xml:space="preserve"> </w:t>
      </w:r>
      <w:r w:rsidRPr="003618E2">
        <w:rPr>
          <w:b/>
          <w:bCs/>
          <w:lang w:val="es-ES"/>
        </w:rPr>
        <w:t>ambiental,</w:t>
      </w:r>
      <w:r w:rsidR="00D136BB">
        <w:rPr>
          <w:b/>
          <w:bCs/>
          <w:lang w:val="es-ES"/>
        </w:rPr>
        <w:t xml:space="preserve"> </w:t>
      </w:r>
      <w:r w:rsidRPr="003618E2">
        <w:rPr>
          <w:b/>
          <w:bCs/>
          <w:lang w:val="es-ES"/>
        </w:rPr>
        <w:t>utilizando</w:t>
      </w:r>
      <w:r w:rsidR="00D136BB">
        <w:rPr>
          <w:b/>
          <w:bCs/>
          <w:lang w:val="es-ES"/>
        </w:rPr>
        <w:t xml:space="preserve"> </w:t>
      </w:r>
      <w:r w:rsidRPr="003618E2">
        <w:rPr>
          <w:b/>
          <w:bCs/>
          <w:lang w:val="es-ES"/>
        </w:rPr>
        <w:t>tecnologías</w:t>
      </w:r>
      <w:r w:rsidR="00D136BB">
        <w:rPr>
          <w:b/>
          <w:bCs/>
          <w:lang w:val="es-ES"/>
        </w:rPr>
        <w:t xml:space="preserve"> </w:t>
      </w:r>
      <w:r w:rsidRPr="003618E2">
        <w:rPr>
          <w:b/>
          <w:bCs/>
          <w:lang w:val="es-ES"/>
        </w:rPr>
        <w:t>con</w:t>
      </w:r>
      <w:r w:rsidR="00D136BB">
        <w:rPr>
          <w:b/>
          <w:bCs/>
          <w:lang w:val="es-ES"/>
        </w:rPr>
        <w:t xml:space="preserve"> </w:t>
      </w:r>
      <w:r w:rsidRPr="003618E2">
        <w:rPr>
          <w:b/>
          <w:bCs/>
          <w:lang w:val="es-ES"/>
        </w:rPr>
        <w:t>radiación</w:t>
      </w:r>
      <w:r w:rsidR="00D136BB">
        <w:rPr>
          <w:b/>
          <w:bCs/>
          <w:lang w:val="es-ES"/>
        </w:rPr>
        <w:t xml:space="preserve"> </w:t>
      </w:r>
      <w:r w:rsidRPr="003618E2">
        <w:rPr>
          <w:b/>
          <w:bCs/>
          <w:lang w:val="es-ES"/>
        </w:rPr>
        <w:t>(trazadores</w:t>
      </w:r>
      <w:r w:rsidR="00D136BB">
        <w:rPr>
          <w:b/>
          <w:bCs/>
          <w:lang w:val="es-ES"/>
        </w:rPr>
        <w:t xml:space="preserve"> </w:t>
      </w:r>
      <w:r w:rsidRPr="003618E2">
        <w:rPr>
          <w:b/>
          <w:bCs/>
          <w:lang w:val="es-ES"/>
        </w:rPr>
        <w:t>y</w:t>
      </w:r>
      <w:r w:rsidR="00D136BB">
        <w:rPr>
          <w:b/>
          <w:bCs/>
          <w:lang w:val="es-ES"/>
        </w:rPr>
        <w:t xml:space="preserve"> </w:t>
      </w:r>
      <w:r w:rsidRPr="003618E2">
        <w:rPr>
          <w:b/>
          <w:bCs/>
          <w:lang w:val="es-ES"/>
        </w:rPr>
        <w:t>aplicaciones</w:t>
      </w:r>
      <w:r w:rsidR="00D136BB">
        <w:rPr>
          <w:b/>
          <w:bCs/>
          <w:lang w:val="es-ES"/>
        </w:rPr>
        <w:t xml:space="preserve"> </w:t>
      </w:r>
      <w:r w:rsidRPr="003618E2">
        <w:rPr>
          <w:b/>
          <w:bCs/>
          <w:lang w:val="es-ES"/>
        </w:rPr>
        <w:t>de</w:t>
      </w:r>
      <w:r w:rsidR="00D136BB">
        <w:rPr>
          <w:b/>
          <w:bCs/>
          <w:lang w:val="es-ES"/>
        </w:rPr>
        <w:t xml:space="preserve"> </w:t>
      </w:r>
      <w:r w:rsidRPr="003618E2">
        <w:rPr>
          <w:b/>
          <w:bCs/>
          <w:lang w:val="es-ES"/>
        </w:rPr>
        <w:t>fuentes</w:t>
      </w:r>
      <w:r w:rsidR="00D136BB">
        <w:rPr>
          <w:b/>
          <w:bCs/>
          <w:lang w:val="es-ES"/>
        </w:rPr>
        <w:t xml:space="preserve"> </w:t>
      </w:r>
      <w:r w:rsidRPr="003618E2">
        <w:rPr>
          <w:b/>
          <w:bCs/>
          <w:lang w:val="es-ES"/>
        </w:rPr>
        <w:t>selladas)</w:t>
      </w:r>
    </w:p>
    <w:p w14:paraId="4C7CF4D0" w14:textId="4DE0E062" w:rsidR="006D362C" w:rsidRPr="003618E2" w:rsidRDefault="006D362C" w:rsidP="006D362C">
      <w:pPr>
        <w:pStyle w:val="BodyText"/>
        <w:rPr>
          <w:lang w:val="es-ES"/>
        </w:rPr>
      </w:pPr>
      <w:r w:rsidRPr="003618E2">
        <w:rPr>
          <w:b/>
          <w:bCs/>
          <w:lang w:val="es-ES"/>
        </w:rPr>
        <w:t>Justificación:</w:t>
      </w:r>
      <w:r w:rsidR="00D136BB">
        <w:rPr>
          <w:lang w:val="es-ES"/>
        </w:rPr>
        <w:t xml:space="preserve"> </w:t>
      </w:r>
      <w:r w:rsidRPr="003618E2">
        <w:rPr>
          <w:lang w:val="es-ES"/>
        </w:rPr>
        <w:t>Los</w:t>
      </w:r>
      <w:r w:rsidR="00D136BB">
        <w:rPr>
          <w:lang w:val="es-ES"/>
        </w:rPr>
        <w:t xml:space="preserve"> </w:t>
      </w:r>
      <w:r w:rsidRPr="003618E2">
        <w:rPr>
          <w:lang w:val="es-ES"/>
        </w:rPr>
        <w:t>procesos</w:t>
      </w:r>
      <w:r w:rsidR="00D136BB">
        <w:rPr>
          <w:lang w:val="es-ES"/>
        </w:rPr>
        <w:t xml:space="preserve"> </w:t>
      </w:r>
      <w:r w:rsidRPr="003618E2">
        <w:rPr>
          <w:lang w:val="es-ES"/>
        </w:rPr>
        <w:t>tecnológicos</w:t>
      </w:r>
      <w:r w:rsidR="00D136BB">
        <w:rPr>
          <w:lang w:val="es-ES"/>
        </w:rPr>
        <w:t xml:space="preserve"> </w:t>
      </w:r>
      <w:r w:rsidRPr="003618E2">
        <w:rPr>
          <w:lang w:val="es-ES"/>
        </w:rPr>
        <w:t>productivos</w:t>
      </w:r>
      <w:r w:rsidR="00D136BB">
        <w:rPr>
          <w:lang w:val="es-ES"/>
        </w:rPr>
        <w:t xml:space="preserve"> </w:t>
      </w:r>
      <w:r w:rsidRPr="003618E2">
        <w:rPr>
          <w:lang w:val="es-ES"/>
        </w:rPr>
        <w:t>actuales</w:t>
      </w:r>
      <w:r w:rsidR="00D136BB">
        <w:rPr>
          <w:lang w:val="es-ES"/>
        </w:rPr>
        <w:t xml:space="preserve"> </w:t>
      </w:r>
      <w:r w:rsidRPr="003618E2">
        <w:rPr>
          <w:lang w:val="es-ES"/>
        </w:rPr>
        <w:t>buscas</w:t>
      </w:r>
      <w:r w:rsidR="00D136BB">
        <w:rPr>
          <w:lang w:val="es-ES"/>
        </w:rPr>
        <w:t xml:space="preserve"> </w:t>
      </w:r>
      <w:r w:rsidRPr="003618E2">
        <w:rPr>
          <w:lang w:val="es-ES"/>
        </w:rPr>
        <w:t>ser</w:t>
      </w:r>
      <w:r w:rsidR="00D136BB">
        <w:rPr>
          <w:lang w:val="es-ES"/>
        </w:rPr>
        <w:t xml:space="preserve"> </w:t>
      </w:r>
      <w:r w:rsidRPr="003618E2">
        <w:rPr>
          <w:lang w:val="es-ES"/>
        </w:rPr>
        <w:t>más</w:t>
      </w:r>
      <w:r w:rsidR="00D136BB">
        <w:rPr>
          <w:lang w:val="es-ES"/>
        </w:rPr>
        <w:t xml:space="preserve"> </w:t>
      </w:r>
      <w:r w:rsidRPr="003618E2">
        <w:rPr>
          <w:lang w:val="es-ES"/>
        </w:rPr>
        <w:t>eficientes</w:t>
      </w:r>
      <w:r w:rsidR="00D136BB">
        <w:rPr>
          <w:lang w:val="es-ES"/>
        </w:rPr>
        <w:t xml:space="preserve"> </w:t>
      </w:r>
      <w:r w:rsidRPr="003618E2">
        <w:rPr>
          <w:lang w:val="es-ES"/>
        </w:rPr>
        <w:t>y</w:t>
      </w:r>
      <w:r w:rsidR="00D136BB">
        <w:rPr>
          <w:lang w:val="es-ES"/>
        </w:rPr>
        <w:t xml:space="preserve"> </w:t>
      </w:r>
      <w:r w:rsidRPr="003618E2">
        <w:rPr>
          <w:lang w:val="es-ES"/>
        </w:rPr>
        <w:t>amigables</w:t>
      </w:r>
      <w:r w:rsidR="00D136BB">
        <w:rPr>
          <w:lang w:val="es-ES"/>
        </w:rPr>
        <w:t xml:space="preserve"> </w:t>
      </w:r>
      <w:r w:rsidRPr="003618E2">
        <w:rPr>
          <w:lang w:val="es-ES"/>
        </w:rPr>
        <w:t>con</w:t>
      </w:r>
      <w:r w:rsidR="00D136BB">
        <w:rPr>
          <w:lang w:val="es-ES"/>
        </w:rPr>
        <w:t xml:space="preserve"> </w:t>
      </w:r>
      <w:r w:rsidRPr="003618E2">
        <w:rPr>
          <w:lang w:val="es-ES"/>
        </w:rPr>
        <w:t>el</w:t>
      </w:r>
      <w:r w:rsidR="00D136BB">
        <w:rPr>
          <w:lang w:val="es-ES"/>
        </w:rPr>
        <w:t xml:space="preserve"> </w:t>
      </w:r>
      <w:r w:rsidRPr="003618E2">
        <w:rPr>
          <w:lang w:val="es-ES"/>
        </w:rPr>
        <w:t>medio</w:t>
      </w:r>
      <w:r w:rsidR="00D136BB">
        <w:rPr>
          <w:lang w:val="es-ES"/>
        </w:rPr>
        <w:t xml:space="preserve"> </w:t>
      </w:r>
      <w:r w:rsidRPr="003618E2">
        <w:rPr>
          <w:lang w:val="es-ES"/>
        </w:rPr>
        <w:t>ambiente.</w:t>
      </w:r>
      <w:r w:rsidR="00D136BB">
        <w:rPr>
          <w:lang w:val="es-ES"/>
        </w:rPr>
        <w:t xml:space="preserve"> </w:t>
      </w:r>
      <w:r w:rsidRPr="003618E2">
        <w:rPr>
          <w:lang w:val="es-ES"/>
        </w:rPr>
        <w:t>Áreas</w:t>
      </w:r>
      <w:r w:rsidR="00D136BB">
        <w:rPr>
          <w:lang w:val="es-ES"/>
        </w:rPr>
        <w:t xml:space="preserve"> </w:t>
      </w:r>
      <w:r w:rsidRPr="003618E2">
        <w:rPr>
          <w:lang w:val="es-ES"/>
        </w:rPr>
        <w:t>tales</w:t>
      </w:r>
      <w:r w:rsidR="00D136BB">
        <w:rPr>
          <w:lang w:val="es-ES"/>
        </w:rPr>
        <w:t xml:space="preserve"> </w:t>
      </w:r>
      <w:r w:rsidRPr="003618E2">
        <w:rPr>
          <w:lang w:val="es-ES"/>
        </w:rPr>
        <w:t>como</w:t>
      </w:r>
      <w:r w:rsidR="00D136BB">
        <w:rPr>
          <w:lang w:val="es-ES"/>
        </w:rPr>
        <w:t xml:space="preserve"> </w:t>
      </w:r>
      <w:r w:rsidRPr="003618E2">
        <w:rPr>
          <w:lang w:val="es-ES"/>
        </w:rPr>
        <w:t>la</w:t>
      </w:r>
      <w:r w:rsidR="00D136BB">
        <w:rPr>
          <w:lang w:val="es-ES"/>
        </w:rPr>
        <w:t xml:space="preserve"> </w:t>
      </w:r>
      <w:r w:rsidRPr="003618E2">
        <w:rPr>
          <w:lang w:val="es-ES"/>
        </w:rPr>
        <w:t>petrolífera,</w:t>
      </w:r>
      <w:r w:rsidR="00D136BB">
        <w:rPr>
          <w:lang w:val="es-ES"/>
        </w:rPr>
        <w:t xml:space="preserve"> </w:t>
      </w:r>
      <w:r w:rsidRPr="003618E2">
        <w:rPr>
          <w:lang w:val="es-ES"/>
        </w:rPr>
        <w:t>petroquímica,</w:t>
      </w:r>
      <w:r w:rsidR="00D136BB">
        <w:rPr>
          <w:lang w:val="es-ES"/>
        </w:rPr>
        <w:t xml:space="preserve"> </w:t>
      </w:r>
      <w:r w:rsidRPr="003618E2">
        <w:rPr>
          <w:lang w:val="es-ES"/>
        </w:rPr>
        <w:t>minero-metalúrgica,</w:t>
      </w:r>
      <w:r w:rsidR="00D136BB">
        <w:rPr>
          <w:lang w:val="es-ES"/>
        </w:rPr>
        <w:t xml:space="preserve"> </w:t>
      </w:r>
      <w:r w:rsidRPr="003618E2">
        <w:rPr>
          <w:lang w:val="es-ES"/>
        </w:rPr>
        <w:t>dragado</w:t>
      </w:r>
      <w:r w:rsidR="00D136BB">
        <w:rPr>
          <w:lang w:val="es-ES"/>
        </w:rPr>
        <w:t xml:space="preserve"> </w:t>
      </w:r>
      <w:r w:rsidRPr="003618E2">
        <w:rPr>
          <w:lang w:val="es-ES"/>
        </w:rPr>
        <w:t>de</w:t>
      </w:r>
      <w:r w:rsidR="00D136BB">
        <w:rPr>
          <w:lang w:val="es-ES"/>
        </w:rPr>
        <w:t xml:space="preserve"> </w:t>
      </w:r>
      <w:r w:rsidRPr="003618E2">
        <w:rPr>
          <w:lang w:val="es-ES"/>
        </w:rPr>
        <w:t>ríos</w:t>
      </w:r>
      <w:r w:rsidR="00D136BB">
        <w:rPr>
          <w:lang w:val="es-ES"/>
        </w:rPr>
        <w:t xml:space="preserve"> </w:t>
      </w:r>
      <w:r w:rsidRPr="003618E2">
        <w:rPr>
          <w:lang w:val="es-ES"/>
        </w:rPr>
        <w:t>y</w:t>
      </w:r>
      <w:r w:rsidR="00D136BB">
        <w:rPr>
          <w:lang w:val="es-ES"/>
        </w:rPr>
        <w:t xml:space="preserve"> </w:t>
      </w:r>
      <w:r w:rsidRPr="003618E2">
        <w:rPr>
          <w:lang w:val="es-ES"/>
        </w:rPr>
        <w:t>mares,</w:t>
      </w:r>
      <w:r w:rsidR="00D136BB">
        <w:rPr>
          <w:lang w:val="es-ES"/>
        </w:rPr>
        <w:t xml:space="preserve"> </w:t>
      </w:r>
      <w:r w:rsidRPr="003618E2">
        <w:rPr>
          <w:lang w:val="es-ES"/>
        </w:rPr>
        <w:t>hidrológica,</w:t>
      </w:r>
      <w:r w:rsidR="00D136BB">
        <w:rPr>
          <w:lang w:val="es-ES"/>
        </w:rPr>
        <w:t xml:space="preserve"> </w:t>
      </w:r>
      <w:r w:rsidRPr="003618E2">
        <w:rPr>
          <w:lang w:val="es-ES"/>
        </w:rPr>
        <w:t>etc.</w:t>
      </w:r>
      <w:r w:rsidR="00D136BB">
        <w:rPr>
          <w:lang w:val="es-ES"/>
        </w:rPr>
        <w:t xml:space="preserve"> </w:t>
      </w:r>
      <w:r w:rsidRPr="003618E2">
        <w:rPr>
          <w:lang w:val="es-ES"/>
        </w:rPr>
        <w:t>exigen</w:t>
      </w:r>
      <w:r w:rsidR="00D136BB">
        <w:rPr>
          <w:lang w:val="es-ES"/>
        </w:rPr>
        <w:t xml:space="preserve"> </w:t>
      </w:r>
      <w:r w:rsidRPr="003618E2">
        <w:rPr>
          <w:lang w:val="es-ES"/>
        </w:rPr>
        <w:t>métodos</w:t>
      </w:r>
      <w:r w:rsidR="00D136BB">
        <w:rPr>
          <w:lang w:val="es-ES"/>
        </w:rPr>
        <w:t xml:space="preserve"> </w:t>
      </w:r>
      <w:r w:rsidRPr="003618E2">
        <w:rPr>
          <w:lang w:val="es-ES"/>
        </w:rPr>
        <w:t>no</w:t>
      </w:r>
      <w:r w:rsidR="00D136BB">
        <w:rPr>
          <w:lang w:val="es-ES"/>
        </w:rPr>
        <w:t xml:space="preserve"> </w:t>
      </w:r>
      <w:r w:rsidRPr="003618E2">
        <w:rPr>
          <w:lang w:val="es-ES"/>
        </w:rPr>
        <w:t>invasivos</w:t>
      </w:r>
      <w:r w:rsidR="00D136BB">
        <w:rPr>
          <w:lang w:val="es-ES"/>
        </w:rPr>
        <w:t xml:space="preserve"> </w:t>
      </w:r>
      <w:r w:rsidRPr="003618E2">
        <w:rPr>
          <w:lang w:val="es-ES"/>
        </w:rPr>
        <w:t>de</w:t>
      </w:r>
      <w:r w:rsidR="00D136BB">
        <w:rPr>
          <w:lang w:val="es-ES"/>
        </w:rPr>
        <w:t xml:space="preserve"> </w:t>
      </w:r>
      <w:r w:rsidRPr="003618E2">
        <w:rPr>
          <w:lang w:val="es-ES"/>
        </w:rPr>
        <w:t>evaluación</w:t>
      </w:r>
      <w:r w:rsidR="00D136BB">
        <w:rPr>
          <w:lang w:val="es-ES"/>
        </w:rPr>
        <w:t xml:space="preserve"> </w:t>
      </w:r>
      <w:r w:rsidRPr="003618E2">
        <w:rPr>
          <w:lang w:val="es-ES"/>
        </w:rPr>
        <w:t>para</w:t>
      </w:r>
      <w:r w:rsidR="00D136BB">
        <w:rPr>
          <w:lang w:val="es-ES"/>
        </w:rPr>
        <w:t xml:space="preserve"> </w:t>
      </w:r>
      <w:r w:rsidRPr="003618E2">
        <w:rPr>
          <w:lang w:val="es-ES"/>
        </w:rPr>
        <w:t>tomar</w:t>
      </w:r>
      <w:r w:rsidR="00D136BB">
        <w:rPr>
          <w:lang w:val="es-ES"/>
        </w:rPr>
        <w:t xml:space="preserve"> </w:t>
      </w:r>
      <w:r w:rsidRPr="003618E2">
        <w:rPr>
          <w:lang w:val="es-ES"/>
        </w:rPr>
        <w:t>las</w:t>
      </w:r>
      <w:r w:rsidR="00D136BB">
        <w:rPr>
          <w:lang w:val="es-ES"/>
        </w:rPr>
        <w:t xml:space="preserve"> </w:t>
      </w:r>
      <w:r w:rsidRPr="003618E2">
        <w:rPr>
          <w:lang w:val="es-ES"/>
        </w:rPr>
        <w:t>acciones</w:t>
      </w:r>
      <w:r w:rsidR="00D136BB">
        <w:rPr>
          <w:lang w:val="es-ES"/>
        </w:rPr>
        <w:t xml:space="preserve"> </w:t>
      </w:r>
      <w:r w:rsidRPr="003618E2">
        <w:rPr>
          <w:lang w:val="es-ES"/>
        </w:rPr>
        <w:t>técnicas</w:t>
      </w:r>
      <w:r w:rsidR="00D136BB">
        <w:rPr>
          <w:lang w:val="es-ES"/>
        </w:rPr>
        <w:t xml:space="preserve"> </w:t>
      </w:r>
      <w:r w:rsidRPr="003618E2">
        <w:rPr>
          <w:lang w:val="es-ES"/>
        </w:rPr>
        <w:t>apropiada</w:t>
      </w:r>
      <w:r w:rsidR="00D136BB">
        <w:rPr>
          <w:lang w:val="es-ES"/>
        </w:rPr>
        <w:t xml:space="preserve"> </w:t>
      </w:r>
      <w:r w:rsidRPr="003618E2">
        <w:rPr>
          <w:lang w:val="es-ES"/>
        </w:rPr>
        <w:t>que</w:t>
      </w:r>
      <w:r w:rsidR="00D136BB">
        <w:rPr>
          <w:lang w:val="es-ES"/>
        </w:rPr>
        <w:t xml:space="preserve"> </w:t>
      </w:r>
      <w:r w:rsidRPr="003618E2">
        <w:rPr>
          <w:lang w:val="es-ES"/>
        </w:rPr>
        <w:t>conducentes</w:t>
      </w:r>
      <w:r w:rsidR="00D136BB">
        <w:rPr>
          <w:lang w:val="es-ES"/>
        </w:rPr>
        <w:t xml:space="preserve"> </w:t>
      </w:r>
      <w:r w:rsidRPr="003618E2">
        <w:rPr>
          <w:lang w:val="es-ES"/>
        </w:rPr>
        <w:t>a</w:t>
      </w:r>
      <w:r w:rsidR="00D136BB">
        <w:rPr>
          <w:lang w:val="es-ES"/>
        </w:rPr>
        <w:t xml:space="preserve"> </w:t>
      </w:r>
      <w:r w:rsidRPr="003618E2">
        <w:rPr>
          <w:lang w:val="es-ES"/>
        </w:rPr>
        <w:t>una</w:t>
      </w:r>
      <w:r w:rsidR="00D136BB">
        <w:rPr>
          <w:lang w:val="es-ES"/>
        </w:rPr>
        <w:t xml:space="preserve"> </w:t>
      </w:r>
      <w:r w:rsidRPr="003618E2">
        <w:rPr>
          <w:lang w:val="es-ES"/>
        </w:rPr>
        <w:t>solución.</w:t>
      </w:r>
      <w:r w:rsidR="00D136BB">
        <w:rPr>
          <w:lang w:val="es-ES"/>
        </w:rPr>
        <w:t xml:space="preserve"> </w:t>
      </w:r>
      <w:r w:rsidRPr="003618E2">
        <w:rPr>
          <w:lang w:val="es-ES"/>
        </w:rPr>
        <w:t>En</w:t>
      </w:r>
      <w:r w:rsidR="00D136BB">
        <w:rPr>
          <w:lang w:val="es-ES"/>
        </w:rPr>
        <w:t xml:space="preserve"> </w:t>
      </w:r>
      <w:r w:rsidRPr="003618E2">
        <w:rPr>
          <w:lang w:val="es-ES"/>
        </w:rPr>
        <w:t>este</w:t>
      </w:r>
      <w:r w:rsidR="00D136BB">
        <w:rPr>
          <w:lang w:val="es-ES"/>
        </w:rPr>
        <w:t xml:space="preserve"> </w:t>
      </w:r>
      <w:r w:rsidRPr="003618E2">
        <w:rPr>
          <w:lang w:val="es-ES"/>
        </w:rPr>
        <w:t>ámbito,</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tales</w:t>
      </w:r>
      <w:r w:rsidR="00D136BB">
        <w:rPr>
          <w:lang w:val="es-ES"/>
        </w:rPr>
        <w:t xml:space="preserve"> </w:t>
      </w:r>
      <w:r w:rsidRPr="003618E2">
        <w:rPr>
          <w:lang w:val="es-ES"/>
        </w:rPr>
        <w:t>como</w:t>
      </w:r>
      <w:r w:rsidR="00D136BB">
        <w:rPr>
          <w:lang w:val="es-ES"/>
        </w:rPr>
        <w:t xml:space="preserve"> </w:t>
      </w:r>
      <w:r w:rsidRPr="003618E2">
        <w:rPr>
          <w:lang w:val="es-ES"/>
        </w:rPr>
        <w:t>los</w:t>
      </w:r>
      <w:r w:rsidR="00D136BB">
        <w:rPr>
          <w:lang w:val="es-ES"/>
        </w:rPr>
        <w:t xml:space="preserve"> </w:t>
      </w:r>
      <w:r w:rsidRPr="003618E2">
        <w:rPr>
          <w:lang w:val="es-ES"/>
        </w:rPr>
        <w:t>trazadores</w:t>
      </w:r>
      <w:r w:rsidR="00D136BB">
        <w:rPr>
          <w:lang w:val="es-ES"/>
        </w:rPr>
        <w:t xml:space="preserve"> </w:t>
      </w:r>
      <w:r w:rsidRPr="003618E2">
        <w:rPr>
          <w:lang w:val="es-ES"/>
        </w:rPr>
        <w:t>y</w:t>
      </w:r>
      <w:r w:rsidR="00D136BB">
        <w:rPr>
          <w:lang w:val="es-ES"/>
        </w:rPr>
        <w:t xml:space="preserve"> </w:t>
      </w:r>
      <w:r w:rsidRPr="003618E2">
        <w:rPr>
          <w:lang w:val="es-ES"/>
        </w:rPr>
        <w:t>fuentes</w:t>
      </w:r>
      <w:r w:rsidR="00D136BB">
        <w:rPr>
          <w:lang w:val="es-ES"/>
        </w:rPr>
        <w:t xml:space="preserve"> </w:t>
      </w:r>
      <w:r w:rsidRPr="003618E2">
        <w:rPr>
          <w:lang w:val="es-ES"/>
        </w:rPr>
        <w:t>selladas</w:t>
      </w:r>
      <w:r w:rsidR="00D136BB">
        <w:rPr>
          <w:lang w:val="es-ES"/>
        </w:rPr>
        <w:t xml:space="preserve"> </w:t>
      </w:r>
      <w:r w:rsidRPr="003618E2">
        <w:rPr>
          <w:lang w:val="es-ES"/>
        </w:rPr>
        <w:t>contribuyen</w:t>
      </w:r>
      <w:r w:rsidR="00D136BB">
        <w:rPr>
          <w:lang w:val="es-ES"/>
        </w:rPr>
        <w:t xml:space="preserve"> </w:t>
      </w:r>
      <w:r w:rsidRPr="003618E2">
        <w:rPr>
          <w:lang w:val="es-ES"/>
        </w:rPr>
        <w:t>a</w:t>
      </w:r>
      <w:r w:rsidR="00D136BB">
        <w:rPr>
          <w:lang w:val="es-ES"/>
        </w:rPr>
        <w:t xml:space="preserve"> </w:t>
      </w:r>
      <w:r w:rsidRPr="003618E2">
        <w:rPr>
          <w:lang w:val="es-ES"/>
        </w:rPr>
        <w:t>la</w:t>
      </w:r>
      <w:r w:rsidR="00D136BB">
        <w:rPr>
          <w:lang w:val="es-ES"/>
        </w:rPr>
        <w:t xml:space="preserve"> </w:t>
      </w:r>
      <w:r w:rsidRPr="003618E2">
        <w:rPr>
          <w:lang w:val="es-ES"/>
        </w:rPr>
        <w:t>optimización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procesos</w:t>
      </w:r>
      <w:r w:rsidR="00D136BB">
        <w:rPr>
          <w:lang w:val="es-ES"/>
        </w:rPr>
        <w:t xml:space="preserve"> </w:t>
      </w:r>
      <w:r w:rsidRPr="003618E2">
        <w:rPr>
          <w:lang w:val="es-ES"/>
        </w:rPr>
        <w:t>industriales.</w:t>
      </w:r>
      <w:r w:rsidR="00D136BB">
        <w:rPr>
          <w:lang w:val="es-ES"/>
        </w:rPr>
        <w:t xml:space="preserve"> </w:t>
      </w:r>
      <w:r w:rsidRPr="003618E2">
        <w:rPr>
          <w:lang w:val="es-ES"/>
        </w:rPr>
        <w:t>Es</w:t>
      </w:r>
      <w:r w:rsidR="00D136BB">
        <w:rPr>
          <w:lang w:val="es-ES"/>
        </w:rPr>
        <w:t xml:space="preserve"> </w:t>
      </w:r>
      <w:r w:rsidRPr="003618E2">
        <w:rPr>
          <w:lang w:val="es-ES"/>
        </w:rPr>
        <w:t>necesario</w:t>
      </w:r>
      <w:r w:rsidR="00D136BB">
        <w:rPr>
          <w:lang w:val="es-ES"/>
        </w:rPr>
        <w:t xml:space="preserve"> </w:t>
      </w:r>
      <w:r w:rsidRPr="003618E2">
        <w:rPr>
          <w:lang w:val="es-ES"/>
        </w:rPr>
        <w:t>difundir</w:t>
      </w:r>
      <w:r w:rsidR="00D136BB">
        <w:rPr>
          <w:lang w:val="es-ES"/>
        </w:rPr>
        <w:t xml:space="preserve"> </w:t>
      </w:r>
      <w:r w:rsidRPr="003618E2">
        <w:rPr>
          <w:lang w:val="es-ES"/>
        </w:rPr>
        <w:t>y</w:t>
      </w:r>
      <w:r w:rsidR="00D136BB">
        <w:rPr>
          <w:lang w:val="es-ES"/>
        </w:rPr>
        <w:t xml:space="preserve"> </w:t>
      </w:r>
      <w:r w:rsidRPr="003618E2">
        <w:rPr>
          <w:lang w:val="es-ES"/>
        </w:rPr>
        <w:t>promover</w:t>
      </w:r>
      <w:r w:rsidR="00D136BB">
        <w:rPr>
          <w:lang w:val="es-ES"/>
        </w:rPr>
        <w:t xml:space="preserve"> </w:t>
      </w:r>
      <w:r w:rsidRPr="003618E2">
        <w:rPr>
          <w:lang w:val="es-ES"/>
        </w:rPr>
        <w:t>(usuarios,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decisiones),</w:t>
      </w:r>
      <w:r w:rsidR="00D136BB">
        <w:rPr>
          <w:lang w:val="es-ES"/>
        </w:rPr>
        <w:t xml:space="preserve"> </w:t>
      </w:r>
      <w:r w:rsidRPr="003618E2">
        <w:rPr>
          <w:lang w:val="es-ES"/>
        </w:rPr>
        <w:t>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p>
    <w:p w14:paraId="70C8B7DD" w14:textId="0C467B67" w:rsidR="006D362C" w:rsidRPr="003618E2" w:rsidRDefault="006D362C" w:rsidP="006D362C">
      <w:pPr>
        <w:pStyle w:val="BodyText"/>
        <w:rPr>
          <w:lang w:val="es-ES"/>
        </w:rPr>
      </w:pPr>
      <w:r w:rsidRPr="003618E2">
        <w:rPr>
          <w:b/>
          <w:lang w:val="es-ES"/>
        </w:rPr>
        <w:t>Objetivo:</w:t>
      </w:r>
      <w:r w:rsidR="00D136BB">
        <w:rPr>
          <w:lang w:val="es-ES"/>
        </w:rPr>
        <w:t xml:space="preserve"> </w:t>
      </w:r>
      <w:r w:rsidRPr="003618E2">
        <w:rPr>
          <w:lang w:val="es-ES"/>
        </w:rPr>
        <w:t>Ampliar</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para</w:t>
      </w:r>
      <w:r w:rsidR="00D136BB">
        <w:rPr>
          <w:lang w:val="es-ES"/>
        </w:rPr>
        <w:t xml:space="preserve"> </w:t>
      </w:r>
      <w:r w:rsidRPr="003618E2">
        <w:rPr>
          <w:lang w:val="es-ES"/>
        </w:rPr>
        <w:t>optimizar</w:t>
      </w:r>
      <w:r w:rsidR="00D136BB">
        <w:rPr>
          <w:lang w:val="es-ES"/>
        </w:rPr>
        <w:t xml:space="preserve"> </w:t>
      </w:r>
      <w:r w:rsidRPr="003618E2">
        <w:rPr>
          <w:lang w:val="es-ES"/>
        </w:rPr>
        <w:t>procesos</w:t>
      </w:r>
      <w:r w:rsidR="00D136BB">
        <w:rPr>
          <w:lang w:val="es-ES"/>
        </w:rPr>
        <w:t xml:space="preserve"> </w:t>
      </w:r>
      <w:r w:rsidRPr="003618E2">
        <w:rPr>
          <w:lang w:val="es-ES"/>
        </w:rPr>
        <w:t>tecnológicos</w:t>
      </w:r>
      <w:r w:rsidR="00D136BB">
        <w:rPr>
          <w:lang w:val="es-ES"/>
        </w:rPr>
        <w:t xml:space="preserve"> </w:t>
      </w:r>
      <w:r w:rsidRPr="003618E2">
        <w:rPr>
          <w:lang w:val="es-ES"/>
        </w:rPr>
        <w:t>productivos</w:t>
      </w:r>
      <w:r w:rsidR="00D136BB">
        <w:rPr>
          <w:lang w:val="es-ES"/>
        </w:rPr>
        <w:t xml:space="preserve"> </w:t>
      </w:r>
      <w:r w:rsidRPr="003618E2">
        <w:rPr>
          <w:lang w:val="es-ES"/>
        </w:rPr>
        <w:t>reduciendo</w:t>
      </w:r>
      <w:r w:rsidR="00D136BB">
        <w:rPr>
          <w:lang w:val="es-ES"/>
        </w:rPr>
        <w:t xml:space="preserve"> </w:t>
      </w:r>
      <w:r w:rsidRPr="003618E2">
        <w:rPr>
          <w:lang w:val="es-ES"/>
        </w:rPr>
        <w:t>el</w:t>
      </w:r>
      <w:r w:rsidR="00D136BB">
        <w:rPr>
          <w:lang w:val="es-ES"/>
        </w:rPr>
        <w:t xml:space="preserve"> </w:t>
      </w:r>
      <w:r w:rsidRPr="003618E2">
        <w:rPr>
          <w:lang w:val="es-ES"/>
        </w:rPr>
        <w:t>impacto</w:t>
      </w:r>
      <w:r w:rsidR="00D136BB">
        <w:rPr>
          <w:lang w:val="es-ES"/>
        </w:rPr>
        <w:t xml:space="preserve"> </w:t>
      </w:r>
      <w:r w:rsidRPr="003618E2">
        <w:rPr>
          <w:lang w:val="es-ES"/>
        </w:rPr>
        <w:t>ambiental.</w:t>
      </w:r>
    </w:p>
    <w:p w14:paraId="5F428422" w14:textId="654A664C" w:rsidR="006D362C" w:rsidRPr="003618E2" w:rsidRDefault="006D362C" w:rsidP="006D362C">
      <w:pPr>
        <w:pStyle w:val="BodyText"/>
        <w:rPr>
          <w:lang w:val="es-ES"/>
        </w:rPr>
      </w:pPr>
      <w:r w:rsidRPr="003618E2">
        <w:rPr>
          <w:b/>
          <w:bCs/>
          <w:lang w:val="es-ES"/>
        </w:rPr>
        <w:t>Indicador:</w:t>
      </w:r>
      <w:r w:rsidR="00D136BB">
        <w:rPr>
          <w:lang w:val="es-ES"/>
        </w:rPr>
        <w:t xml:space="preserve"> </w:t>
      </w:r>
      <w:r w:rsidRPr="003618E2">
        <w:rPr>
          <w:lang w:val="es-ES"/>
        </w:rPr>
        <w:t>(1)</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procesos</w:t>
      </w:r>
      <w:r w:rsidR="00D136BB">
        <w:rPr>
          <w:lang w:val="es-ES"/>
        </w:rPr>
        <w:t xml:space="preserve"> </w:t>
      </w:r>
      <w:r w:rsidRPr="003618E2">
        <w:rPr>
          <w:lang w:val="es-ES"/>
        </w:rPr>
        <w:t>tecnológicos</w:t>
      </w:r>
      <w:r w:rsidR="00D136BB">
        <w:rPr>
          <w:lang w:val="es-ES"/>
        </w:rPr>
        <w:t xml:space="preserve"> </w:t>
      </w:r>
      <w:r w:rsidRPr="003618E2">
        <w:rPr>
          <w:lang w:val="es-ES"/>
        </w:rPr>
        <w:t>productivos</w:t>
      </w:r>
      <w:r w:rsidR="00D136BB">
        <w:rPr>
          <w:lang w:val="es-ES"/>
        </w:rPr>
        <w:t xml:space="preserve"> </w:t>
      </w:r>
      <w:r w:rsidRPr="003618E2">
        <w:rPr>
          <w:lang w:val="es-ES"/>
        </w:rPr>
        <w:t>optimizados</w:t>
      </w:r>
      <w:r w:rsidR="00D136BB">
        <w:rPr>
          <w:lang w:val="es-ES"/>
        </w:rPr>
        <w:t xml:space="preserve"> </w:t>
      </w:r>
      <w:r w:rsidRPr="003618E2">
        <w:rPr>
          <w:lang w:val="es-ES"/>
        </w:rPr>
        <w:t>con</w:t>
      </w:r>
      <w:r w:rsidR="00D136BB">
        <w:rPr>
          <w:lang w:val="es-ES"/>
        </w:rPr>
        <w:t xml:space="preserve"> </w:t>
      </w:r>
      <w:r w:rsidRPr="003618E2">
        <w:rPr>
          <w:lang w:val="es-ES"/>
        </w:rPr>
        <w:t>técnicas.</w:t>
      </w:r>
      <w:r w:rsidR="00D136BB">
        <w:rPr>
          <w:lang w:val="es-ES"/>
        </w:rPr>
        <w:t xml:space="preserve"> </w:t>
      </w:r>
      <w:r w:rsidRPr="003618E2">
        <w:rPr>
          <w:lang w:val="es-ES"/>
        </w:rPr>
        <w:t>(2)</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publicaciones</w:t>
      </w:r>
      <w:r w:rsidR="00D136BB">
        <w:rPr>
          <w:lang w:val="es-ES"/>
        </w:rPr>
        <w:t xml:space="preserve"> </w:t>
      </w:r>
      <w:r w:rsidRPr="003618E2">
        <w:rPr>
          <w:lang w:val="es-ES"/>
        </w:rPr>
        <w:t>científicas</w:t>
      </w:r>
      <w:r w:rsidR="00D136BB">
        <w:rPr>
          <w:lang w:val="es-ES"/>
        </w:rPr>
        <w:t xml:space="preserve"> </w:t>
      </w:r>
      <w:r w:rsidRPr="003618E2">
        <w:rPr>
          <w:lang w:val="es-ES"/>
        </w:rPr>
        <w:t>y</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noticias</w:t>
      </w:r>
      <w:r w:rsidR="00D136BB">
        <w:rPr>
          <w:lang w:val="es-ES"/>
        </w:rPr>
        <w:t xml:space="preserve"> </w:t>
      </w:r>
      <w:r w:rsidRPr="003618E2">
        <w:rPr>
          <w:lang w:val="es-ES"/>
        </w:rPr>
        <w:t>elaboradas</w:t>
      </w:r>
      <w:r w:rsidR="00D136BB">
        <w:rPr>
          <w:lang w:val="es-ES"/>
        </w:rPr>
        <w:t xml:space="preserve"> </w:t>
      </w:r>
      <w:r w:rsidRPr="003618E2">
        <w:rPr>
          <w:lang w:val="es-ES"/>
        </w:rPr>
        <w:t>por</w:t>
      </w:r>
      <w:r w:rsidR="00D136BB">
        <w:rPr>
          <w:lang w:val="es-ES"/>
        </w:rPr>
        <w:t xml:space="preserve"> </w:t>
      </w:r>
      <w:r w:rsidRPr="003618E2">
        <w:rPr>
          <w:lang w:val="es-ES"/>
        </w:rPr>
        <w:t>los</w:t>
      </w:r>
      <w:r w:rsidR="00D136BB">
        <w:rPr>
          <w:lang w:val="es-ES"/>
        </w:rPr>
        <w:t xml:space="preserve"> </w:t>
      </w:r>
      <w:r w:rsidRPr="003618E2">
        <w:rPr>
          <w:lang w:val="es-ES"/>
        </w:rPr>
        <w:t>respectivos</w:t>
      </w:r>
      <w:r w:rsidR="00D136BB">
        <w:rPr>
          <w:lang w:val="es-ES"/>
        </w:rPr>
        <w:t xml:space="preserve"> </w:t>
      </w:r>
      <w:r w:rsidRPr="003618E2">
        <w:rPr>
          <w:lang w:val="es-ES"/>
        </w:rPr>
        <w:t>departamentos</w:t>
      </w:r>
      <w:r w:rsidR="00D136BB">
        <w:rPr>
          <w:lang w:val="es-ES"/>
        </w:rPr>
        <w:t xml:space="preserve"> </w:t>
      </w:r>
      <w:r w:rsidRPr="003618E2">
        <w:rPr>
          <w:lang w:val="es-ES"/>
        </w:rPr>
        <w:t>de</w:t>
      </w:r>
      <w:r w:rsidR="00D136BB">
        <w:rPr>
          <w:lang w:val="es-ES"/>
        </w:rPr>
        <w:t xml:space="preserve"> </w:t>
      </w:r>
      <w:r w:rsidRPr="003618E2">
        <w:rPr>
          <w:lang w:val="es-ES"/>
        </w:rPr>
        <w:t>comunicación</w:t>
      </w:r>
      <w:r w:rsidR="00D136BB">
        <w:rPr>
          <w:lang w:val="es-ES"/>
        </w:rPr>
        <w:t xml:space="preserve"> </w:t>
      </w:r>
      <w:r w:rsidRPr="003618E2">
        <w:rPr>
          <w:lang w:val="es-ES"/>
        </w:rPr>
        <w:t>(divulgación</w:t>
      </w:r>
      <w:r w:rsidR="00D136BB">
        <w:rPr>
          <w:lang w:val="es-ES"/>
        </w:rPr>
        <w:t xml:space="preserve"> </w:t>
      </w:r>
      <w:r w:rsidRPr="003618E2">
        <w:rPr>
          <w:lang w:val="es-ES"/>
        </w:rPr>
        <w:t>técnica</w:t>
      </w:r>
      <w:r w:rsidR="00D136BB">
        <w:rPr>
          <w:lang w:val="es-ES"/>
        </w:rPr>
        <w:t xml:space="preserve"> </w:t>
      </w:r>
      <w:r w:rsidRPr="003618E2">
        <w:rPr>
          <w:lang w:val="es-ES"/>
        </w:rPr>
        <w:t>-periodística).</w:t>
      </w:r>
    </w:p>
    <w:p w14:paraId="15D3E718" w14:textId="77777777" w:rsidR="006D362C" w:rsidRPr="003618E2" w:rsidRDefault="006D362C" w:rsidP="006D362C">
      <w:pPr>
        <w:pStyle w:val="BodyText"/>
        <w:rPr>
          <w:u w:val="single"/>
          <w:lang w:val="es-ES"/>
        </w:rPr>
      </w:pPr>
    </w:p>
    <w:p w14:paraId="7D5535EB" w14:textId="00DE9835" w:rsidR="006D362C" w:rsidRPr="003618E2" w:rsidRDefault="006D362C" w:rsidP="006D362C">
      <w:pPr>
        <w:pStyle w:val="BodyText"/>
        <w:numPr>
          <w:ilvl w:val="0"/>
          <w:numId w:val="34"/>
        </w:numPr>
        <w:rPr>
          <w:b/>
          <w:bCs/>
          <w:lang w:val="es-ES"/>
        </w:rPr>
      </w:pPr>
      <w:r w:rsidRPr="003618E2">
        <w:rPr>
          <w:b/>
          <w:bCs/>
          <w:lang w:val="es-ES"/>
        </w:rPr>
        <w:t>Preservación</w:t>
      </w:r>
      <w:r w:rsidR="00D136BB">
        <w:rPr>
          <w:b/>
          <w:bCs/>
          <w:lang w:val="es-ES"/>
        </w:rPr>
        <w:t xml:space="preserve"> </w:t>
      </w:r>
      <w:r w:rsidRPr="003618E2">
        <w:rPr>
          <w:b/>
          <w:bCs/>
          <w:lang w:val="es-ES"/>
        </w:rPr>
        <w:t>de</w:t>
      </w:r>
      <w:r w:rsidR="00D136BB">
        <w:rPr>
          <w:b/>
          <w:bCs/>
          <w:lang w:val="es-ES"/>
        </w:rPr>
        <w:t xml:space="preserve"> </w:t>
      </w:r>
      <w:r w:rsidRPr="003618E2">
        <w:rPr>
          <w:b/>
          <w:bCs/>
          <w:lang w:val="es-ES"/>
        </w:rPr>
        <w:t>objetos</w:t>
      </w:r>
      <w:r w:rsidR="00D136BB">
        <w:rPr>
          <w:b/>
          <w:bCs/>
          <w:lang w:val="es-ES"/>
        </w:rPr>
        <w:t xml:space="preserve"> </w:t>
      </w:r>
      <w:r w:rsidRPr="003618E2">
        <w:rPr>
          <w:b/>
          <w:bCs/>
          <w:lang w:val="es-ES"/>
        </w:rPr>
        <w:t>tangibles</w:t>
      </w:r>
      <w:r w:rsidR="00D136BB">
        <w:rPr>
          <w:b/>
          <w:bCs/>
          <w:lang w:val="es-ES"/>
        </w:rPr>
        <w:t xml:space="preserve"> </w:t>
      </w:r>
      <w:r w:rsidRPr="003618E2">
        <w:rPr>
          <w:b/>
          <w:bCs/>
          <w:lang w:val="es-ES"/>
        </w:rPr>
        <w:t>de</w:t>
      </w:r>
      <w:r w:rsidR="00D136BB">
        <w:rPr>
          <w:b/>
          <w:bCs/>
          <w:lang w:val="es-ES"/>
        </w:rPr>
        <w:t xml:space="preserve"> </w:t>
      </w:r>
      <w:r w:rsidRPr="003618E2">
        <w:rPr>
          <w:b/>
          <w:bCs/>
          <w:lang w:val="es-ES"/>
        </w:rPr>
        <w:t>patrimonio</w:t>
      </w:r>
      <w:r w:rsidR="00D136BB">
        <w:rPr>
          <w:b/>
          <w:bCs/>
          <w:lang w:val="es-ES"/>
        </w:rPr>
        <w:t xml:space="preserve"> </w:t>
      </w:r>
      <w:r w:rsidRPr="003618E2">
        <w:rPr>
          <w:b/>
          <w:bCs/>
          <w:lang w:val="es-ES"/>
        </w:rPr>
        <w:t>cultural</w:t>
      </w:r>
      <w:r w:rsidR="00D136BB">
        <w:rPr>
          <w:b/>
          <w:bCs/>
          <w:lang w:val="es-ES"/>
        </w:rPr>
        <w:t xml:space="preserve"> </w:t>
      </w:r>
      <w:r w:rsidRPr="003618E2">
        <w:rPr>
          <w:b/>
          <w:bCs/>
          <w:lang w:val="es-ES"/>
        </w:rPr>
        <w:t>y</w:t>
      </w:r>
      <w:r w:rsidR="00D136BB">
        <w:rPr>
          <w:b/>
          <w:bCs/>
          <w:lang w:val="es-ES"/>
        </w:rPr>
        <w:t xml:space="preserve"> </w:t>
      </w:r>
      <w:r w:rsidRPr="003618E2">
        <w:rPr>
          <w:b/>
          <w:bCs/>
          <w:lang w:val="es-ES"/>
        </w:rPr>
        <w:t>materiales</w:t>
      </w:r>
      <w:r w:rsidR="00D136BB">
        <w:rPr>
          <w:b/>
          <w:bCs/>
          <w:lang w:val="es-ES"/>
        </w:rPr>
        <w:t xml:space="preserve"> </w:t>
      </w:r>
      <w:r w:rsidRPr="003618E2">
        <w:rPr>
          <w:b/>
          <w:bCs/>
          <w:lang w:val="es-ES"/>
        </w:rPr>
        <w:t>archivados</w:t>
      </w:r>
      <w:r w:rsidR="00D136BB">
        <w:rPr>
          <w:b/>
          <w:bCs/>
          <w:lang w:val="es-ES"/>
        </w:rPr>
        <w:t xml:space="preserve"> </w:t>
      </w:r>
      <w:r w:rsidRPr="003618E2">
        <w:rPr>
          <w:b/>
          <w:bCs/>
          <w:lang w:val="es-ES"/>
        </w:rPr>
        <w:t>por</w:t>
      </w:r>
      <w:r w:rsidR="00D136BB">
        <w:rPr>
          <w:b/>
          <w:bCs/>
          <w:lang w:val="es-ES"/>
        </w:rPr>
        <w:t xml:space="preserve"> </w:t>
      </w:r>
      <w:r w:rsidRPr="003618E2">
        <w:rPr>
          <w:b/>
          <w:bCs/>
          <w:lang w:val="es-ES"/>
        </w:rPr>
        <w:t>técnicas</w:t>
      </w:r>
      <w:r w:rsidR="00D136BB">
        <w:rPr>
          <w:b/>
          <w:bCs/>
          <w:lang w:val="es-ES"/>
        </w:rPr>
        <w:t xml:space="preserve"> </w:t>
      </w:r>
      <w:r w:rsidRPr="003618E2">
        <w:rPr>
          <w:b/>
          <w:bCs/>
          <w:lang w:val="es-ES_tradnl"/>
        </w:rPr>
        <w:t>nucleares</w:t>
      </w:r>
    </w:p>
    <w:p w14:paraId="49026D09" w14:textId="7C0345ED" w:rsidR="006D362C" w:rsidRPr="003618E2" w:rsidRDefault="006D362C" w:rsidP="006D362C">
      <w:pPr>
        <w:pStyle w:val="BodyText"/>
        <w:rPr>
          <w:lang w:val="es-ES"/>
        </w:rPr>
      </w:pPr>
      <w:r w:rsidRPr="003618E2">
        <w:rPr>
          <w:b/>
          <w:lang w:val="es-ES"/>
        </w:rPr>
        <w:t>Justificación:</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y</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analíticas</w:t>
      </w:r>
      <w:r w:rsidR="00D136BB">
        <w:rPr>
          <w:lang w:val="es-ES"/>
        </w:rPr>
        <w:t xml:space="preserve"> </w:t>
      </w:r>
      <w:r w:rsidRPr="003618E2">
        <w:rPr>
          <w:lang w:val="es-ES"/>
        </w:rPr>
        <w:t>nucleares</w:t>
      </w:r>
      <w:r w:rsidR="00D136BB">
        <w:rPr>
          <w:lang w:val="es-ES"/>
        </w:rPr>
        <w:t xml:space="preserve"> </w:t>
      </w:r>
      <w:r w:rsidRPr="003618E2">
        <w:rPr>
          <w:lang w:val="es-ES"/>
        </w:rPr>
        <w:t>pueden</w:t>
      </w:r>
      <w:r w:rsidR="00D136BB">
        <w:rPr>
          <w:lang w:val="es-ES"/>
        </w:rPr>
        <w:t xml:space="preserve"> </w:t>
      </w:r>
      <w:r w:rsidRPr="003618E2">
        <w:rPr>
          <w:lang w:val="es-ES"/>
        </w:rPr>
        <w:t>contribuir</w:t>
      </w:r>
      <w:r w:rsidR="00D136BB">
        <w:rPr>
          <w:lang w:val="es-ES"/>
        </w:rPr>
        <w:t xml:space="preserve"> </w:t>
      </w:r>
      <w:r w:rsidRPr="003618E2">
        <w:rPr>
          <w:lang w:val="es-ES"/>
        </w:rPr>
        <w:t>de</w:t>
      </w:r>
      <w:r w:rsidR="00D136BB">
        <w:rPr>
          <w:lang w:val="es-ES"/>
        </w:rPr>
        <w:t xml:space="preserve"> </w:t>
      </w:r>
      <w:r w:rsidRPr="003618E2">
        <w:rPr>
          <w:lang w:val="es-ES"/>
        </w:rPr>
        <w:t>una</w:t>
      </w:r>
      <w:r w:rsidR="00D136BB">
        <w:rPr>
          <w:lang w:val="es-ES"/>
        </w:rPr>
        <w:t xml:space="preserve"> </w:t>
      </w:r>
      <w:r w:rsidRPr="003618E2">
        <w:rPr>
          <w:lang w:val="es-ES"/>
        </w:rPr>
        <w:t>manera</w:t>
      </w:r>
      <w:r w:rsidR="00D136BB">
        <w:rPr>
          <w:lang w:val="es-ES"/>
        </w:rPr>
        <w:t xml:space="preserve"> </w:t>
      </w:r>
      <w:r w:rsidRPr="003618E2">
        <w:rPr>
          <w:lang w:val="es-ES"/>
        </w:rPr>
        <w:t>eficaz</w:t>
      </w:r>
      <w:r w:rsidR="00D136BB">
        <w:rPr>
          <w:lang w:val="es-ES"/>
        </w:rPr>
        <w:t xml:space="preserve"> </w:t>
      </w:r>
      <w:r w:rsidRPr="003618E2">
        <w:rPr>
          <w:lang w:val="es-ES"/>
        </w:rPr>
        <w:t>y</w:t>
      </w:r>
      <w:r w:rsidR="00D136BB">
        <w:rPr>
          <w:lang w:val="es-ES"/>
        </w:rPr>
        <w:t xml:space="preserve"> </w:t>
      </w:r>
      <w:r w:rsidRPr="003618E2">
        <w:rPr>
          <w:lang w:val="es-ES"/>
        </w:rPr>
        <w:t>asequible</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caracterización,</w:t>
      </w:r>
      <w:r w:rsidR="00D136BB">
        <w:rPr>
          <w:lang w:val="es-ES"/>
        </w:rPr>
        <w:t xml:space="preserve"> </w:t>
      </w:r>
      <w:r w:rsidRPr="003618E2">
        <w:rPr>
          <w:lang w:val="es-ES"/>
        </w:rPr>
        <w:t>conservación</w:t>
      </w:r>
      <w:r w:rsidR="00D136BB">
        <w:rPr>
          <w:lang w:val="es-ES"/>
        </w:rPr>
        <w:t xml:space="preserve"> </w:t>
      </w:r>
      <w:r w:rsidRPr="003618E2">
        <w:rPr>
          <w:lang w:val="es-ES"/>
        </w:rPr>
        <w:t>y</w:t>
      </w:r>
      <w:r w:rsidR="00D136BB">
        <w:rPr>
          <w:lang w:val="es-ES"/>
        </w:rPr>
        <w:t xml:space="preserve"> </w:t>
      </w:r>
      <w:r w:rsidRPr="003618E2">
        <w:rPr>
          <w:lang w:val="es-ES"/>
        </w:rPr>
        <w:t>restauración</w:t>
      </w:r>
      <w:r w:rsidR="00D136BB">
        <w:rPr>
          <w:lang w:val="es-ES"/>
        </w:rPr>
        <w:t xml:space="preserve"> </w:t>
      </w:r>
      <w:r w:rsidRPr="003618E2">
        <w:rPr>
          <w:lang w:val="es-ES"/>
        </w:rPr>
        <w:t>de</w:t>
      </w:r>
      <w:r w:rsidR="00D136BB">
        <w:rPr>
          <w:lang w:val="es-ES"/>
        </w:rPr>
        <w:t xml:space="preserve"> </w:t>
      </w:r>
      <w:r w:rsidRPr="003618E2">
        <w:rPr>
          <w:lang w:val="es-ES"/>
        </w:rPr>
        <w:t>bienes</w:t>
      </w:r>
      <w:r w:rsidR="00D136BB">
        <w:rPr>
          <w:lang w:val="es-ES"/>
        </w:rPr>
        <w:t xml:space="preserve"> </w:t>
      </w:r>
      <w:r w:rsidRPr="003618E2">
        <w:rPr>
          <w:lang w:val="es-ES"/>
        </w:rPr>
        <w:t>culturales</w:t>
      </w:r>
      <w:r w:rsidR="00D136BB">
        <w:rPr>
          <w:lang w:val="es-ES"/>
        </w:rPr>
        <w:t xml:space="preserve"> </w:t>
      </w:r>
      <w:r w:rsidRPr="003618E2">
        <w:rPr>
          <w:lang w:val="es-ES"/>
        </w:rPr>
        <w:t>(pinturas,</w:t>
      </w:r>
      <w:r w:rsidR="00D136BB">
        <w:rPr>
          <w:lang w:val="es-ES"/>
        </w:rPr>
        <w:t xml:space="preserve"> </w:t>
      </w:r>
      <w:r w:rsidRPr="003618E2">
        <w:rPr>
          <w:lang w:val="es-ES"/>
        </w:rPr>
        <w:t>documentos,</w:t>
      </w:r>
      <w:r w:rsidR="00D136BB">
        <w:rPr>
          <w:lang w:val="es-ES"/>
        </w:rPr>
        <w:t xml:space="preserve"> </w:t>
      </w:r>
      <w:r w:rsidRPr="003618E2">
        <w:rPr>
          <w:lang w:val="es-ES"/>
        </w:rPr>
        <w:t>artefactos,</w:t>
      </w:r>
      <w:r w:rsidR="00D136BB">
        <w:rPr>
          <w:lang w:val="es-ES"/>
        </w:rPr>
        <w:t xml:space="preserve"> </w:t>
      </w:r>
      <w:r w:rsidRPr="003618E2">
        <w:rPr>
          <w:lang w:val="es-ES"/>
        </w:rPr>
        <w:t>objetos</w:t>
      </w:r>
      <w:r w:rsidR="00D136BB">
        <w:rPr>
          <w:lang w:val="es-ES"/>
        </w:rPr>
        <w:t xml:space="preserve"> </w:t>
      </w:r>
      <w:r w:rsidRPr="003618E2">
        <w:rPr>
          <w:lang w:val="es-ES"/>
        </w:rPr>
        <w:t>y</w:t>
      </w:r>
      <w:r w:rsidR="00D136BB">
        <w:rPr>
          <w:lang w:val="es-ES"/>
        </w:rPr>
        <w:t xml:space="preserve"> </w:t>
      </w:r>
      <w:r w:rsidRPr="003618E2">
        <w:rPr>
          <w:lang w:val="es-ES"/>
        </w:rPr>
        <w:t>otros)</w:t>
      </w:r>
      <w:r w:rsidR="00D136BB">
        <w:rPr>
          <w:lang w:val="es-ES"/>
        </w:rPr>
        <w:t xml:space="preserve"> </w:t>
      </w:r>
      <w:r w:rsidRPr="003618E2">
        <w:rPr>
          <w:lang w:val="es-ES"/>
        </w:rPr>
        <w:t>en</w:t>
      </w:r>
      <w:r w:rsidR="00D136BB">
        <w:rPr>
          <w:lang w:val="es-ES"/>
        </w:rPr>
        <w:t xml:space="preserve"> </w:t>
      </w:r>
      <w:r w:rsidRPr="003618E2">
        <w:rPr>
          <w:lang w:val="es-ES"/>
        </w:rPr>
        <w:t>toda</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están</w:t>
      </w:r>
      <w:r w:rsidR="00D136BB">
        <w:rPr>
          <w:lang w:val="es-ES"/>
        </w:rPr>
        <w:t xml:space="preserve"> </w:t>
      </w:r>
      <w:r w:rsidRPr="003618E2">
        <w:rPr>
          <w:lang w:val="es-ES"/>
        </w:rPr>
        <w:t>presentes</w:t>
      </w:r>
      <w:r w:rsidR="00D136BB">
        <w:rPr>
          <w:lang w:val="es-ES"/>
        </w:rPr>
        <w:t xml:space="preserve"> </w:t>
      </w:r>
      <w:r w:rsidRPr="003618E2">
        <w:rPr>
          <w:lang w:val="es-ES"/>
        </w:rPr>
        <w:t>en</w:t>
      </w:r>
      <w:r w:rsidR="00D136BB">
        <w:rPr>
          <w:lang w:val="es-ES"/>
        </w:rPr>
        <w:t xml:space="preserve"> </w:t>
      </w:r>
      <w:r w:rsidRPr="003618E2">
        <w:rPr>
          <w:lang w:val="es-ES"/>
        </w:rPr>
        <w:t>la</w:t>
      </w:r>
      <w:r w:rsidR="00D136BB">
        <w:rPr>
          <w:lang w:val="es-ES"/>
        </w:rPr>
        <w:t xml:space="preserve"> </w:t>
      </w:r>
      <w:r w:rsidRPr="003618E2">
        <w:rPr>
          <w:lang w:val="es-ES"/>
        </w:rPr>
        <w:t>región</w:t>
      </w:r>
      <w:r w:rsidR="00D136BB">
        <w:rPr>
          <w:lang w:val="es-ES"/>
        </w:rPr>
        <w:t xml:space="preserve"> </w:t>
      </w:r>
      <w:r w:rsidRPr="003618E2">
        <w:rPr>
          <w:lang w:val="es-ES"/>
        </w:rPr>
        <w:t>en</w:t>
      </w:r>
      <w:r w:rsidR="00D136BB">
        <w:rPr>
          <w:lang w:val="es-ES"/>
        </w:rPr>
        <w:t xml:space="preserve"> </w:t>
      </w:r>
      <w:r w:rsidRPr="003618E2">
        <w:rPr>
          <w:lang w:val="es-ES"/>
        </w:rPr>
        <w:t>diferente</w:t>
      </w:r>
      <w:r w:rsidR="00D136BB">
        <w:rPr>
          <w:lang w:val="es-ES"/>
        </w:rPr>
        <w:t xml:space="preserve"> </w:t>
      </w:r>
      <w:r w:rsidRPr="003618E2">
        <w:rPr>
          <w:lang w:val="es-ES"/>
        </w:rPr>
        <w:t>grado</w:t>
      </w:r>
      <w:r w:rsidR="00D136BB">
        <w:rPr>
          <w:lang w:val="es-ES"/>
        </w:rPr>
        <w:t xml:space="preserve"> </w:t>
      </w:r>
      <w:r w:rsidRPr="003618E2">
        <w:rPr>
          <w:lang w:val="es-ES"/>
        </w:rPr>
        <w:t>de</w:t>
      </w:r>
      <w:r w:rsidR="00D136BB">
        <w:rPr>
          <w:lang w:val="es-ES"/>
        </w:rPr>
        <w:t xml:space="preserve"> </w:t>
      </w:r>
      <w:r w:rsidRPr="003618E2">
        <w:rPr>
          <w:lang w:val="es-ES"/>
        </w:rPr>
        <w:t>implementación</w:t>
      </w:r>
      <w:r w:rsidR="00D136BB">
        <w:rPr>
          <w:lang w:val="es-ES"/>
        </w:rPr>
        <w:t xml:space="preserve"> </w:t>
      </w:r>
      <w:r w:rsidRPr="003618E2">
        <w:rPr>
          <w:lang w:val="es-ES"/>
        </w:rPr>
        <w:t>e</w:t>
      </w:r>
      <w:r w:rsidR="00D136BB">
        <w:rPr>
          <w:lang w:val="es-ES"/>
        </w:rPr>
        <w:t xml:space="preserve"> </w:t>
      </w:r>
      <w:r w:rsidRPr="003618E2">
        <w:rPr>
          <w:lang w:val="es-ES"/>
        </w:rPr>
        <w:t>infraestructura</w:t>
      </w:r>
      <w:r w:rsidR="00D136BB">
        <w:rPr>
          <w:lang w:val="es-ES"/>
        </w:rPr>
        <w:t xml:space="preserve"> </w:t>
      </w:r>
      <w:r w:rsidRPr="003618E2">
        <w:rPr>
          <w:lang w:val="es-ES"/>
        </w:rPr>
        <w:t>y</w:t>
      </w:r>
      <w:r w:rsidR="00D136BB">
        <w:rPr>
          <w:lang w:val="es-ES"/>
        </w:rPr>
        <w:t xml:space="preserve"> </w:t>
      </w:r>
      <w:r w:rsidRPr="003618E2">
        <w:rPr>
          <w:lang w:val="es-ES"/>
        </w:rPr>
        <w:t>hay</w:t>
      </w:r>
      <w:r w:rsidR="00D136BB">
        <w:rPr>
          <w:lang w:val="es-ES"/>
        </w:rPr>
        <w:t xml:space="preserve"> </w:t>
      </w:r>
      <w:r w:rsidRPr="003618E2">
        <w:rPr>
          <w:lang w:val="es-ES"/>
        </w:rPr>
        <w:t>casos</w:t>
      </w:r>
      <w:r w:rsidR="00D136BB">
        <w:rPr>
          <w:lang w:val="es-ES"/>
        </w:rPr>
        <w:t xml:space="preserve"> </w:t>
      </w:r>
      <w:r w:rsidRPr="003618E2">
        <w:rPr>
          <w:lang w:val="es-ES"/>
        </w:rPr>
        <w:t>de</w:t>
      </w:r>
      <w:r w:rsidR="00D136BB">
        <w:rPr>
          <w:lang w:val="es-ES"/>
        </w:rPr>
        <w:t xml:space="preserve"> </w:t>
      </w:r>
      <w:r w:rsidRPr="003618E2">
        <w:rPr>
          <w:lang w:val="es-ES"/>
        </w:rPr>
        <w:t>éxito</w:t>
      </w:r>
      <w:r w:rsidR="00D136BB">
        <w:rPr>
          <w:lang w:val="es-ES"/>
        </w:rPr>
        <w:t xml:space="preserve"> </w:t>
      </w:r>
      <w:r w:rsidRPr="003618E2">
        <w:rPr>
          <w:lang w:val="es-ES"/>
        </w:rPr>
        <w:t>que</w:t>
      </w:r>
      <w:r w:rsidR="00D136BB">
        <w:rPr>
          <w:lang w:val="es-ES"/>
        </w:rPr>
        <w:t xml:space="preserve"> </w:t>
      </w:r>
      <w:r w:rsidRPr="003618E2">
        <w:rPr>
          <w:lang w:val="es-ES"/>
        </w:rPr>
        <w:t>se</w:t>
      </w:r>
      <w:r w:rsidR="00D136BB">
        <w:rPr>
          <w:lang w:val="es-ES"/>
        </w:rPr>
        <w:t xml:space="preserve"> </w:t>
      </w:r>
      <w:r w:rsidRPr="003618E2">
        <w:rPr>
          <w:lang w:val="es-ES"/>
        </w:rPr>
        <w:t>pueden</w:t>
      </w:r>
      <w:r w:rsidR="00D136BB">
        <w:rPr>
          <w:lang w:val="es-ES"/>
        </w:rPr>
        <w:t xml:space="preserve"> </w:t>
      </w:r>
      <w:r w:rsidRPr="003618E2">
        <w:rPr>
          <w:lang w:val="es-ES"/>
        </w:rPr>
        <w:t>utilizar</w:t>
      </w:r>
      <w:r w:rsidR="00D136BB">
        <w:rPr>
          <w:lang w:val="es-ES"/>
        </w:rPr>
        <w:t xml:space="preserve"> </w:t>
      </w:r>
      <w:r w:rsidRPr="003618E2">
        <w:rPr>
          <w:lang w:val="es-ES"/>
        </w:rPr>
        <w:t>como</w:t>
      </w:r>
      <w:r w:rsidR="00D136BB">
        <w:rPr>
          <w:lang w:val="es-ES"/>
        </w:rPr>
        <w:t xml:space="preserve"> </w:t>
      </w:r>
      <w:r w:rsidRPr="003618E2">
        <w:rPr>
          <w:lang w:val="es-ES"/>
        </w:rPr>
        <w:t>referencia.</w:t>
      </w:r>
      <w:r w:rsidR="00D136BB">
        <w:rPr>
          <w:lang w:val="es-ES"/>
        </w:rPr>
        <w:t xml:space="preserve"> </w:t>
      </w:r>
      <w:r w:rsidRPr="003618E2">
        <w:rPr>
          <w:lang w:val="es-ES"/>
        </w:rPr>
        <w:t>Es</w:t>
      </w:r>
      <w:r w:rsidR="00D136BB">
        <w:rPr>
          <w:lang w:val="es-ES"/>
        </w:rPr>
        <w:t xml:space="preserve"> </w:t>
      </w:r>
      <w:r w:rsidRPr="003618E2">
        <w:rPr>
          <w:lang w:val="es-ES"/>
        </w:rPr>
        <w:t>necesario</w:t>
      </w:r>
      <w:r w:rsidR="00D136BB">
        <w:rPr>
          <w:lang w:val="es-ES"/>
        </w:rPr>
        <w:t xml:space="preserve"> </w:t>
      </w:r>
      <w:r w:rsidRPr="003618E2">
        <w:rPr>
          <w:lang w:val="es-ES"/>
        </w:rPr>
        <w:t>difundir</w:t>
      </w:r>
      <w:r w:rsidR="00D136BB">
        <w:rPr>
          <w:lang w:val="es-ES"/>
        </w:rPr>
        <w:t xml:space="preserve"> </w:t>
      </w:r>
      <w:r w:rsidRPr="003618E2">
        <w:rPr>
          <w:lang w:val="es-ES"/>
        </w:rPr>
        <w:t>y</w:t>
      </w:r>
      <w:r w:rsidR="00D136BB">
        <w:rPr>
          <w:lang w:val="es-ES"/>
        </w:rPr>
        <w:t xml:space="preserve"> </w:t>
      </w:r>
      <w:r w:rsidRPr="003618E2">
        <w:rPr>
          <w:lang w:val="es-ES"/>
        </w:rPr>
        <w:t>promover</w:t>
      </w:r>
      <w:r w:rsidR="00D136BB">
        <w:rPr>
          <w:lang w:val="es-ES"/>
        </w:rPr>
        <w:t xml:space="preserve"> </w:t>
      </w:r>
      <w:r w:rsidRPr="003618E2">
        <w:rPr>
          <w:lang w:val="es-ES"/>
        </w:rPr>
        <w:t>(usuarios,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decisiones),</w:t>
      </w:r>
      <w:r w:rsidR="00D136BB">
        <w:rPr>
          <w:lang w:val="es-ES"/>
        </w:rPr>
        <w:t xml:space="preserve"> </w:t>
      </w:r>
      <w:r w:rsidRPr="003618E2">
        <w:rPr>
          <w:lang w:val="es-ES"/>
        </w:rPr>
        <w:t>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p>
    <w:p w14:paraId="7D1DC510" w14:textId="7E06B7A4" w:rsidR="006D362C" w:rsidRPr="003618E2" w:rsidRDefault="006D362C" w:rsidP="006D362C">
      <w:pPr>
        <w:pStyle w:val="BodyText"/>
        <w:rPr>
          <w:lang w:val="es-ES"/>
        </w:rPr>
      </w:pPr>
      <w:r w:rsidRPr="003618E2">
        <w:rPr>
          <w:b/>
          <w:lang w:val="es-ES"/>
        </w:rPr>
        <w:t>Objetivo:</w:t>
      </w:r>
      <w:r w:rsidR="00D136BB">
        <w:rPr>
          <w:lang w:val="es-ES"/>
        </w:rPr>
        <w:t xml:space="preserve"> </w:t>
      </w:r>
      <w:r w:rsidRPr="003618E2">
        <w:rPr>
          <w:lang w:val="es-ES"/>
        </w:rPr>
        <w:t>Incrementar</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del</w:t>
      </w:r>
      <w:r w:rsidR="00D136BB">
        <w:rPr>
          <w:lang w:val="es-ES"/>
        </w:rPr>
        <w:t xml:space="preserve"> </w:t>
      </w:r>
      <w:r w:rsidRPr="003618E2">
        <w:rPr>
          <w:lang w:val="es-ES"/>
        </w:rPr>
        <w:t>tratamiento</w:t>
      </w:r>
      <w:r w:rsidR="00D136BB">
        <w:rPr>
          <w:lang w:val="es-ES"/>
        </w:rPr>
        <w:t xml:space="preserve"> </w:t>
      </w:r>
      <w:r w:rsidRPr="003618E2">
        <w:rPr>
          <w:lang w:val="es-ES"/>
        </w:rPr>
        <w:t>por</w:t>
      </w:r>
      <w:r w:rsidR="00D136BB">
        <w:rPr>
          <w:lang w:val="es-ES"/>
        </w:rPr>
        <w:t xml:space="preserve"> </w:t>
      </w:r>
      <w:r w:rsidRPr="003618E2">
        <w:rPr>
          <w:lang w:val="es-ES"/>
        </w:rPr>
        <w:t>irradiación,</w:t>
      </w:r>
      <w:r w:rsidR="00D136BB">
        <w:rPr>
          <w:lang w:val="es-ES"/>
        </w:rPr>
        <w:t xml:space="preserve"> </w:t>
      </w:r>
      <w:r w:rsidRPr="003618E2">
        <w:rPr>
          <w:lang w:val="es-ES"/>
        </w:rPr>
        <w:t>técnicas</w:t>
      </w:r>
      <w:r w:rsidR="00D136BB">
        <w:rPr>
          <w:lang w:val="es-ES"/>
        </w:rPr>
        <w:t xml:space="preserve"> </w:t>
      </w:r>
      <w:r w:rsidRPr="003618E2">
        <w:rPr>
          <w:lang w:val="es-ES"/>
        </w:rPr>
        <w:t>analíticas</w:t>
      </w:r>
      <w:r w:rsidR="00D136BB">
        <w:rPr>
          <w:lang w:val="es-ES"/>
        </w:rPr>
        <w:t xml:space="preserve"> </w:t>
      </w:r>
      <w:r w:rsidRPr="003618E2">
        <w:rPr>
          <w:lang w:val="es-ES"/>
        </w:rPr>
        <w:t>y</w:t>
      </w:r>
      <w:r w:rsidR="00D136BB">
        <w:rPr>
          <w:lang w:val="es-ES"/>
        </w:rPr>
        <w:t xml:space="preserve"> </w:t>
      </w:r>
      <w:r w:rsidRPr="003618E2">
        <w:rPr>
          <w:lang w:val="es-ES"/>
        </w:rPr>
        <w:t>ensayos</w:t>
      </w:r>
      <w:r w:rsidR="00D136BB">
        <w:rPr>
          <w:lang w:val="es-ES"/>
        </w:rPr>
        <w:t xml:space="preserve"> </w:t>
      </w:r>
      <w:r w:rsidRPr="003618E2">
        <w:rPr>
          <w:lang w:val="es-ES"/>
        </w:rPr>
        <w:t>no</w:t>
      </w:r>
      <w:r w:rsidR="00D136BB">
        <w:rPr>
          <w:lang w:val="es-ES"/>
        </w:rPr>
        <w:t xml:space="preserve"> </w:t>
      </w:r>
      <w:r w:rsidRPr="003618E2">
        <w:rPr>
          <w:lang w:val="es-ES"/>
        </w:rPr>
        <w:t>destructivos,</w:t>
      </w:r>
      <w:r w:rsidR="00D136BB">
        <w:rPr>
          <w:lang w:val="es-ES"/>
        </w:rPr>
        <w:t xml:space="preserve"> </w:t>
      </w:r>
      <w:r w:rsidRPr="003618E2">
        <w:rPr>
          <w:lang w:val="es-ES"/>
        </w:rPr>
        <w:t>para</w:t>
      </w:r>
      <w:r w:rsidR="00D136BB">
        <w:rPr>
          <w:lang w:val="es-ES"/>
        </w:rPr>
        <w:t xml:space="preserve"> </w:t>
      </w:r>
      <w:r w:rsidRPr="003618E2">
        <w:rPr>
          <w:lang w:val="es-ES"/>
        </w:rPr>
        <w:t>contribuir</w:t>
      </w:r>
      <w:r w:rsidR="00D136BB">
        <w:rPr>
          <w:lang w:val="es-ES"/>
        </w:rPr>
        <w:t xml:space="preserve"> </w:t>
      </w:r>
      <w:r w:rsidRPr="003618E2">
        <w:rPr>
          <w:lang w:val="es-ES"/>
        </w:rPr>
        <w:t>a</w:t>
      </w:r>
      <w:r w:rsidR="00D136BB">
        <w:rPr>
          <w:lang w:val="es-ES"/>
        </w:rPr>
        <w:t xml:space="preserve"> </w:t>
      </w:r>
      <w:r w:rsidRPr="003618E2">
        <w:rPr>
          <w:lang w:val="es-ES"/>
        </w:rPr>
        <w:t>la</w:t>
      </w:r>
      <w:r w:rsidR="00D136BB">
        <w:rPr>
          <w:lang w:val="es-ES"/>
        </w:rPr>
        <w:t xml:space="preserve"> </w:t>
      </w:r>
      <w:r w:rsidRPr="003618E2">
        <w:rPr>
          <w:lang w:val="es-ES"/>
        </w:rPr>
        <w:t>preservación</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herencia</w:t>
      </w:r>
      <w:r w:rsidR="00D136BB">
        <w:rPr>
          <w:lang w:val="es-ES"/>
        </w:rPr>
        <w:t xml:space="preserve"> </w:t>
      </w:r>
      <w:r w:rsidRPr="003618E2">
        <w:rPr>
          <w:lang w:val="es-ES"/>
        </w:rPr>
        <w:t>cultural</w:t>
      </w:r>
      <w:r w:rsidR="00D136BB">
        <w:rPr>
          <w:lang w:val="es-ES"/>
        </w:rPr>
        <w:t xml:space="preserve"> </w:t>
      </w:r>
      <w:r w:rsidRPr="003618E2">
        <w:rPr>
          <w:lang w:val="es-ES"/>
        </w:rPr>
        <w:t>tangible</w:t>
      </w:r>
      <w:r w:rsidR="00D136BB">
        <w:rPr>
          <w:lang w:val="es-ES"/>
        </w:rPr>
        <w:t xml:space="preserve"> </w:t>
      </w:r>
      <w:r w:rsidRPr="003618E2">
        <w:rPr>
          <w:lang w:val="es-ES"/>
        </w:rPr>
        <w:t>de</w:t>
      </w:r>
      <w:r w:rsidR="00D136BB">
        <w:rPr>
          <w:lang w:val="es-ES"/>
        </w:rPr>
        <w:t xml:space="preserve"> </w:t>
      </w:r>
      <w:r w:rsidRPr="003618E2">
        <w:rPr>
          <w:lang w:val="es-ES"/>
        </w:rPr>
        <w:t>América</w:t>
      </w:r>
      <w:r w:rsidR="00D136BB">
        <w:rPr>
          <w:lang w:val="es-ES"/>
        </w:rPr>
        <w:t xml:space="preserve"> </w:t>
      </w:r>
      <w:r w:rsidRPr="003618E2">
        <w:rPr>
          <w:lang w:val="es-ES"/>
        </w:rPr>
        <w:t>Latina</w:t>
      </w:r>
      <w:r w:rsidR="00D136BB">
        <w:rPr>
          <w:lang w:val="es-ES"/>
        </w:rPr>
        <w:t xml:space="preserve"> </w:t>
      </w:r>
      <w:r w:rsidRPr="003618E2">
        <w:rPr>
          <w:lang w:val="es-ES"/>
        </w:rPr>
        <w:t>y</w:t>
      </w:r>
      <w:r w:rsidR="00D136BB">
        <w:rPr>
          <w:lang w:val="es-ES"/>
        </w:rPr>
        <w:t xml:space="preserve"> </w:t>
      </w:r>
      <w:r w:rsidRPr="003618E2">
        <w:rPr>
          <w:lang w:val="es-ES"/>
        </w:rPr>
        <w:t>el</w:t>
      </w:r>
      <w:r w:rsidR="00D136BB">
        <w:rPr>
          <w:lang w:val="es-ES"/>
        </w:rPr>
        <w:t xml:space="preserve"> </w:t>
      </w:r>
      <w:r w:rsidRPr="003618E2">
        <w:rPr>
          <w:lang w:val="es-ES"/>
        </w:rPr>
        <w:t>Caribe.</w:t>
      </w:r>
    </w:p>
    <w:p w14:paraId="7A1DEBFF" w14:textId="738D8EF2" w:rsidR="006D362C" w:rsidRPr="003618E2" w:rsidRDefault="006D362C" w:rsidP="006D362C">
      <w:pPr>
        <w:pStyle w:val="BodyText"/>
        <w:rPr>
          <w:lang w:val="es-ES"/>
        </w:rPr>
      </w:pPr>
      <w:r w:rsidRPr="003618E2">
        <w:rPr>
          <w:b/>
          <w:bCs/>
          <w:lang w:val="es-ES"/>
        </w:rPr>
        <w:t>Indicador:</w:t>
      </w:r>
      <w:r w:rsidR="00D136BB">
        <w:rPr>
          <w:lang w:val="es-ES"/>
        </w:rPr>
        <w:t xml:space="preserve"> </w:t>
      </w:r>
      <w:r w:rsidRPr="003618E2">
        <w:rPr>
          <w:lang w:val="es-ES"/>
        </w:rPr>
        <w:t>(1)</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obras</w:t>
      </w:r>
      <w:r w:rsidR="00D136BB">
        <w:rPr>
          <w:lang w:val="es-ES"/>
        </w:rPr>
        <w:t xml:space="preserve"> </w:t>
      </w:r>
      <w:r w:rsidRPr="003618E2">
        <w:rPr>
          <w:lang w:val="es-ES"/>
        </w:rPr>
        <w:t>procesadas</w:t>
      </w:r>
      <w:r w:rsidR="00D136BB">
        <w:rPr>
          <w:lang w:val="es-ES"/>
        </w:rPr>
        <w:t xml:space="preserve"> </w:t>
      </w:r>
      <w:r w:rsidRPr="003618E2">
        <w:rPr>
          <w:lang w:val="es-ES"/>
        </w:rPr>
        <w:t>y</w:t>
      </w:r>
      <w:r w:rsidR="00D136BB">
        <w:rPr>
          <w:lang w:val="es-ES"/>
        </w:rPr>
        <w:t xml:space="preserve"> </w:t>
      </w:r>
      <w:r w:rsidRPr="003618E2">
        <w:rPr>
          <w:lang w:val="es-ES"/>
        </w:rPr>
        <w:t>caracterizadas,</w:t>
      </w:r>
      <w:r w:rsidR="00D136BB">
        <w:rPr>
          <w:lang w:val="es-ES"/>
        </w:rPr>
        <w:t xml:space="preserve"> </w:t>
      </w:r>
      <w:r w:rsidRPr="003618E2">
        <w:rPr>
          <w:lang w:val="es-ES"/>
        </w:rPr>
        <w:t>patrimonio</w:t>
      </w:r>
      <w:r w:rsidR="00D136BB">
        <w:rPr>
          <w:lang w:val="es-ES"/>
        </w:rPr>
        <w:t xml:space="preserve"> </w:t>
      </w:r>
      <w:r w:rsidRPr="003618E2">
        <w:rPr>
          <w:lang w:val="es-ES"/>
        </w:rPr>
        <w:t>cultural</w:t>
      </w:r>
      <w:r w:rsidR="00D136BB">
        <w:rPr>
          <w:lang w:val="es-ES"/>
        </w:rPr>
        <w:t xml:space="preserve"> </w:t>
      </w:r>
      <w:r w:rsidRPr="003618E2">
        <w:rPr>
          <w:lang w:val="es-ES"/>
        </w:rPr>
        <w:t>efectivamente</w:t>
      </w:r>
      <w:r w:rsidR="00D136BB">
        <w:rPr>
          <w:lang w:val="es-ES"/>
        </w:rPr>
        <w:t xml:space="preserve"> </w:t>
      </w:r>
      <w:r w:rsidRPr="003618E2">
        <w:rPr>
          <w:lang w:val="es-ES"/>
        </w:rPr>
        <w:t>preservado</w:t>
      </w:r>
      <w:r w:rsidR="00D136BB">
        <w:rPr>
          <w:lang w:val="es-ES"/>
        </w:rPr>
        <w:t xml:space="preserve"> </w:t>
      </w:r>
      <w:r w:rsidRPr="003618E2">
        <w:rPr>
          <w:lang w:val="es-ES"/>
        </w:rPr>
        <w:t>de</w:t>
      </w:r>
      <w:r w:rsidR="00D136BB">
        <w:rPr>
          <w:lang w:val="es-ES"/>
        </w:rPr>
        <w:t xml:space="preserve"> </w:t>
      </w:r>
      <w:r w:rsidRPr="003618E2">
        <w:rPr>
          <w:lang w:val="es-ES"/>
        </w:rPr>
        <w:t>acuerdo</w:t>
      </w:r>
      <w:r w:rsidR="00D136BB">
        <w:rPr>
          <w:lang w:val="es-ES"/>
        </w:rPr>
        <w:t xml:space="preserve"> </w:t>
      </w:r>
      <w:r w:rsidRPr="003618E2">
        <w:rPr>
          <w:lang w:val="es-ES"/>
        </w:rPr>
        <w:t>con</w:t>
      </w:r>
      <w:r w:rsidR="00D136BB">
        <w:rPr>
          <w:lang w:val="es-ES"/>
        </w:rPr>
        <w:t xml:space="preserve"> </w:t>
      </w:r>
      <w:r w:rsidRPr="003618E2">
        <w:rPr>
          <w:lang w:val="es-ES"/>
        </w:rPr>
        <w:t>las</w:t>
      </w:r>
      <w:r w:rsidR="00D136BB">
        <w:rPr>
          <w:lang w:val="es-ES"/>
        </w:rPr>
        <w:t xml:space="preserve"> </w:t>
      </w:r>
      <w:r w:rsidRPr="003618E2">
        <w:rPr>
          <w:lang w:val="es-ES"/>
        </w:rPr>
        <w:t>buenas</w:t>
      </w:r>
      <w:r w:rsidR="00D136BB">
        <w:rPr>
          <w:lang w:val="es-ES"/>
        </w:rPr>
        <w:t xml:space="preserve"> </w:t>
      </w:r>
      <w:r w:rsidRPr="003618E2">
        <w:rPr>
          <w:lang w:val="es-ES"/>
        </w:rPr>
        <w:t>prácticas</w:t>
      </w:r>
      <w:r w:rsidR="00D136BB">
        <w:rPr>
          <w:lang w:val="es-ES"/>
        </w:rPr>
        <w:t xml:space="preserve"> </w:t>
      </w:r>
      <w:r w:rsidRPr="003618E2">
        <w:rPr>
          <w:lang w:val="es-ES"/>
        </w:rPr>
        <w:t>internacionales</w:t>
      </w:r>
      <w:r w:rsidR="00D136BB">
        <w:rPr>
          <w:lang w:val="es-ES"/>
        </w:rPr>
        <w:t xml:space="preserve"> </w:t>
      </w:r>
      <w:r w:rsidRPr="003618E2">
        <w:rPr>
          <w:lang w:val="es-ES"/>
        </w:rPr>
        <w:t>(Incremento</w:t>
      </w:r>
      <w:r w:rsidR="00D136BB">
        <w:rPr>
          <w:lang w:val="es-ES"/>
        </w:rPr>
        <w:t xml:space="preserve"> </w:t>
      </w:r>
      <w:r w:rsidRPr="003618E2">
        <w:rPr>
          <w:lang w:val="es-ES"/>
        </w:rPr>
        <w:t>substancial</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(2)</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publicaciones</w:t>
      </w:r>
      <w:r w:rsidR="00D136BB">
        <w:rPr>
          <w:lang w:val="es-ES"/>
        </w:rPr>
        <w:t xml:space="preserve"> </w:t>
      </w:r>
      <w:r w:rsidRPr="003618E2">
        <w:rPr>
          <w:lang w:val="es-ES"/>
        </w:rPr>
        <w:t>científicas</w:t>
      </w:r>
      <w:r w:rsidR="00D136BB">
        <w:rPr>
          <w:lang w:val="es-ES"/>
        </w:rPr>
        <w:t xml:space="preserve"> </w:t>
      </w:r>
      <w:r w:rsidRPr="003618E2">
        <w:rPr>
          <w:lang w:val="es-ES"/>
        </w:rPr>
        <w:t>y</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noticias</w:t>
      </w:r>
      <w:r w:rsidR="00D136BB">
        <w:rPr>
          <w:lang w:val="es-ES"/>
        </w:rPr>
        <w:t xml:space="preserve"> </w:t>
      </w:r>
      <w:r w:rsidRPr="003618E2">
        <w:rPr>
          <w:lang w:val="es-ES"/>
        </w:rPr>
        <w:t>elaboradas</w:t>
      </w:r>
      <w:r w:rsidR="00D136BB">
        <w:rPr>
          <w:lang w:val="es-ES"/>
        </w:rPr>
        <w:t xml:space="preserve"> </w:t>
      </w:r>
      <w:r w:rsidRPr="003618E2">
        <w:rPr>
          <w:lang w:val="es-ES"/>
        </w:rPr>
        <w:t>por</w:t>
      </w:r>
      <w:r w:rsidR="00D136BB">
        <w:rPr>
          <w:lang w:val="es-ES"/>
        </w:rPr>
        <w:t xml:space="preserve"> </w:t>
      </w:r>
      <w:r w:rsidRPr="003618E2">
        <w:rPr>
          <w:lang w:val="es-ES"/>
        </w:rPr>
        <w:t>los</w:t>
      </w:r>
      <w:r w:rsidR="00D136BB">
        <w:rPr>
          <w:lang w:val="es-ES"/>
        </w:rPr>
        <w:t xml:space="preserve"> </w:t>
      </w:r>
      <w:r w:rsidRPr="003618E2">
        <w:rPr>
          <w:lang w:val="es-ES"/>
        </w:rPr>
        <w:t>respectivos</w:t>
      </w:r>
      <w:r w:rsidR="00D136BB">
        <w:rPr>
          <w:lang w:val="es-ES"/>
        </w:rPr>
        <w:t xml:space="preserve"> </w:t>
      </w:r>
      <w:r w:rsidRPr="003618E2">
        <w:rPr>
          <w:lang w:val="es-ES"/>
        </w:rPr>
        <w:t>departamentos</w:t>
      </w:r>
      <w:r w:rsidR="00D136BB">
        <w:rPr>
          <w:lang w:val="es-ES"/>
        </w:rPr>
        <w:t xml:space="preserve"> </w:t>
      </w:r>
      <w:r w:rsidRPr="003618E2">
        <w:rPr>
          <w:lang w:val="es-ES"/>
        </w:rPr>
        <w:t>de</w:t>
      </w:r>
      <w:r w:rsidR="00D136BB">
        <w:rPr>
          <w:lang w:val="es-ES"/>
        </w:rPr>
        <w:t xml:space="preserve"> </w:t>
      </w:r>
      <w:r w:rsidRPr="003618E2">
        <w:rPr>
          <w:lang w:val="es-ES"/>
        </w:rPr>
        <w:t>comunicación</w:t>
      </w:r>
      <w:r w:rsidR="00D136BB">
        <w:rPr>
          <w:lang w:val="es-ES"/>
        </w:rPr>
        <w:t xml:space="preserve"> </w:t>
      </w:r>
      <w:r w:rsidRPr="003618E2">
        <w:rPr>
          <w:lang w:val="es-ES"/>
        </w:rPr>
        <w:t>(divulgación</w:t>
      </w:r>
      <w:r w:rsidR="00D136BB">
        <w:rPr>
          <w:lang w:val="es-ES"/>
        </w:rPr>
        <w:t xml:space="preserve"> </w:t>
      </w:r>
      <w:r w:rsidRPr="003618E2">
        <w:rPr>
          <w:lang w:val="es-ES"/>
        </w:rPr>
        <w:t>técnica</w:t>
      </w:r>
      <w:r w:rsidR="00D136BB">
        <w:rPr>
          <w:lang w:val="es-ES"/>
        </w:rPr>
        <w:t xml:space="preserve"> </w:t>
      </w:r>
      <w:r w:rsidRPr="003618E2">
        <w:rPr>
          <w:lang w:val="es-ES"/>
        </w:rPr>
        <w:t>-periodística).</w:t>
      </w:r>
    </w:p>
    <w:p w14:paraId="68F39922" w14:textId="77777777" w:rsidR="006D362C" w:rsidRPr="003618E2" w:rsidRDefault="006D362C" w:rsidP="006D362C">
      <w:pPr>
        <w:pStyle w:val="BodyText"/>
        <w:rPr>
          <w:lang w:val="es-ES"/>
        </w:rPr>
      </w:pPr>
    </w:p>
    <w:p w14:paraId="6446A529" w14:textId="296F6D89" w:rsidR="006D362C" w:rsidRPr="003618E2" w:rsidRDefault="006D362C" w:rsidP="006D362C">
      <w:pPr>
        <w:pStyle w:val="BodyText"/>
        <w:numPr>
          <w:ilvl w:val="0"/>
          <w:numId w:val="34"/>
        </w:numPr>
        <w:rPr>
          <w:b/>
          <w:bCs/>
          <w:lang w:val="es-ES_tradnl"/>
        </w:rPr>
      </w:pPr>
      <w:r w:rsidRPr="003618E2">
        <w:rPr>
          <w:b/>
          <w:bCs/>
          <w:lang w:val="es-ES_tradnl"/>
        </w:rPr>
        <w:t>Armonizar</w:t>
      </w:r>
      <w:r w:rsidR="00D136BB">
        <w:rPr>
          <w:b/>
          <w:bCs/>
          <w:lang w:val="es-ES_tradnl"/>
        </w:rPr>
        <w:t xml:space="preserve"> </w:t>
      </w:r>
      <w:r w:rsidRPr="003618E2">
        <w:rPr>
          <w:b/>
          <w:bCs/>
          <w:lang w:val="es-ES_tradnl"/>
        </w:rPr>
        <w:t>metodologías</w:t>
      </w:r>
      <w:r w:rsidR="00D136BB">
        <w:rPr>
          <w:b/>
          <w:bCs/>
          <w:lang w:val="es-ES_tradnl"/>
        </w:rPr>
        <w:t xml:space="preserve"> </w:t>
      </w:r>
      <w:r w:rsidRPr="003618E2">
        <w:rPr>
          <w:b/>
          <w:bCs/>
          <w:lang w:val="es-ES_tradnl"/>
        </w:rPr>
        <w:t>y</w:t>
      </w:r>
      <w:r w:rsidR="00D136BB">
        <w:rPr>
          <w:b/>
          <w:bCs/>
          <w:lang w:val="es-ES_tradnl"/>
        </w:rPr>
        <w:t xml:space="preserve"> </w:t>
      </w:r>
      <w:r w:rsidRPr="003618E2">
        <w:rPr>
          <w:b/>
          <w:bCs/>
          <w:lang w:val="es-ES_tradnl"/>
        </w:rPr>
        <w:t>capacitar</w:t>
      </w:r>
      <w:r w:rsidR="00D136BB">
        <w:rPr>
          <w:b/>
          <w:bCs/>
          <w:lang w:val="es-ES_tradnl"/>
        </w:rPr>
        <w:t xml:space="preserve"> </w:t>
      </w:r>
      <w:r w:rsidRPr="003618E2">
        <w:rPr>
          <w:b/>
          <w:bCs/>
          <w:lang w:val="es-ES_tradnl"/>
        </w:rPr>
        <w:t>personal</w:t>
      </w:r>
      <w:r w:rsidR="00D136BB">
        <w:rPr>
          <w:b/>
          <w:bCs/>
          <w:lang w:val="es-ES_tradnl"/>
        </w:rPr>
        <w:t xml:space="preserve"> </w:t>
      </w:r>
      <w:r w:rsidRPr="003618E2">
        <w:rPr>
          <w:b/>
          <w:bCs/>
          <w:lang w:val="es-ES_tradnl"/>
        </w:rPr>
        <w:t>de</w:t>
      </w:r>
      <w:r w:rsidR="00D136BB">
        <w:rPr>
          <w:b/>
          <w:bCs/>
          <w:lang w:val="es-ES_tradnl"/>
        </w:rPr>
        <w:t xml:space="preserve"> </w:t>
      </w:r>
      <w:r w:rsidRPr="003618E2">
        <w:rPr>
          <w:b/>
          <w:bCs/>
          <w:lang w:val="es-ES_tradnl"/>
        </w:rPr>
        <w:t>acuerdo</w:t>
      </w:r>
      <w:r w:rsidR="00D136BB">
        <w:rPr>
          <w:b/>
          <w:bCs/>
          <w:lang w:val="es-ES_tradnl"/>
        </w:rPr>
        <w:t xml:space="preserve"> </w:t>
      </w:r>
      <w:r w:rsidRPr="003618E2">
        <w:rPr>
          <w:b/>
          <w:bCs/>
          <w:lang w:val="es-ES_tradnl"/>
        </w:rPr>
        <w:t>con</w:t>
      </w:r>
      <w:r w:rsidR="00D136BB">
        <w:rPr>
          <w:b/>
          <w:bCs/>
          <w:lang w:val="es-ES_tradnl"/>
        </w:rPr>
        <w:t xml:space="preserve"> </w:t>
      </w:r>
      <w:r w:rsidRPr="003618E2">
        <w:rPr>
          <w:b/>
          <w:bCs/>
          <w:lang w:val="es-ES_tradnl"/>
        </w:rPr>
        <w:t>estándares</w:t>
      </w:r>
      <w:r w:rsidR="00D136BB">
        <w:rPr>
          <w:b/>
          <w:bCs/>
          <w:lang w:val="es-ES_tradnl"/>
        </w:rPr>
        <w:t xml:space="preserve"> </w:t>
      </w:r>
      <w:r w:rsidRPr="003618E2">
        <w:rPr>
          <w:b/>
          <w:bCs/>
          <w:lang w:val="es-ES_tradnl"/>
        </w:rPr>
        <w:t>y</w:t>
      </w:r>
      <w:r w:rsidR="00D136BB">
        <w:rPr>
          <w:b/>
          <w:bCs/>
          <w:lang w:val="es-ES_tradnl"/>
        </w:rPr>
        <w:t xml:space="preserve"> </w:t>
      </w:r>
      <w:r w:rsidRPr="003618E2">
        <w:rPr>
          <w:b/>
          <w:bCs/>
          <w:lang w:val="es-ES_tradnl"/>
        </w:rPr>
        <w:t>esquemas</w:t>
      </w:r>
      <w:r w:rsidR="00D136BB">
        <w:rPr>
          <w:b/>
          <w:bCs/>
          <w:lang w:val="es-ES_tradnl"/>
        </w:rPr>
        <w:t xml:space="preserve"> </w:t>
      </w:r>
      <w:r w:rsidRPr="003618E2">
        <w:rPr>
          <w:b/>
          <w:bCs/>
          <w:lang w:val="es-ES_tradnl"/>
        </w:rPr>
        <w:t>de</w:t>
      </w:r>
      <w:r w:rsidR="00D136BB">
        <w:rPr>
          <w:b/>
          <w:bCs/>
          <w:lang w:val="es-ES_tradnl"/>
        </w:rPr>
        <w:t xml:space="preserve"> </w:t>
      </w:r>
      <w:r w:rsidRPr="003618E2">
        <w:rPr>
          <w:b/>
          <w:bCs/>
          <w:lang w:val="es-ES_tradnl"/>
        </w:rPr>
        <w:t>certificación</w:t>
      </w:r>
      <w:r w:rsidR="00D136BB">
        <w:rPr>
          <w:b/>
          <w:bCs/>
          <w:lang w:val="es-ES_tradnl"/>
        </w:rPr>
        <w:t xml:space="preserve"> </w:t>
      </w:r>
      <w:r w:rsidRPr="003618E2">
        <w:rPr>
          <w:b/>
          <w:bCs/>
          <w:lang w:val="es-ES_tradnl"/>
        </w:rPr>
        <w:t>para</w:t>
      </w:r>
      <w:r w:rsidR="00D136BB">
        <w:rPr>
          <w:b/>
          <w:bCs/>
          <w:lang w:val="es-ES_tradnl"/>
        </w:rPr>
        <w:t xml:space="preserve"> </w:t>
      </w:r>
      <w:r w:rsidRPr="003618E2">
        <w:rPr>
          <w:b/>
          <w:bCs/>
          <w:lang w:val="es-ES_tradnl"/>
        </w:rPr>
        <w:t>técnicas</w:t>
      </w:r>
      <w:r w:rsidR="00D136BB">
        <w:rPr>
          <w:b/>
          <w:bCs/>
          <w:lang w:val="es-ES_tradnl"/>
        </w:rPr>
        <w:t xml:space="preserve"> </w:t>
      </w:r>
      <w:r w:rsidRPr="003618E2">
        <w:rPr>
          <w:b/>
          <w:bCs/>
          <w:lang w:val="es-ES_tradnl"/>
        </w:rPr>
        <w:t>avanzadas</w:t>
      </w:r>
      <w:r w:rsidR="00D136BB">
        <w:rPr>
          <w:b/>
          <w:bCs/>
          <w:lang w:val="es-ES_tradnl"/>
        </w:rPr>
        <w:t xml:space="preserve"> </w:t>
      </w:r>
      <w:r w:rsidRPr="003618E2">
        <w:rPr>
          <w:b/>
          <w:bCs/>
          <w:lang w:val="es-ES_tradnl"/>
        </w:rPr>
        <w:t>de</w:t>
      </w:r>
      <w:r w:rsidR="00D136BB">
        <w:rPr>
          <w:b/>
          <w:bCs/>
          <w:lang w:val="es-ES_tradnl"/>
        </w:rPr>
        <w:t xml:space="preserve"> </w:t>
      </w:r>
      <w:r w:rsidRPr="003618E2">
        <w:rPr>
          <w:b/>
          <w:bCs/>
          <w:lang w:val="es-ES_tradnl"/>
        </w:rPr>
        <w:t>ensayos</w:t>
      </w:r>
      <w:r w:rsidR="00D136BB">
        <w:rPr>
          <w:b/>
          <w:bCs/>
          <w:lang w:val="es-ES_tradnl"/>
        </w:rPr>
        <w:t xml:space="preserve"> </w:t>
      </w:r>
      <w:r w:rsidRPr="003618E2">
        <w:rPr>
          <w:b/>
          <w:bCs/>
          <w:lang w:val="es-ES_tradnl"/>
        </w:rPr>
        <w:t>no</w:t>
      </w:r>
      <w:r w:rsidR="00D136BB">
        <w:rPr>
          <w:b/>
          <w:bCs/>
          <w:lang w:val="es-ES_tradnl"/>
        </w:rPr>
        <w:t xml:space="preserve"> </w:t>
      </w:r>
      <w:r w:rsidRPr="003618E2">
        <w:rPr>
          <w:b/>
          <w:bCs/>
          <w:lang w:val="es-ES_tradnl"/>
        </w:rPr>
        <w:t>destructivos</w:t>
      </w:r>
    </w:p>
    <w:p w14:paraId="053B00BF" w14:textId="7D5DBE72" w:rsidR="006D362C" w:rsidRPr="003618E2" w:rsidRDefault="006D362C" w:rsidP="006D362C">
      <w:pPr>
        <w:pStyle w:val="BodyText"/>
        <w:rPr>
          <w:lang w:val="es-ES"/>
        </w:rPr>
      </w:pPr>
      <w:r w:rsidRPr="003618E2">
        <w:rPr>
          <w:b/>
          <w:lang w:val="es-ES"/>
        </w:rPr>
        <w:lastRenderedPageBreak/>
        <w:t>Justificación:</w:t>
      </w:r>
      <w:r w:rsidR="00D136BB">
        <w:rPr>
          <w:lang w:val="es-ES"/>
        </w:rPr>
        <w:t xml:space="preserve"> </w:t>
      </w:r>
      <w:r w:rsidRPr="003618E2">
        <w:rPr>
          <w:lang w:val="es-ES"/>
        </w:rPr>
        <w:t>Las</w:t>
      </w:r>
      <w:r w:rsidR="00D136BB">
        <w:rPr>
          <w:lang w:val="es-ES"/>
        </w:rPr>
        <w:t xml:space="preserve"> </w:t>
      </w:r>
      <w:r w:rsidRPr="003618E2">
        <w:rPr>
          <w:lang w:val="es-ES"/>
        </w:rPr>
        <w:t>tecnologías</w:t>
      </w:r>
      <w:r w:rsidR="00D136BB">
        <w:rPr>
          <w:lang w:val="es-ES"/>
        </w:rPr>
        <w:t xml:space="preserve"> </w:t>
      </w:r>
      <w:r w:rsidRPr="003618E2">
        <w:rPr>
          <w:lang w:val="es-ES"/>
        </w:rPr>
        <w:t>de</w:t>
      </w:r>
      <w:r w:rsidR="00D136BB">
        <w:rPr>
          <w:lang w:val="es-ES"/>
        </w:rPr>
        <w:t xml:space="preserve"> </w:t>
      </w:r>
      <w:r w:rsidRPr="003618E2">
        <w:rPr>
          <w:lang w:val="es-ES"/>
        </w:rPr>
        <w:t>ensayos</w:t>
      </w:r>
      <w:r w:rsidR="00D136BB">
        <w:rPr>
          <w:lang w:val="es-ES"/>
        </w:rPr>
        <w:t xml:space="preserve"> </w:t>
      </w:r>
      <w:r w:rsidRPr="003618E2">
        <w:rPr>
          <w:lang w:val="es-ES"/>
        </w:rPr>
        <w:t>no</w:t>
      </w:r>
      <w:r w:rsidR="00D136BB">
        <w:rPr>
          <w:lang w:val="es-ES"/>
        </w:rPr>
        <w:t xml:space="preserve"> </w:t>
      </w:r>
      <w:r w:rsidRPr="003618E2">
        <w:rPr>
          <w:lang w:val="es-ES"/>
        </w:rPr>
        <w:t>destructivos</w:t>
      </w:r>
      <w:r w:rsidR="00D136BB">
        <w:rPr>
          <w:lang w:val="es-ES"/>
        </w:rPr>
        <w:t xml:space="preserve"> </w:t>
      </w:r>
      <w:r w:rsidRPr="003618E2">
        <w:rPr>
          <w:lang w:val="es-ES"/>
        </w:rPr>
        <w:t>juegan</w:t>
      </w:r>
      <w:r w:rsidR="00D136BB">
        <w:rPr>
          <w:lang w:val="es-ES"/>
        </w:rPr>
        <w:t xml:space="preserve"> </w:t>
      </w:r>
      <w:r w:rsidRPr="003618E2">
        <w:rPr>
          <w:lang w:val="es-ES"/>
        </w:rPr>
        <w:t>un</w:t>
      </w:r>
      <w:r w:rsidR="00D136BB">
        <w:rPr>
          <w:lang w:val="es-ES"/>
        </w:rPr>
        <w:t xml:space="preserve"> </w:t>
      </w:r>
      <w:r w:rsidRPr="003618E2">
        <w:rPr>
          <w:lang w:val="es-ES"/>
        </w:rPr>
        <w:t>papel</w:t>
      </w:r>
      <w:r w:rsidR="00D136BB">
        <w:rPr>
          <w:lang w:val="es-ES"/>
        </w:rPr>
        <w:t xml:space="preserve"> </w:t>
      </w:r>
      <w:r w:rsidRPr="003618E2">
        <w:rPr>
          <w:lang w:val="es-ES"/>
        </w:rPr>
        <w:t>importante</w:t>
      </w:r>
      <w:r w:rsidR="00D136BB">
        <w:rPr>
          <w:lang w:val="es-ES"/>
        </w:rPr>
        <w:t xml:space="preserve"> </w:t>
      </w:r>
      <w:r w:rsidRPr="003618E2">
        <w:rPr>
          <w:lang w:val="es-ES"/>
        </w:rPr>
        <w:t>en</w:t>
      </w:r>
      <w:r w:rsidR="00D136BB">
        <w:rPr>
          <w:lang w:val="es-ES"/>
        </w:rPr>
        <w:t xml:space="preserve"> </w:t>
      </w:r>
      <w:r w:rsidRPr="003618E2">
        <w:rPr>
          <w:lang w:val="es-ES"/>
        </w:rPr>
        <w:t>los</w:t>
      </w:r>
      <w:r w:rsidR="00D136BB">
        <w:rPr>
          <w:lang w:val="es-ES"/>
        </w:rPr>
        <w:t xml:space="preserve"> </w:t>
      </w:r>
      <w:r w:rsidRPr="003618E2">
        <w:rPr>
          <w:lang w:val="es-ES"/>
        </w:rPr>
        <w:t>programas</w:t>
      </w:r>
      <w:r w:rsidR="00D136BB">
        <w:rPr>
          <w:lang w:val="es-ES"/>
        </w:rPr>
        <w:t xml:space="preserve"> </w:t>
      </w:r>
      <w:r w:rsidRPr="003618E2">
        <w:rPr>
          <w:lang w:val="es-ES"/>
        </w:rPr>
        <w:t>generales</w:t>
      </w:r>
      <w:r w:rsidR="00D136BB">
        <w:rPr>
          <w:lang w:val="es-ES"/>
        </w:rPr>
        <w:t xml:space="preserve"> </w:t>
      </w:r>
      <w:r w:rsidRPr="003618E2">
        <w:rPr>
          <w:lang w:val="es-ES"/>
        </w:rPr>
        <w:t>de</w:t>
      </w:r>
      <w:r w:rsidR="00D136BB">
        <w:rPr>
          <w:lang w:val="es-ES"/>
        </w:rPr>
        <w:t xml:space="preserve"> </w:t>
      </w:r>
      <w:r w:rsidRPr="003618E2">
        <w:rPr>
          <w:lang w:val="es-ES"/>
        </w:rPr>
        <w:t>control</w:t>
      </w:r>
      <w:r w:rsidR="00D136BB">
        <w:rPr>
          <w:lang w:val="es-ES"/>
        </w:rPr>
        <w:t xml:space="preserve"> </w:t>
      </w:r>
      <w:r w:rsidRPr="003618E2">
        <w:rPr>
          <w:lang w:val="es-ES"/>
        </w:rPr>
        <w:t>de</w:t>
      </w:r>
      <w:r w:rsidR="00D136BB">
        <w:rPr>
          <w:lang w:val="es-ES"/>
        </w:rPr>
        <w:t xml:space="preserve"> </w:t>
      </w:r>
      <w:r w:rsidRPr="003618E2">
        <w:rPr>
          <w:lang w:val="es-ES"/>
        </w:rPr>
        <w:t>calidad</w:t>
      </w:r>
      <w:r w:rsidR="00D136BB">
        <w:rPr>
          <w:lang w:val="es-ES"/>
        </w:rPr>
        <w:t xml:space="preserve"> </w:t>
      </w:r>
      <w:r w:rsidRPr="003618E2">
        <w:rPr>
          <w:lang w:val="es-ES"/>
        </w:rPr>
        <w:t>y</w:t>
      </w:r>
      <w:r w:rsidR="00D136BB">
        <w:rPr>
          <w:lang w:val="es-ES"/>
        </w:rPr>
        <w:t xml:space="preserve"> </w:t>
      </w:r>
      <w:r w:rsidRPr="003618E2">
        <w:rPr>
          <w:lang w:val="es-ES"/>
        </w:rPr>
        <w:t>son</w:t>
      </w:r>
      <w:r w:rsidR="00D136BB">
        <w:rPr>
          <w:lang w:val="es-ES"/>
        </w:rPr>
        <w:t xml:space="preserve"> </w:t>
      </w:r>
      <w:r w:rsidRPr="003618E2">
        <w:rPr>
          <w:lang w:val="es-ES"/>
        </w:rPr>
        <w:t>indispensables</w:t>
      </w:r>
      <w:r w:rsidR="00D136BB">
        <w:rPr>
          <w:lang w:val="es-ES"/>
        </w:rPr>
        <w:t xml:space="preserve"> </w:t>
      </w:r>
      <w:r w:rsidRPr="003618E2">
        <w:rPr>
          <w:lang w:val="es-ES"/>
        </w:rPr>
        <w:t>para</w:t>
      </w:r>
      <w:r w:rsidR="00D136BB">
        <w:rPr>
          <w:lang w:val="es-ES"/>
        </w:rPr>
        <w:t xml:space="preserve"> </w:t>
      </w:r>
      <w:r w:rsidRPr="003618E2">
        <w:rPr>
          <w:lang w:val="es-ES"/>
        </w:rPr>
        <w:t>mejorar</w:t>
      </w:r>
      <w:r w:rsidR="00D136BB">
        <w:rPr>
          <w:lang w:val="es-ES"/>
        </w:rPr>
        <w:t xml:space="preserve"> </w:t>
      </w:r>
      <w:r w:rsidRPr="003618E2">
        <w:rPr>
          <w:lang w:val="es-ES"/>
        </w:rPr>
        <w:t>la</w:t>
      </w:r>
      <w:r w:rsidR="00D136BB">
        <w:rPr>
          <w:lang w:val="es-ES"/>
        </w:rPr>
        <w:t xml:space="preserve"> </w:t>
      </w:r>
      <w:r w:rsidRPr="003618E2">
        <w:rPr>
          <w:lang w:val="es-ES"/>
        </w:rPr>
        <w:t>seguridad</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infraestructuras</w:t>
      </w:r>
      <w:r w:rsidR="00D136BB">
        <w:rPr>
          <w:lang w:val="es-ES"/>
        </w:rPr>
        <w:t xml:space="preserve"> </w:t>
      </w:r>
      <w:r w:rsidRPr="003618E2">
        <w:rPr>
          <w:lang w:val="es-ES"/>
        </w:rPr>
        <w:t>y</w:t>
      </w:r>
      <w:r w:rsidR="00D136BB">
        <w:rPr>
          <w:lang w:val="es-ES"/>
        </w:rPr>
        <w:t xml:space="preserve"> </w:t>
      </w:r>
      <w:r w:rsidRPr="003618E2">
        <w:rPr>
          <w:lang w:val="es-ES"/>
        </w:rPr>
        <w:t>estructuras</w:t>
      </w:r>
      <w:r w:rsidR="00D136BB">
        <w:rPr>
          <w:lang w:val="es-ES"/>
        </w:rPr>
        <w:t xml:space="preserve"> </w:t>
      </w:r>
      <w:r w:rsidRPr="003618E2">
        <w:rPr>
          <w:lang w:val="es-ES"/>
        </w:rPr>
        <w:t>civiles,</w:t>
      </w:r>
      <w:r w:rsidR="00D136BB">
        <w:rPr>
          <w:lang w:val="es-ES"/>
        </w:rPr>
        <w:t xml:space="preserve"> </w:t>
      </w:r>
      <w:r w:rsidRPr="003618E2">
        <w:rPr>
          <w:lang w:val="es-ES"/>
        </w:rPr>
        <w:t>y</w:t>
      </w:r>
      <w:r w:rsidR="00D136BB">
        <w:rPr>
          <w:lang w:val="es-ES"/>
        </w:rPr>
        <w:t xml:space="preserve"> </w:t>
      </w:r>
      <w:r w:rsidRPr="003618E2">
        <w:rPr>
          <w:lang w:val="es-ES"/>
        </w:rPr>
        <w:t>la</w:t>
      </w:r>
      <w:r w:rsidR="00D136BB">
        <w:rPr>
          <w:lang w:val="es-ES"/>
        </w:rPr>
        <w:t xml:space="preserve"> </w:t>
      </w:r>
      <w:r w:rsidRPr="003618E2">
        <w:rPr>
          <w:lang w:val="es-ES"/>
        </w:rPr>
        <w:t>competitividad</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industrias</w:t>
      </w:r>
      <w:r w:rsidR="00D136BB">
        <w:rPr>
          <w:lang w:val="es-ES"/>
        </w:rPr>
        <w:t xml:space="preserve"> </w:t>
      </w:r>
      <w:r w:rsidRPr="003618E2">
        <w:rPr>
          <w:lang w:val="es-ES"/>
        </w:rPr>
        <w:t>regionales</w:t>
      </w:r>
      <w:r w:rsidR="00D136BB">
        <w:rPr>
          <w:lang w:val="es-ES"/>
        </w:rPr>
        <w:t xml:space="preserve"> </w:t>
      </w:r>
      <w:r w:rsidRPr="003618E2">
        <w:rPr>
          <w:lang w:val="es-ES"/>
        </w:rPr>
        <w:t>en</w:t>
      </w:r>
      <w:r w:rsidR="00D136BB">
        <w:rPr>
          <w:lang w:val="es-ES"/>
        </w:rPr>
        <w:t xml:space="preserve"> </w:t>
      </w:r>
      <w:r w:rsidRPr="003618E2">
        <w:rPr>
          <w:lang w:val="es-ES"/>
        </w:rPr>
        <w:t>el</w:t>
      </w:r>
      <w:r w:rsidR="00D136BB">
        <w:rPr>
          <w:lang w:val="es-ES"/>
        </w:rPr>
        <w:t xml:space="preserve"> </w:t>
      </w:r>
      <w:r w:rsidRPr="003618E2">
        <w:rPr>
          <w:lang w:val="es-ES"/>
        </w:rPr>
        <w:t>contexto</w:t>
      </w:r>
      <w:r w:rsidR="00D136BB">
        <w:rPr>
          <w:lang w:val="es-ES"/>
        </w:rPr>
        <w:t xml:space="preserve"> </w:t>
      </w:r>
      <w:r w:rsidRPr="003618E2">
        <w:rPr>
          <w:lang w:val="es-ES"/>
        </w:rPr>
        <w:t>de</w:t>
      </w:r>
      <w:r w:rsidR="00D136BB">
        <w:rPr>
          <w:lang w:val="es-ES"/>
        </w:rPr>
        <w:t xml:space="preserve"> </w:t>
      </w:r>
      <w:r w:rsidRPr="003618E2">
        <w:rPr>
          <w:lang w:val="es-ES"/>
        </w:rPr>
        <w:t>normas</w:t>
      </w:r>
      <w:r w:rsidR="00D136BB">
        <w:rPr>
          <w:lang w:val="es-ES"/>
        </w:rPr>
        <w:t xml:space="preserve"> </w:t>
      </w:r>
      <w:r w:rsidRPr="003618E2">
        <w:rPr>
          <w:lang w:val="es-ES"/>
        </w:rPr>
        <w:t>internacionales.</w:t>
      </w:r>
      <w:r w:rsidR="00D136BB">
        <w:rPr>
          <w:lang w:val="es-ES"/>
        </w:rPr>
        <w:t xml:space="preserve"> </w:t>
      </w:r>
      <w:r w:rsidRPr="003618E2">
        <w:rPr>
          <w:lang w:val="es-ES"/>
        </w:rPr>
        <w:t>Es</w:t>
      </w:r>
      <w:r w:rsidR="00D136BB">
        <w:rPr>
          <w:lang w:val="es-ES"/>
        </w:rPr>
        <w:t xml:space="preserve"> </w:t>
      </w:r>
      <w:r w:rsidRPr="003618E2">
        <w:rPr>
          <w:lang w:val="es-ES"/>
        </w:rPr>
        <w:t>necesario</w:t>
      </w:r>
      <w:r w:rsidR="00D136BB">
        <w:rPr>
          <w:lang w:val="es-ES"/>
        </w:rPr>
        <w:t xml:space="preserve"> </w:t>
      </w:r>
      <w:r w:rsidRPr="003618E2">
        <w:rPr>
          <w:lang w:val="es-ES"/>
        </w:rPr>
        <w:t>difundir</w:t>
      </w:r>
      <w:r w:rsidR="00D136BB">
        <w:rPr>
          <w:lang w:val="es-ES"/>
        </w:rPr>
        <w:t xml:space="preserve"> </w:t>
      </w:r>
      <w:r w:rsidRPr="003618E2">
        <w:rPr>
          <w:lang w:val="es-ES"/>
        </w:rPr>
        <w:t>y</w:t>
      </w:r>
      <w:r w:rsidR="00D136BB">
        <w:rPr>
          <w:lang w:val="es-ES"/>
        </w:rPr>
        <w:t xml:space="preserve"> </w:t>
      </w:r>
      <w:r w:rsidRPr="003618E2">
        <w:rPr>
          <w:lang w:val="es-ES"/>
        </w:rPr>
        <w:t>promover</w:t>
      </w:r>
      <w:r w:rsidR="00D136BB">
        <w:rPr>
          <w:lang w:val="es-ES"/>
        </w:rPr>
        <w:t xml:space="preserve"> </w:t>
      </w:r>
      <w:r w:rsidRPr="003618E2">
        <w:rPr>
          <w:lang w:val="es-ES"/>
        </w:rPr>
        <w:t>(usuarios,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decisiones),</w:t>
      </w:r>
      <w:r w:rsidR="00D136BB">
        <w:rPr>
          <w:lang w:val="es-ES"/>
        </w:rPr>
        <w:t xml:space="preserve"> </w:t>
      </w:r>
      <w:r w:rsidRPr="003618E2">
        <w:rPr>
          <w:lang w:val="es-ES"/>
        </w:rPr>
        <w:t>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p>
    <w:p w14:paraId="4398539D" w14:textId="3F06FF5E" w:rsidR="006D362C" w:rsidRPr="003618E2" w:rsidRDefault="006D362C" w:rsidP="006D362C">
      <w:pPr>
        <w:pStyle w:val="BodyText"/>
        <w:rPr>
          <w:lang w:val="es-ES"/>
        </w:rPr>
      </w:pPr>
      <w:r w:rsidRPr="003618E2">
        <w:rPr>
          <w:b/>
          <w:bCs/>
          <w:lang w:val="es-ES"/>
        </w:rPr>
        <w:t>Objetivo:</w:t>
      </w:r>
      <w:r w:rsidR="00D136BB">
        <w:rPr>
          <w:lang w:val="es-ES"/>
        </w:rPr>
        <w:t xml:space="preserve"> </w:t>
      </w:r>
      <w:r w:rsidRPr="003618E2">
        <w:rPr>
          <w:lang w:val="es-ES"/>
        </w:rPr>
        <w:t>Mejorar</w:t>
      </w:r>
      <w:r w:rsidR="00D136BB">
        <w:rPr>
          <w:lang w:val="es-ES"/>
        </w:rPr>
        <w:t xml:space="preserve"> </w:t>
      </w:r>
      <w:r w:rsidRPr="003618E2">
        <w:rPr>
          <w:lang w:val="es-ES"/>
        </w:rPr>
        <w:t>el</w:t>
      </w:r>
      <w:r w:rsidR="00D136BB">
        <w:rPr>
          <w:lang w:val="es-ES"/>
        </w:rPr>
        <w:t xml:space="preserve"> </w:t>
      </w:r>
      <w:r w:rsidRPr="003618E2">
        <w:rPr>
          <w:lang w:val="es-ES"/>
        </w:rPr>
        <w:t>uso</w:t>
      </w:r>
      <w:r w:rsidR="00D136BB">
        <w:rPr>
          <w:lang w:val="es-ES"/>
        </w:rPr>
        <w:t xml:space="preserve"> </w:t>
      </w:r>
      <w:r w:rsidRPr="003618E2">
        <w:rPr>
          <w:lang w:val="es-ES"/>
        </w:rPr>
        <w:t>de</w:t>
      </w:r>
      <w:r w:rsidR="00D136BB">
        <w:rPr>
          <w:lang w:val="es-ES"/>
        </w:rPr>
        <w:t xml:space="preserve"> </w:t>
      </w:r>
      <w:r w:rsidRPr="003618E2">
        <w:rPr>
          <w:lang w:val="es-ES"/>
        </w:rPr>
        <w:t>tecnologías</w:t>
      </w:r>
      <w:r w:rsidR="00D136BB">
        <w:rPr>
          <w:lang w:val="es-ES"/>
        </w:rPr>
        <w:t xml:space="preserve"> </w:t>
      </w:r>
      <w:r w:rsidRPr="003618E2">
        <w:rPr>
          <w:lang w:val="es-ES"/>
        </w:rPr>
        <w:t>avanzadas,</w:t>
      </w:r>
      <w:r w:rsidR="00D136BB">
        <w:rPr>
          <w:lang w:val="es-ES"/>
        </w:rPr>
        <w:t xml:space="preserve"> </w:t>
      </w:r>
      <w:r w:rsidRPr="003618E2">
        <w:rPr>
          <w:lang w:val="es-ES"/>
        </w:rPr>
        <w:t>armonizar</w:t>
      </w:r>
      <w:r w:rsidR="00D136BB">
        <w:rPr>
          <w:lang w:val="es-ES"/>
        </w:rPr>
        <w:t xml:space="preserve"> </w:t>
      </w:r>
      <w:r w:rsidRPr="003618E2">
        <w:rPr>
          <w:lang w:val="es-ES"/>
        </w:rPr>
        <w:t>metodologías</w:t>
      </w:r>
      <w:r w:rsidR="00D136BB">
        <w:rPr>
          <w:lang w:val="es-ES"/>
        </w:rPr>
        <w:t xml:space="preserve"> </w:t>
      </w:r>
      <w:r w:rsidRPr="003618E2">
        <w:rPr>
          <w:lang w:val="es-ES"/>
        </w:rPr>
        <w:t>y</w:t>
      </w:r>
      <w:r w:rsidR="00D136BB">
        <w:rPr>
          <w:lang w:val="es-ES"/>
        </w:rPr>
        <w:t xml:space="preserve"> </w:t>
      </w:r>
      <w:r w:rsidRPr="003618E2">
        <w:rPr>
          <w:lang w:val="es-ES"/>
        </w:rPr>
        <w:t>capacitar</w:t>
      </w:r>
      <w:r w:rsidR="00D136BB">
        <w:rPr>
          <w:lang w:val="es-ES"/>
        </w:rPr>
        <w:t xml:space="preserve"> </w:t>
      </w:r>
      <w:r w:rsidRPr="003618E2">
        <w:rPr>
          <w:lang w:val="es-ES"/>
        </w:rPr>
        <w:t>personal</w:t>
      </w:r>
      <w:r w:rsidR="00D136BB">
        <w:rPr>
          <w:lang w:val="es-ES"/>
        </w:rPr>
        <w:t xml:space="preserve"> </w:t>
      </w:r>
      <w:r w:rsidRPr="003618E2">
        <w:rPr>
          <w:lang w:val="es-ES"/>
        </w:rPr>
        <w:t>de</w:t>
      </w:r>
      <w:r w:rsidR="00D136BB">
        <w:rPr>
          <w:lang w:val="es-ES"/>
        </w:rPr>
        <w:t xml:space="preserve"> </w:t>
      </w:r>
      <w:r w:rsidRPr="003618E2">
        <w:rPr>
          <w:lang w:val="es-ES"/>
        </w:rPr>
        <w:t>acuerdo</w:t>
      </w:r>
      <w:r w:rsidR="00D136BB">
        <w:rPr>
          <w:lang w:val="es-ES"/>
        </w:rPr>
        <w:t xml:space="preserve"> </w:t>
      </w:r>
      <w:r w:rsidRPr="003618E2">
        <w:rPr>
          <w:lang w:val="es-ES"/>
        </w:rPr>
        <w:t>con</w:t>
      </w:r>
      <w:r w:rsidR="00D136BB">
        <w:rPr>
          <w:lang w:val="es-ES"/>
        </w:rPr>
        <w:t xml:space="preserve"> </w:t>
      </w:r>
      <w:r w:rsidRPr="003618E2">
        <w:rPr>
          <w:lang w:val="es-ES"/>
        </w:rPr>
        <w:t>estándares</w:t>
      </w:r>
      <w:r w:rsidR="00D136BB">
        <w:rPr>
          <w:lang w:val="es-ES"/>
        </w:rPr>
        <w:t xml:space="preserve"> </w:t>
      </w:r>
      <w:r w:rsidRPr="003618E2">
        <w:rPr>
          <w:lang w:val="es-ES"/>
        </w:rPr>
        <w:t>y</w:t>
      </w:r>
      <w:r w:rsidR="00D136BB">
        <w:rPr>
          <w:lang w:val="es-ES"/>
        </w:rPr>
        <w:t xml:space="preserve"> </w:t>
      </w:r>
      <w:r w:rsidRPr="003618E2">
        <w:rPr>
          <w:lang w:val="es-ES"/>
        </w:rPr>
        <w:t>esquemas</w:t>
      </w:r>
      <w:r w:rsidR="00D136BB">
        <w:rPr>
          <w:lang w:val="es-ES"/>
        </w:rPr>
        <w:t xml:space="preserve"> </w:t>
      </w:r>
      <w:r w:rsidRPr="003618E2">
        <w:rPr>
          <w:lang w:val="es-ES"/>
        </w:rPr>
        <w:t>de</w:t>
      </w:r>
      <w:r w:rsidR="00D136BB">
        <w:rPr>
          <w:lang w:val="es-ES"/>
        </w:rPr>
        <w:t xml:space="preserve"> </w:t>
      </w:r>
      <w:r w:rsidRPr="003618E2">
        <w:rPr>
          <w:lang w:val="es-ES"/>
        </w:rPr>
        <w:t>certificación</w:t>
      </w:r>
      <w:r w:rsidR="00D136BB">
        <w:rPr>
          <w:lang w:val="es-ES"/>
        </w:rPr>
        <w:t xml:space="preserve"> </w:t>
      </w:r>
      <w:r w:rsidRPr="003618E2">
        <w:rPr>
          <w:lang w:val="es-ES"/>
        </w:rPr>
        <w:t>(ISO</w:t>
      </w:r>
      <w:r w:rsidR="00D136BB">
        <w:rPr>
          <w:lang w:val="es-ES"/>
        </w:rPr>
        <w:t xml:space="preserve"> </w:t>
      </w:r>
      <w:r w:rsidRPr="003618E2">
        <w:rPr>
          <w:lang w:val="es-ES"/>
        </w:rPr>
        <w:t>9712-2012).</w:t>
      </w:r>
    </w:p>
    <w:p w14:paraId="45CC78AA" w14:textId="7901C8BD" w:rsidR="006D362C" w:rsidRPr="003618E2" w:rsidRDefault="006D362C" w:rsidP="006D362C">
      <w:pPr>
        <w:pStyle w:val="BodyText"/>
        <w:rPr>
          <w:lang w:val="es-ES"/>
        </w:rPr>
      </w:pPr>
      <w:r w:rsidRPr="003618E2">
        <w:rPr>
          <w:b/>
          <w:bCs/>
          <w:lang w:val="es-ES"/>
        </w:rPr>
        <w:t>Indicador:</w:t>
      </w:r>
      <w:r w:rsidR="00D136BB">
        <w:rPr>
          <w:lang w:val="es-ES"/>
        </w:rPr>
        <w:t xml:space="preserve"> </w:t>
      </w:r>
      <w:r w:rsidRPr="003618E2">
        <w:rPr>
          <w:lang w:val="es-ES"/>
        </w:rPr>
        <w:t>(1)</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países</w:t>
      </w:r>
      <w:r w:rsidR="00D136BB">
        <w:rPr>
          <w:lang w:val="es-ES"/>
        </w:rPr>
        <w:t xml:space="preserve"> </w:t>
      </w:r>
      <w:r w:rsidRPr="003618E2">
        <w:rPr>
          <w:lang w:val="es-ES"/>
        </w:rPr>
        <w:t>que</w:t>
      </w:r>
      <w:r w:rsidR="00D136BB">
        <w:rPr>
          <w:lang w:val="es-ES"/>
        </w:rPr>
        <w:t xml:space="preserve"> </w:t>
      </w:r>
      <w:r w:rsidRPr="003618E2">
        <w:rPr>
          <w:lang w:val="es-ES"/>
        </w:rPr>
        <w:t>tengan</w:t>
      </w:r>
      <w:r w:rsidR="00D136BB">
        <w:rPr>
          <w:lang w:val="es-ES"/>
        </w:rPr>
        <w:t xml:space="preserve"> </w:t>
      </w:r>
      <w:r w:rsidRPr="003618E2">
        <w:rPr>
          <w:lang w:val="es-ES"/>
        </w:rPr>
        <w:t>metodologías</w:t>
      </w:r>
      <w:r w:rsidR="00D136BB">
        <w:rPr>
          <w:lang w:val="es-ES"/>
        </w:rPr>
        <w:t xml:space="preserve"> </w:t>
      </w:r>
      <w:r w:rsidRPr="003618E2">
        <w:rPr>
          <w:lang w:val="es-ES"/>
        </w:rPr>
        <w:t>y</w:t>
      </w:r>
      <w:r w:rsidR="00D136BB">
        <w:rPr>
          <w:lang w:val="es-ES"/>
        </w:rPr>
        <w:t xml:space="preserve"> </w:t>
      </w:r>
      <w:r w:rsidRPr="003618E2">
        <w:rPr>
          <w:lang w:val="es-ES"/>
        </w:rPr>
        <w:t>una</w:t>
      </w:r>
      <w:r w:rsidR="00D136BB">
        <w:rPr>
          <w:lang w:val="es-ES"/>
        </w:rPr>
        <w:t xml:space="preserve"> </w:t>
      </w:r>
      <w:r w:rsidRPr="003618E2">
        <w:rPr>
          <w:lang w:val="es-ES"/>
        </w:rPr>
        <w:t>estructura</w:t>
      </w:r>
      <w:r w:rsidR="00D136BB">
        <w:rPr>
          <w:lang w:val="es-ES"/>
        </w:rPr>
        <w:t xml:space="preserve"> </w:t>
      </w:r>
      <w:r w:rsidRPr="003618E2">
        <w:rPr>
          <w:lang w:val="es-ES"/>
        </w:rPr>
        <w:t>establecidas</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capacitación</w:t>
      </w:r>
      <w:r w:rsidR="00D136BB">
        <w:rPr>
          <w:lang w:val="es-ES"/>
        </w:rPr>
        <w:t xml:space="preserve"> </w:t>
      </w:r>
      <w:r w:rsidRPr="003618E2">
        <w:rPr>
          <w:lang w:val="es-ES"/>
        </w:rPr>
        <w:t>del</w:t>
      </w:r>
      <w:r w:rsidR="00D136BB">
        <w:rPr>
          <w:lang w:val="es-ES"/>
        </w:rPr>
        <w:t xml:space="preserve"> </w:t>
      </w:r>
      <w:r w:rsidRPr="003618E2">
        <w:rPr>
          <w:lang w:val="es-ES"/>
        </w:rPr>
        <w:t>personal,</w:t>
      </w:r>
      <w:r w:rsidR="00D136BB">
        <w:rPr>
          <w:lang w:val="es-ES"/>
        </w:rPr>
        <w:t xml:space="preserve"> </w:t>
      </w:r>
      <w:r w:rsidRPr="003618E2">
        <w:rPr>
          <w:lang w:val="es-ES"/>
        </w:rPr>
        <w:t>de</w:t>
      </w:r>
      <w:r w:rsidR="00D136BB">
        <w:rPr>
          <w:lang w:val="es-ES"/>
        </w:rPr>
        <w:t xml:space="preserve"> </w:t>
      </w:r>
      <w:r w:rsidRPr="003618E2">
        <w:rPr>
          <w:lang w:val="es-ES"/>
        </w:rPr>
        <w:t>acuerdo</w:t>
      </w:r>
      <w:r w:rsidR="00D136BB">
        <w:rPr>
          <w:lang w:val="es-ES"/>
        </w:rPr>
        <w:t xml:space="preserve"> </w:t>
      </w:r>
      <w:r w:rsidRPr="003618E2">
        <w:rPr>
          <w:lang w:val="es-ES"/>
        </w:rPr>
        <w:t>al</w:t>
      </w:r>
      <w:r w:rsidR="00D136BB">
        <w:rPr>
          <w:lang w:val="es-ES"/>
        </w:rPr>
        <w:t xml:space="preserve"> </w:t>
      </w:r>
      <w:r w:rsidRPr="003618E2">
        <w:rPr>
          <w:lang w:val="es-ES"/>
        </w:rPr>
        <w:t>nuevo</w:t>
      </w:r>
      <w:r w:rsidR="00D136BB">
        <w:rPr>
          <w:lang w:val="es-ES"/>
        </w:rPr>
        <w:t xml:space="preserve"> </w:t>
      </w:r>
      <w:r w:rsidRPr="003618E2">
        <w:rPr>
          <w:lang w:val="es-ES"/>
        </w:rPr>
        <w:t>estándar</w:t>
      </w:r>
      <w:r w:rsidR="00D136BB">
        <w:rPr>
          <w:lang w:val="es-ES"/>
        </w:rPr>
        <w:t xml:space="preserve"> </w:t>
      </w:r>
      <w:r w:rsidRPr="003618E2">
        <w:rPr>
          <w:lang w:val="es-ES"/>
        </w:rPr>
        <w:t>ISO9712:2012</w:t>
      </w:r>
      <w:r w:rsidR="00D136BB">
        <w:rPr>
          <w:lang w:val="es-ES"/>
        </w:rPr>
        <w:t xml:space="preserve"> </w:t>
      </w:r>
      <w:r w:rsidRPr="003618E2">
        <w:rPr>
          <w:lang w:val="es-ES"/>
        </w:rPr>
        <w:t>para</w:t>
      </w:r>
      <w:r w:rsidR="00D136BB">
        <w:rPr>
          <w:lang w:val="es-ES"/>
        </w:rPr>
        <w:t xml:space="preserve"> </w:t>
      </w:r>
      <w:r w:rsidRPr="003618E2">
        <w:rPr>
          <w:lang w:val="es-ES"/>
        </w:rPr>
        <w:t>END</w:t>
      </w:r>
      <w:r w:rsidR="00D136BB">
        <w:rPr>
          <w:lang w:val="es-ES"/>
        </w:rPr>
        <w:t xml:space="preserve"> </w:t>
      </w:r>
      <w:r w:rsidRPr="003618E2">
        <w:rPr>
          <w:lang w:val="es-ES"/>
        </w:rPr>
        <w:t>y</w:t>
      </w:r>
      <w:r w:rsidR="00D136BB">
        <w:rPr>
          <w:lang w:val="es-ES"/>
        </w:rPr>
        <w:t xml:space="preserve"> </w:t>
      </w:r>
      <w:r w:rsidRPr="003618E2">
        <w:rPr>
          <w:lang w:val="es-ES"/>
        </w:rPr>
        <w:t>la</w:t>
      </w:r>
      <w:r w:rsidR="00D136BB">
        <w:rPr>
          <w:lang w:val="es-ES"/>
        </w:rPr>
        <w:t xml:space="preserve"> </w:t>
      </w:r>
      <w:r w:rsidRPr="003618E2">
        <w:rPr>
          <w:lang w:val="es-ES"/>
        </w:rPr>
        <w:t>certificación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procesos</w:t>
      </w:r>
      <w:r w:rsidR="00D136BB">
        <w:rPr>
          <w:lang w:val="es-ES"/>
        </w:rPr>
        <w:t xml:space="preserve"> </w:t>
      </w:r>
      <w:r w:rsidRPr="003618E2">
        <w:rPr>
          <w:lang w:val="es-ES"/>
        </w:rPr>
        <w:t>que</w:t>
      </w:r>
      <w:r w:rsidR="00D136BB">
        <w:rPr>
          <w:lang w:val="es-ES"/>
        </w:rPr>
        <w:t xml:space="preserve"> </w:t>
      </w:r>
      <w:r w:rsidRPr="003618E2">
        <w:rPr>
          <w:lang w:val="es-ES"/>
        </w:rPr>
        <w:t>utilizan</w:t>
      </w:r>
      <w:r w:rsidR="00D136BB">
        <w:rPr>
          <w:lang w:val="es-ES"/>
        </w:rPr>
        <w:t xml:space="preserve"> </w:t>
      </w:r>
      <w:r w:rsidRPr="003618E2">
        <w:rPr>
          <w:lang w:val="es-ES"/>
        </w:rPr>
        <w:t>tecnologías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(2)</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publicaciones</w:t>
      </w:r>
      <w:r w:rsidR="00D136BB">
        <w:rPr>
          <w:lang w:val="es-ES"/>
        </w:rPr>
        <w:t xml:space="preserve"> </w:t>
      </w:r>
      <w:r w:rsidRPr="003618E2">
        <w:rPr>
          <w:lang w:val="es-ES"/>
        </w:rPr>
        <w:t>científicas</w:t>
      </w:r>
      <w:r w:rsidR="00D136BB">
        <w:rPr>
          <w:lang w:val="es-ES"/>
        </w:rPr>
        <w:t xml:space="preserve"> </w:t>
      </w:r>
      <w:r w:rsidRPr="003618E2">
        <w:rPr>
          <w:lang w:val="es-ES"/>
        </w:rPr>
        <w:t>y</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noticias</w:t>
      </w:r>
      <w:r w:rsidR="00D136BB">
        <w:rPr>
          <w:lang w:val="es-ES"/>
        </w:rPr>
        <w:t xml:space="preserve"> </w:t>
      </w:r>
      <w:r w:rsidRPr="003618E2">
        <w:rPr>
          <w:lang w:val="es-ES"/>
        </w:rPr>
        <w:t>elaboradas</w:t>
      </w:r>
      <w:r w:rsidR="00D136BB">
        <w:rPr>
          <w:lang w:val="es-ES"/>
        </w:rPr>
        <w:t xml:space="preserve"> </w:t>
      </w:r>
      <w:r w:rsidRPr="003618E2">
        <w:rPr>
          <w:lang w:val="es-ES"/>
        </w:rPr>
        <w:t>por</w:t>
      </w:r>
      <w:r w:rsidR="00D136BB">
        <w:rPr>
          <w:lang w:val="es-ES"/>
        </w:rPr>
        <w:t xml:space="preserve"> </w:t>
      </w:r>
      <w:r w:rsidRPr="003618E2">
        <w:rPr>
          <w:lang w:val="es-ES"/>
        </w:rPr>
        <w:t>los</w:t>
      </w:r>
      <w:r w:rsidR="00D136BB">
        <w:rPr>
          <w:lang w:val="es-ES"/>
        </w:rPr>
        <w:t xml:space="preserve"> </w:t>
      </w:r>
      <w:r w:rsidRPr="003618E2">
        <w:rPr>
          <w:lang w:val="es-ES"/>
        </w:rPr>
        <w:t>respectivos</w:t>
      </w:r>
      <w:r w:rsidR="00D136BB">
        <w:rPr>
          <w:lang w:val="es-ES"/>
        </w:rPr>
        <w:t xml:space="preserve"> </w:t>
      </w:r>
      <w:r w:rsidRPr="003618E2">
        <w:rPr>
          <w:lang w:val="es-ES"/>
        </w:rPr>
        <w:t>departamentos</w:t>
      </w:r>
      <w:r w:rsidR="00D136BB">
        <w:rPr>
          <w:lang w:val="es-ES"/>
        </w:rPr>
        <w:t xml:space="preserve"> </w:t>
      </w:r>
      <w:r w:rsidRPr="003618E2">
        <w:rPr>
          <w:lang w:val="es-ES"/>
        </w:rPr>
        <w:t>de</w:t>
      </w:r>
      <w:r w:rsidR="00D136BB">
        <w:rPr>
          <w:lang w:val="es-ES"/>
        </w:rPr>
        <w:t xml:space="preserve"> </w:t>
      </w:r>
      <w:r w:rsidRPr="003618E2">
        <w:rPr>
          <w:lang w:val="es-ES"/>
        </w:rPr>
        <w:t>comunicación</w:t>
      </w:r>
      <w:r w:rsidR="00D136BB">
        <w:rPr>
          <w:lang w:val="es-ES"/>
        </w:rPr>
        <w:t xml:space="preserve"> </w:t>
      </w:r>
      <w:r w:rsidRPr="003618E2">
        <w:rPr>
          <w:lang w:val="es-ES"/>
        </w:rPr>
        <w:t>(divulgación</w:t>
      </w:r>
      <w:r w:rsidR="00D136BB">
        <w:rPr>
          <w:lang w:val="es-ES"/>
        </w:rPr>
        <w:t xml:space="preserve"> </w:t>
      </w:r>
      <w:r w:rsidRPr="003618E2">
        <w:rPr>
          <w:lang w:val="es-ES"/>
        </w:rPr>
        <w:t>técnica</w:t>
      </w:r>
      <w:r w:rsidR="00D136BB">
        <w:rPr>
          <w:lang w:val="es-ES"/>
        </w:rPr>
        <w:t xml:space="preserve"> </w:t>
      </w:r>
      <w:r w:rsidRPr="003618E2">
        <w:rPr>
          <w:lang w:val="es-ES"/>
        </w:rPr>
        <w:t>-periodística).</w:t>
      </w:r>
    </w:p>
    <w:p w14:paraId="503DE84D" w14:textId="4D7CD699" w:rsidR="006D362C" w:rsidRPr="003618E2" w:rsidRDefault="006D362C" w:rsidP="006D362C">
      <w:pPr>
        <w:pStyle w:val="BodyText"/>
        <w:rPr>
          <w:lang w:val="es-ES"/>
        </w:rPr>
      </w:pPr>
      <w:r w:rsidRPr="003618E2">
        <w:rPr>
          <w:b/>
          <w:bCs/>
          <w:lang w:val="es-ES"/>
        </w:rPr>
        <w:t>Línea</w:t>
      </w:r>
      <w:r w:rsidR="00D136BB">
        <w:rPr>
          <w:b/>
          <w:bCs/>
          <w:lang w:val="es-ES"/>
        </w:rPr>
        <w:t xml:space="preserve"> </w:t>
      </w:r>
      <w:r w:rsidRPr="003618E2">
        <w:rPr>
          <w:b/>
          <w:bCs/>
          <w:lang w:val="es-ES"/>
        </w:rPr>
        <w:t>Base</w:t>
      </w:r>
      <w:r w:rsidRPr="003618E2">
        <w:rPr>
          <w:lang w:val="es-ES"/>
        </w:rPr>
        <w:t>:</w:t>
      </w:r>
      <w:r w:rsidR="00D136BB">
        <w:rPr>
          <w:lang w:val="es-ES"/>
        </w:rPr>
        <w:t xml:space="preserve"> </w:t>
      </w:r>
      <w:r w:rsidRPr="003618E2">
        <w:rPr>
          <w:lang w:val="es-ES"/>
        </w:rPr>
        <w:t>(1)</w:t>
      </w:r>
      <w:r w:rsidR="00D136BB">
        <w:rPr>
          <w:lang w:val="es-ES"/>
        </w:rPr>
        <w:t xml:space="preserve"> </w:t>
      </w:r>
      <w:r w:rsidRPr="003618E2">
        <w:rPr>
          <w:lang w:val="es-ES"/>
        </w:rPr>
        <w:t>5</w:t>
      </w:r>
      <w:r w:rsidR="00D136BB">
        <w:rPr>
          <w:lang w:val="es-ES"/>
        </w:rPr>
        <w:t xml:space="preserve"> </w:t>
      </w:r>
      <w:r w:rsidRPr="003618E2">
        <w:rPr>
          <w:lang w:val="es-ES"/>
        </w:rPr>
        <w:t>países</w:t>
      </w:r>
      <w:r w:rsidR="00D136BB">
        <w:rPr>
          <w:lang w:val="es-ES"/>
        </w:rPr>
        <w:t xml:space="preserve"> </w:t>
      </w:r>
      <w:r w:rsidRPr="003618E2">
        <w:rPr>
          <w:lang w:val="es-ES"/>
        </w:rPr>
        <w:t>con</w:t>
      </w:r>
      <w:r w:rsidR="00D136BB">
        <w:rPr>
          <w:lang w:val="es-ES"/>
        </w:rPr>
        <w:t xml:space="preserve"> </w:t>
      </w:r>
      <w:r w:rsidRPr="003618E2">
        <w:rPr>
          <w:lang w:val="es-ES"/>
        </w:rPr>
        <w:t>personal</w:t>
      </w:r>
      <w:r w:rsidR="00D136BB">
        <w:rPr>
          <w:lang w:val="es-ES"/>
        </w:rPr>
        <w:t xml:space="preserve"> </w:t>
      </w:r>
      <w:r w:rsidRPr="003618E2">
        <w:rPr>
          <w:lang w:val="es-ES"/>
        </w:rPr>
        <w:t>capacitado</w:t>
      </w:r>
      <w:r w:rsidR="00D136BB">
        <w:rPr>
          <w:lang w:val="es-ES"/>
        </w:rPr>
        <w:t xml:space="preserve"> </w:t>
      </w:r>
      <w:r w:rsidRPr="003618E2">
        <w:rPr>
          <w:lang w:val="es-ES"/>
        </w:rPr>
        <w:t>y</w:t>
      </w:r>
      <w:r w:rsidR="00D136BB">
        <w:rPr>
          <w:lang w:val="es-ES"/>
        </w:rPr>
        <w:t xml:space="preserve"> </w:t>
      </w:r>
      <w:r w:rsidRPr="003618E2">
        <w:rPr>
          <w:lang w:val="es-ES"/>
        </w:rPr>
        <w:t>metodologías</w:t>
      </w:r>
      <w:r w:rsidR="00D136BB">
        <w:rPr>
          <w:lang w:val="es-ES"/>
        </w:rPr>
        <w:t xml:space="preserve"> </w:t>
      </w:r>
      <w:r w:rsidRPr="003618E2">
        <w:rPr>
          <w:lang w:val="es-ES"/>
        </w:rPr>
        <w:t>armonizadas.</w:t>
      </w:r>
      <w:r w:rsidR="00D136BB">
        <w:rPr>
          <w:lang w:val="es-ES"/>
        </w:rPr>
        <w:t xml:space="preserve"> </w:t>
      </w:r>
      <w:r w:rsidRPr="003618E2">
        <w:rPr>
          <w:lang w:val="es-ES"/>
        </w:rPr>
        <w:t>(2)</w:t>
      </w:r>
      <w:r w:rsidR="00D136BB">
        <w:rPr>
          <w:lang w:val="es-ES"/>
        </w:rPr>
        <w:t xml:space="preserve"> </w:t>
      </w:r>
      <w:r w:rsidRPr="003618E2">
        <w:rPr>
          <w:lang w:val="es-ES"/>
        </w:rPr>
        <w:t>1</w:t>
      </w:r>
      <w:r w:rsidR="00D136BB">
        <w:rPr>
          <w:lang w:val="es-ES"/>
        </w:rPr>
        <w:t xml:space="preserve"> </w:t>
      </w:r>
      <w:r w:rsidRPr="003618E2">
        <w:rPr>
          <w:lang w:val="es-ES"/>
        </w:rPr>
        <w:t>publicación</w:t>
      </w:r>
      <w:r w:rsidR="00D136BB">
        <w:rPr>
          <w:lang w:val="es-ES"/>
        </w:rPr>
        <w:t xml:space="preserve"> </w:t>
      </w:r>
      <w:r w:rsidRPr="003618E2">
        <w:rPr>
          <w:lang w:val="es-ES"/>
        </w:rPr>
        <w:t>por</w:t>
      </w:r>
      <w:r w:rsidR="00D136BB">
        <w:rPr>
          <w:lang w:val="es-ES"/>
        </w:rPr>
        <w:t xml:space="preserve"> </w:t>
      </w:r>
      <w:r w:rsidRPr="003618E2">
        <w:rPr>
          <w:lang w:val="es-ES"/>
        </w:rPr>
        <w:t>año</w:t>
      </w:r>
      <w:r w:rsidR="00D136BB">
        <w:rPr>
          <w:lang w:val="es-ES"/>
        </w:rPr>
        <w:t xml:space="preserve"> </w:t>
      </w:r>
      <w:r w:rsidRPr="003618E2">
        <w:rPr>
          <w:lang w:val="es-ES"/>
        </w:rPr>
        <w:t>de</w:t>
      </w:r>
      <w:r w:rsidR="00D136BB">
        <w:rPr>
          <w:lang w:val="es-ES"/>
        </w:rPr>
        <w:t xml:space="preserve"> </w:t>
      </w:r>
      <w:r w:rsidRPr="003618E2">
        <w:rPr>
          <w:lang w:val="es-ES"/>
        </w:rPr>
        <w:t>cada</w:t>
      </w:r>
      <w:r w:rsidR="00D136BB">
        <w:rPr>
          <w:lang w:val="es-ES"/>
        </w:rPr>
        <w:t xml:space="preserve"> </w:t>
      </w:r>
      <w:r w:rsidRPr="003618E2">
        <w:rPr>
          <w:lang w:val="es-ES"/>
        </w:rPr>
        <w:t>país</w:t>
      </w:r>
      <w:r w:rsidR="00D136BB">
        <w:rPr>
          <w:lang w:val="es-ES"/>
        </w:rPr>
        <w:t xml:space="preserve"> </w:t>
      </w:r>
      <w:r w:rsidRPr="003618E2">
        <w:rPr>
          <w:lang w:val="es-ES"/>
        </w:rPr>
        <w:t>participante.</w:t>
      </w:r>
    </w:p>
    <w:p w14:paraId="7205A3F1" w14:textId="77777777" w:rsidR="006D362C" w:rsidRPr="003618E2" w:rsidRDefault="006D362C" w:rsidP="006D362C">
      <w:pPr>
        <w:pStyle w:val="BodyText"/>
        <w:rPr>
          <w:lang w:val="es-ES"/>
        </w:rPr>
      </w:pPr>
    </w:p>
    <w:p w14:paraId="5D6F49D0" w14:textId="69C9B502" w:rsidR="006D362C" w:rsidRPr="003618E2" w:rsidRDefault="006D362C" w:rsidP="006D362C">
      <w:pPr>
        <w:pStyle w:val="BodyText"/>
        <w:numPr>
          <w:ilvl w:val="0"/>
          <w:numId w:val="34"/>
        </w:numPr>
        <w:rPr>
          <w:b/>
          <w:bCs/>
          <w:lang w:val="es-ES_tradnl"/>
        </w:rPr>
      </w:pPr>
      <w:r w:rsidRPr="003618E2">
        <w:rPr>
          <w:b/>
          <w:bCs/>
          <w:lang w:val="es-ES_tradnl"/>
        </w:rPr>
        <w:t>Transformación</w:t>
      </w:r>
      <w:r w:rsidR="00D136BB">
        <w:rPr>
          <w:b/>
          <w:bCs/>
          <w:lang w:val="es-ES_tradnl"/>
        </w:rPr>
        <w:t xml:space="preserve"> </w:t>
      </w:r>
      <w:r w:rsidRPr="003618E2">
        <w:rPr>
          <w:b/>
          <w:bCs/>
          <w:lang w:val="es-ES_tradnl"/>
        </w:rPr>
        <w:t>sustentable</w:t>
      </w:r>
      <w:r w:rsidR="00D136BB">
        <w:rPr>
          <w:b/>
          <w:bCs/>
          <w:lang w:val="es-ES_tradnl"/>
        </w:rPr>
        <w:t xml:space="preserve"> </w:t>
      </w:r>
      <w:r w:rsidRPr="003618E2">
        <w:rPr>
          <w:b/>
          <w:bCs/>
          <w:lang w:val="es-ES_tradnl"/>
        </w:rPr>
        <w:t>de</w:t>
      </w:r>
      <w:r w:rsidR="00D136BB">
        <w:rPr>
          <w:b/>
          <w:bCs/>
          <w:lang w:val="es-ES_tradnl"/>
        </w:rPr>
        <w:t xml:space="preserve"> </w:t>
      </w:r>
      <w:r w:rsidRPr="003618E2">
        <w:rPr>
          <w:b/>
          <w:bCs/>
          <w:lang w:val="es-ES_tradnl"/>
        </w:rPr>
        <w:t>recursos</w:t>
      </w:r>
      <w:r w:rsidR="00D136BB">
        <w:rPr>
          <w:b/>
          <w:bCs/>
          <w:lang w:val="es-ES_tradnl"/>
        </w:rPr>
        <w:t xml:space="preserve"> </w:t>
      </w:r>
      <w:r w:rsidRPr="003618E2">
        <w:rPr>
          <w:b/>
          <w:bCs/>
          <w:lang w:val="es-ES_tradnl"/>
        </w:rPr>
        <w:t>naturales</w:t>
      </w:r>
      <w:r w:rsidR="00D136BB">
        <w:rPr>
          <w:b/>
          <w:bCs/>
          <w:lang w:val="es-ES_tradnl"/>
        </w:rPr>
        <w:t xml:space="preserve"> </w:t>
      </w:r>
      <w:r w:rsidRPr="003618E2">
        <w:rPr>
          <w:b/>
          <w:bCs/>
          <w:lang w:val="es-ES_tradnl"/>
        </w:rPr>
        <w:t>no</w:t>
      </w:r>
      <w:r w:rsidR="00D136BB">
        <w:rPr>
          <w:b/>
          <w:bCs/>
          <w:lang w:val="es-ES_tradnl"/>
        </w:rPr>
        <w:t xml:space="preserve"> </w:t>
      </w:r>
      <w:r w:rsidRPr="003618E2">
        <w:rPr>
          <w:b/>
          <w:bCs/>
          <w:lang w:val="es-ES_tradnl"/>
        </w:rPr>
        <w:t>tóxicos</w:t>
      </w:r>
      <w:r w:rsidR="00D136BB">
        <w:rPr>
          <w:b/>
          <w:bCs/>
          <w:lang w:val="es-ES_tradnl"/>
        </w:rPr>
        <w:t xml:space="preserve"> </w:t>
      </w:r>
      <w:r w:rsidRPr="003618E2">
        <w:rPr>
          <w:b/>
          <w:bCs/>
          <w:lang w:val="es-ES_tradnl"/>
        </w:rPr>
        <w:t>renovables</w:t>
      </w:r>
      <w:r w:rsidR="00D136BB">
        <w:rPr>
          <w:b/>
          <w:bCs/>
          <w:lang w:val="es-ES_tradnl"/>
        </w:rPr>
        <w:t xml:space="preserve"> </w:t>
      </w:r>
      <w:r w:rsidRPr="003618E2">
        <w:rPr>
          <w:b/>
          <w:bCs/>
          <w:lang w:val="es-ES_tradnl"/>
        </w:rPr>
        <w:t>de</w:t>
      </w:r>
      <w:r w:rsidR="00D136BB">
        <w:rPr>
          <w:b/>
          <w:bCs/>
          <w:lang w:val="es-ES_tradnl"/>
        </w:rPr>
        <w:t xml:space="preserve"> </w:t>
      </w:r>
      <w:r w:rsidRPr="003618E2">
        <w:rPr>
          <w:b/>
          <w:bCs/>
          <w:lang w:val="es-ES_tradnl"/>
        </w:rPr>
        <w:t>la</w:t>
      </w:r>
      <w:r w:rsidR="00D136BB">
        <w:rPr>
          <w:b/>
          <w:bCs/>
          <w:lang w:val="es-ES_tradnl"/>
        </w:rPr>
        <w:t xml:space="preserve"> </w:t>
      </w:r>
      <w:r w:rsidRPr="003618E2">
        <w:rPr>
          <w:b/>
          <w:bCs/>
          <w:lang w:val="es-ES_tradnl"/>
        </w:rPr>
        <w:t>región</w:t>
      </w:r>
      <w:r w:rsidR="00D136BB">
        <w:rPr>
          <w:b/>
          <w:bCs/>
          <w:lang w:val="es-ES_tradnl"/>
        </w:rPr>
        <w:t xml:space="preserve"> </w:t>
      </w:r>
      <w:r w:rsidRPr="003618E2">
        <w:rPr>
          <w:b/>
          <w:bCs/>
          <w:lang w:val="es-ES_tradnl"/>
        </w:rPr>
        <w:t>(polímeros</w:t>
      </w:r>
      <w:r w:rsidR="00D136BB">
        <w:rPr>
          <w:b/>
          <w:bCs/>
          <w:lang w:val="es-ES_tradnl"/>
        </w:rPr>
        <w:t xml:space="preserve"> </w:t>
      </w:r>
      <w:r w:rsidRPr="003618E2">
        <w:rPr>
          <w:b/>
          <w:bCs/>
          <w:lang w:val="es-ES_tradnl"/>
        </w:rPr>
        <w:t>naturales)</w:t>
      </w:r>
      <w:r w:rsidR="00D136BB">
        <w:rPr>
          <w:b/>
          <w:bCs/>
          <w:lang w:val="es-ES_tradnl"/>
        </w:rPr>
        <w:t xml:space="preserve"> </w:t>
      </w:r>
      <w:r w:rsidRPr="003618E2">
        <w:rPr>
          <w:b/>
          <w:bCs/>
          <w:lang w:val="es-ES_tradnl"/>
        </w:rPr>
        <w:t>para</w:t>
      </w:r>
      <w:r w:rsidR="00D136BB">
        <w:rPr>
          <w:b/>
          <w:bCs/>
          <w:lang w:val="es-ES_tradnl"/>
        </w:rPr>
        <w:t xml:space="preserve"> </w:t>
      </w:r>
      <w:r w:rsidRPr="003618E2">
        <w:rPr>
          <w:b/>
          <w:bCs/>
          <w:lang w:val="es-ES_tradnl"/>
        </w:rPr>
        <w:t>el</w:t>
      </w:r>
      <w:r w:rsidR="00D136BB">
        <w:rPr>
          <w:b/>
          <w:bCs/>
          <w:lang w:val="es-ES_tradnl"/>
        </w:rPr>
        <w:t xml:space="preserve"> </w:t>
      </w:r>
      <w:r w:rsidRPr="003618E2">
        <w:rPr>
          <w:b/>
          <w:bCs/>
          <w:lang w:val="es-ES_tradnl"/>
        </w:rPr>
        <w:t>incremento</w:t>
      </w:r>
      <w:r w:rsidR="00D136BB">
        <w:rPr>
          <w:b/>
          <w:bCs/>
          <w:lang w:val="es-ES_tradnl"/>
        </w:rPr>
        <w:t xml:space="preserve"> </w:t>
      </w:r>
      <w:r w:rsidRPr="003618E2">
        <w:rPr>
          <w:b/>
          <w:bCs/>
          <w:lang w:val="es-ES_tradnl"/>
        </w:rPr>
        <w:t>de</w:t>
      </w:r>
      <w:r w:rsidR="00D136BB">
        <w:rPr>
          <w:b/>
          <w:bCs/>
          <w:lang w:val="es-ES_tradnl"/>
        </w:rPr>
        <w:t xml:space="preserve"> </w:t>
      </w:r>
      <w:r w:rsidRPr="003618E2">
        <w:rPr>
          <w:b/>
          <w:bCs/>
          <w:lang w:val="es-ES_tradnl"/>
        </w:rPr>
        <w:t>la</w:t>
      </w:r>
      <w:r w:rsidR="00D136BB">
        <w:rPr>
          <w:b/>
          <w:bCs/>
          <w:lang w:val="es-ES_tradnl"/>
        </w:rPr>
        <w:t xml:space="preserve"> </w:t>
      </w:r>
      <w:r w:rsidRPr="003618E2">
        <w:rPr>
          <w:b/>
          <w:bCs/>
          <w:lang w:val="es-ES_tradnl"/>
        </w:rPr>
        <w:t>producción</w:t>
      </w:r>
      <w:r w:rsidR="00D136BB">
        <w:rPr>
          <w:b/>
          <w:bCs/>
          <w:lang w:val="es-ES_tradnl"/>
        </w:rPr>
        <w:t xml:space="preserve"> </w:t>
      </w:r>
      <w:r w:rsidRPr="003618E2">
        <w:rPr>
          <w:b/>
          <w:bCs/>
          <w:lang w:val="es-ES_tradnl"/>
        </w:rPr>
        <w:t>agrícola</w:t>
      </w:r>
      <w:r w:rsidR="00D136BB">
        <w:rPr>
          <w:b/>
          <w:bCs/>
          <w:lang w:val="es-ES_tradnl"/>
        </w:rPr>
        <w:t xml:space="preserve"> </w:t>
      </w:r>
      <w:r w:rsidRPr="003618E2">
        <w:rPr>
          <w:b/>
          <w:bCs/>
          <w:lang w:val="es-ES_tradnl"/>
        </w:rPr>
        <w:t>y</w:t>
      </w:r>
      <w:r w:rsidR="00D136BB">
        <w:rPr>
          <w:b/>
          <w:bCs/>
          <w:lang w:val="es-ES_tradnl"/>
        </w:rPr>
        <w:t xml:space="preserve"> </w:t>
      </w:r>
      <w:r w:rsidRPr="003618E2">
        <w:rPr>
          <w:b/>
          <w:bCs/>
          <w:lang w:val="es-ES_tradnl"/>
        </w:rPr>
        <w:t>disminución</w:t>
      </w:r>
      <w:r w:rsidR="00D136BB">
        <w:rPr>
          <w:b/>
          <w:bCs/>
          <w:lang w:val="es-ES_tradnl"/>
        </w:rPr>
        <w:t xml:space="preserve"> </w:t>
      </w:r>
      <w:r w:rsidRPr="003618E2">
        <w:rPr>
          <w:b/>
          <w:bCs/>
          <w:lang w:val="es-ES_tradnl"/>
        </w:rPr>
        <w:t>de</w:t>
      </w:r>
      <w:r w:rsidR="00D136BB">
        <w:rPr>
          <w:b/>
          <w:bCs/>
          <w:lang w:val="es-ES_tradnl"/>
        </w:rPr>
        <w:t xml:space="preserve"> </w:t>
      </w:r>
      <w:r w:rsidRPr="003618E2">
        <w:rPr>
          <w:b/>
          <w:bCs/>
          <w:lang w:val="es-ES_tradnl"/>
        </w:rPr>
        <w:t>los</w:t>
      </w:r>
      <w:r w:rsidR="00D136BB">
        <w:rPr>
          <w:b/>
          <w:bCs/>
          <w:lang w:val="es-ES_tradnl"/>
        </w:rPr>
        <w:t xml:space="preserve"> </w:t>
      </w:r>
      <w:r w:rsidRPr="003618E2">
        <w:rPr>
          <w:b/>
          <w:bCs/>
          <w:lang w:val="es-ES_tradnl"/>
        </w:rPr>
        <w:t>residuos</w:t>
      </w:r>
      <w:r w:rsidR="00D136BB">
        <w:rPr>
          <w:b/>
          <w:bCs/>
          <w:lang w:val="es-ES_tradnl"/>
        </w:rPr>
        <w:t xml:space="preserve"> </w:t>
      </w:r>
      <w:r w:rsidRPr="003618E2">
        <w:rPr>
          <w:b/>
          <w:bCs/>
          <w:lang w:val="es-ES_tradnl"/>
        </w:rPr>
        <w:t>y</w:t>
      </w:r>
      <w:r w:rsidR="00D136BB">
        <w:rPr>
          <w:b/>
          <w:bCs/>
          <w:lang w:val="es-ES_tradnl"/>
        </w:rPr>
        <w:t xml:space="preserve"> </w:t>
      </w:r>
      <w:r w:rsidRPr="003618E2">
        <w:rPr>
          <w:b/>
          <w:bCs/>
          <w:lang w:val="es-ES_tradnl"/>
        </w:rPr>
        <w:t>la</w:t>
      </w:r>
      <w:r w:rsidR="00D136BB">
        <w:rPr>
          <w:b/>
          <w:bCs/>
          <w:lang w:val="es-ES_tradnl"/>
        </w:rPr>
        <w:t xml:space="preserve"> </w:t>
      </w:r>
      <w:r w:rsidRPr="003618E2">
        <w:rPr>
          <w:b/>
          <w:bCs/>
          <w:lang w:val="es-ES_tradnl"/>
        </w:rPr>
        <w:t>contaminación.</w:t>
      </w:r>
    </w:p>
    <w:p w14:paraId="116F94BF" w14:textId="77777777" w:rsidR="006D362C" w:rsidRPr="003618E2" w:rsidRDefault="006D362C" w:rsidP="006D362C">
      <w:pPr>
        <w:pStyle w:val="BodyText"/>
        <w:rPr>
          <w:b/>
          <w:lang w:val="es-ES"/>
        </w:rPr>
      </w:pPr>
    </w:p>
    <w:p w14:paraId="00AA113F" w14:textId="08B87C3E" w:rsidR="006D362C" w:rsidRPr="003618E2" w:rsidRDefault="006D362C" w:rsidP="006D362C">
      <w:pPr>
        <w:pStyle w:val="BodyText"/>
        <w:rPr>
          <w:lang w:val="es-ES"/>
        </w:rPr>
      </w:pPr>
      <w:r w:rsidRPr="003618E2">
        <w:rPr>
          <w:b/>
          <w:lang w:val="es-ES"/>
        </w:rPr>
        <w:t>Justificación:</w:t>
      </w:r>
      <w:r w:rsidR="00D136BB">
        <w:rPr>
          <w:lang w:val="es-ES"/>
        </w:rPr>
        <w:t xml:space="preserve"> </w:t>
      </w:r>
      <w:r w:rsidRPr="003618E2">
        <w:rPr>
          <w:lang w:val="es-ES"/>
        </w:rPr>
        <w:t>Materiales</w:t>
      </w:r>
      <w:r w:rsidR="00D136BB">
        <w:rPr>
          <w:lang w:val="es-ES"/>
        </w:rPr>
        <w:t xml:space="preserve"> </w:t>
      </w:r>
      <w:r w:rsidRPr="003618E2">
        <w:rPr>
          <w:lang w:val="es-ES"/>
        </w:rPr>
        <w:t>procesados</w:t>
      </w:r>
      <w:r w:rsidR="00D136BB">
        <w:rPr>
          <w:lang w:val="es-ES"/>
        </w:rPr>
        <w:t xml:space="preserve"> </w:t>
      </w:r>
      <w:r w:rsidRPr="003618E2">
        <w:rPr>
          <w:lang w:val="es-ES"/>
        </w:rPr>
        <w:t>con</w:t>
      </w:r>
      <w:r w:rsidR="00D136BB">
        <w:rPr>
          <w:lang w:val="es-ES"/>
        </w:rPr>
        <w:t xml:space="preserve"> </w:t>
      </w:r>
      <w:r w:rsidRPr="003618E2">
        <w:rPr>
          <w:lang w:val="es-ES"/>
        </w:rPr>
        <w:t>técnicas</w:t>
      </w:r>
      <w:r w:rsidR="00D136BB">
        <w:rPr>
          <w:lang w:val="es-ES"/>
        </w:rPr>
        <w:t xml:space="preserve"> </w:t>
      </w:r>
      <w:r w:rsidRPr="003618E2">
        <w:rPr>
          <w:lang w:val="es-ES"/>
        </w:rPr>
        <w:t>con</w:t>
      </w:r>
      <w:r w:rsidR="00D136BB">
        <w:rPr>
          <w:lang w:val="es-ES"/>
        </w:rPr>
        <w:t xml:space="preserve"> </w:t>
      </w:r>
      <w:r w:rsidRPr="003618E2">
        <w:rPr>
          <w:lang w:val="es-ES"/>
        </w:rPr>
        <w:t>radiación</w:t>
      </w:r>
      <w:r w:rsidR="00D136BB">
        <w:rPr>
          <w:lang w:val="es-ES"/>
        </w:rPr>
        <w:t xml:space="preserve"> </w:t>
      </w:r>
      <w:r w:rsidRPr="003618E2">
        <w:rPr>
          <w:lang w:val="es-ES"/>
        </w:rPr>
        <w:t>apoyan</w:t>
      </w:r>
      <w:r w:rsidR="00D136BB">
        <w:rPr>
          <w:lang w:val="es-ES"/>
        </w:rPr>
        <w:t xml:space="preserve"> </w:t>
      </w:r>
      <w:r w:rsidRPr="003618E2">
        <w:rPr>
          <w:lang w:val="es-ES"/>
        </w:rPr>
        <w:t>reutilización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residuos</w:t>
      </w:r>
      <w:r w:rsidR="00D136BB">
        <w:rPr>
          <w:lang w:val="es-ES"/>
        </w:rPr>
        <w:t xml:space="preserve"> </w:t>
      </w:r>
      <w:r w:rsidRPr="003618E2">
        <w:rPr>
          <w:lang w:val="es-ES"/>
        </w:rPr>
        <w:t>agrícolas</w:t>
      </w:r>
      <w:r w:rsidR="00D136BB">
        <w:rPr>
          <w:lang w:val="es-ES"/>
        </w:rPr>
        <w:t xml:space="preserve"> </w:t>
      </w:r>
      <w:r w:rsidRPr="003618E2">
        <w:rPr>
          <w:lang w:val="es-ES"/>
        </w:rPr>
        <w:t>(post-cosecha),</w:t>
      </w:r>
      <w:r w:rsidR="00D136BB">
        <w:rPr>
          <w:lang w:val="es-ES"/>
        </w:rPr>
        <w:t xml:space="preserve"> </w:t>
      </w:r>
      <w:r w:rsidRPr="003618E2">
        <w:rPr>
          <w:lang w:val="es-ES"/>
        </w:rPr>
        <w:t>disminuyendo</w:t>
      </w:r>
      <w:r w:rsidR="00D136BB">
        <w:rPr>
          <w:lang w:val="es-ES"/>
        </w:rPr>
        <w:t xml:space="preserve"> </w:t>
      </w:r>
      <w:r w:rsidRPr="003618E2">
        <w:rPr>
          <w:lang w:val="es-ES"/>
        </w:rPr>
        <w:t>el</w:t>
      </w:r>
      <w:r w:rsidR="00D136BB">
        <w:rPr>
          <w:lang w:val="es-ES"/>
        </w:rPr>
        <w:t xml:space="preserve"> </w:t>
      </w:r>
      <w:r w:rsidRPr="003618E2">
        <w:rPr>
          <w:lang w:val="es-ES"/>
        </w:rPr>
        <w:t>impacto</w:t>
      </w:r>
      <w:r w:rsidR="00D136BB">
        <w:rPr>
          <w:lang w:val="es-ES"/>
        </w:rPr>
        <w:t xml:space="preserve"> </w:t>
      </w:r>
      <w:r w:rsidRPr="003618E2">
        <w:rPr>
          <w:lang w:val="es-ES"/>
        </w:rPr>
        <w:t>ambiental.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misma</w:t>
      </w:r>
      <w:r w:rsidR="00D136BB">
        <w:rPr>
          <w:lang w:val="es-ES"/>
        </w:rPr>
        <w:t xml:space="preserve"> </w:t>
      </w:r>
      <w:r w:rsidRPr="003618E2">
        <w:rPr>
          <w:lang w:val="es-ES"/>
        </w:rPr>
        <w:t>forma,</w:t>
      </w:r>
      <w:r w:rsidR="00D136BB">
        <w:rPr>
          <w:lang w:val="es-ES"/>
        </w:rPr>
        <w:t xml:space="preserve"> </w:t>
      </w:r>
      <w:r w:rsidRPr="003618E2">
        <w:rPr>
          <w:lang w:val="es-ES"/>
        </w:rPr>
        <w:t>estas</w:t>
      </w:r>
      <w:r w:rsidR="00D136BB">
        <w:rPr>
          <w:lang w:val="es-ES"/>
        </w:rPr>
        <w:t xml:space="preserve"> </w:t>
      </w:r>
      <w:r w:rsidRPr="003618E2">
        <w:rPr>
          <w:lang w:val="es-ES"/>
        </w:rPr>
        <w:t>técnicas</w:t>
      </w:r>
      <w:r w:rsidR="00D136BB">
        <w:rPr>
          <w:lang w:val="es-ES"/>
        </w:rPr>
        <w:t xml:space="preserve"> </w:t>
      </w:r>
      <w:r w:rsidRPr="003618E2">
        <w:rPr>
          <w:lang w:val="es-ES"/>
        </w:rPr>
        <w:t>apoyan</w:t>
      </w:r>
      <w:r w:rsidR="00D136BB">
        <w:rPr>
          <w:lang w:val="es-ES"/>
        </w:rPr>
        <w:t xml:space="preserve"> </w:t>
      </w:r>
      <w:r w:rsidRPr="003618E2">
        <w:rPr>
          <w:lang w:val="es-ES"/>
        </w:rPr>
        <w:t>a</w:t>
      </w:r>
      <w:r w:rsidR="00D136BB">
        <w:rPr>
          <w:lang w:val="es-ES"/>
        </w:rPr>
        <w:t xml:space="preserve"> </w:t>
      </w:r>
      <w:r w:rsidRPr="003618E2">
        <w:rPr>
          <w:lang w:val="es-ES"/>
        </w:rPr>
        <w:t>conservar</w:t>
      </w:r>
      <w:r w:rsidR="00D136BB">
        <w:rPr>
          <w:lang w:val="es-ES"/>
        </w:rPr>
        <w:t xml:space="preserve"> </w:t>
      </w:r>
      <w:r w:rsidRPr="003618E2">
        <w:rPr>
          <w:lang w:val="es-ES"/>
        </w:rPr>
        <w:t>las</w:t>
      </w:r>
      <w:r w:rsidR="00D136BB">
        <w:rPr>
          <w:lang w:val="es-ES"/>
        </w:rPr>
        <w:t xml:space="preserve"> </w:t>
      </w:r>
      <w:r w:rsidRPr="003618E2">
        <w:rPr>
          <w:lang w:val="es-ES"/>
        </w:rPr>
        <w:t>condiciones</w:t>
      </w:r>
      <w:r w:rsidR="00D136BB">
        <w:rPr>
          <w:lang w:val="es-ES"/>
        </w:rPr>
        <w:t xml:space="preserve"> </w:t>
      </w:r>
      <w:r w:rsidRPr="003618E2">
        <w:rPr>
          <w:lang w:val="es-ES"/>
        </w:rPr>
        <w:t>productivas</w:t>
      </w:r>
      <w:r w:rsidR="00D136BB">
        <w:rPr>
          <w:lang w:val="es-ES"/>
        </w:rPr>
        <w:t xml:space="preserve"> </w:t>
      </w:r>
      <w:r w:rsidRPr="003618E2">
        <w:rPr>
          <w:lang w:val="es-ES"/>
        </w:rPr>
        <w:t>(minerales)</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suelos</w:t>
      </w:r>
      <w:r w:rsidR="00D136BB">
        <w:rPr>
          <w:lang w:val="es-ES"/>
        </w:rPr>
        <w:t xml:space="preserve"> </w:t>
      </w:r>
      <w:r w:rsidRPr="003618E2">
        <w:rPr>
          <w:lang w:val="es-ES"/>
        </w:rPr>
        <w:t>agrícolas.</w:t>
      </w:r>
      <w:r w:rsidR="00D136BB">
        <w:rPr>
          <w:lang w:val="es-ES"/>
        </w:rPr>
        <w:t xml:space="preserve"> </w:t>
      </w:r>
      <w:r w:rsidRPr="003618E2">
        <w:rPr>
          <w:lang w:val="es-ES"/>
        </w:rPr>
        <w:t>Es</w:t>
      </w:r>
      <w:r w:rsidR="00D136BB">
        <w:rPr>
          <w:lang w:val="es-ES"/>
        </w:rPr>
        <w:t xml:space="preserve"> </w:t>
      </w:r>
      <w:r w:rsidRPr="003618E2">
        <w:rPr>
          <w:lang w:val="es-ES"/>
        </w:rPr>
        <w:t>necesario</w:t>
      </w:r>
      <w:r w:rsidR="00D136BB">
        <w:rPr>
          <w:lang w:val="es-ES"/>
        </w:rPr>
        <w:t xml:space="preserve"> </w:t>
      </w:r>
      <w:r w:rsidRPr="003618E2">
        <w:rPr>
          <w:lang w:val="es-ES"/>
        </w:rPr>
        <w:t>difundir</w:t>
      </w:r>
      <w:r w:rsidR="00D136BB">
        <w:rPr>
          <w:lang w:val="es-ES"/>
        </w:rPr>
        <w:t xml:space="preserve"> </w:t>
      </w:r>
      <w:r w:rsidRPr="003618E2">
        <w:rPr>
          <w:lang w:val="es-ES"/>
        </w:rPr>
        <w:t>y</w:t>
      </w:r>
      <w:r w:rsidR="00D136BB">
        <w:rPr>
          <w:lang w:val="es-ES"/>
        </w:rPr>
        <w:t xml:space="preserve"> </w:t>
      </w:r>
      <w:r w:rsidRPr="003618E2">
        <w:rPr>
          <w:lang w:val="es-ES"/>
        </w:rPr>
        <w:t>promover</w:t>
      </w:r>
      <w:r w:rsidR="00D136BB">
        <w:rPr>
          <w:lang w:val="es-ES"/>
        </w:rPr>
        <w:t xml:space="preserve"> </w:t>
      </w:r>
      <w:r w:rsidRPr="003618E2">
        <w:rPr>
          <w:lang w:val="es-ES"/>
        </w:rPr>
        <w:t>(usuarios,</w:t>
      </w:r>
      <w:r w:rsidR="00D136BB">
        <w:rPr>
          <w:lang w:val="es-ES"/>
        </w:rPr>
        <w:t xml:space="preserve"> </w:t>
      </w:r>
      <w:r w:rsidRPr="003618E2">
        <w:rPr>
          <w:lang w:val="es-ES"/>
        </w:rPr>
        <w:t>proveedores</w:t>
      </w:r>
      <w:r w:rsidR="00D136BB">
        <w:rPr>
          <w:lang w:val="es-ES"/>
        </w:rPr>
        <w:t xml:space="preserve"> </w:t>
      </w:r>
      <w:r w:rsidRPr="003618E2">
        <w:rPr>
          <w:lang w:val="es-ES"/>
        </w:rPr>
        <w:t>de</w:t>
      </w:r>
      <w:r w:rsidR="00D136BB">
        <w:rPr>
          <w:lang w:val="es-ES"/>
        </w:rPr>
        <w:t xml:space="preserve"> </w:t>
      </w:r>
      <w:r w:rsidRPr="003618E2">
        <w:rPr>
          <w:lang w:val="es-ES"/>
        </w:rPr>
        <w:t>servicios</w:t>
      </w:r>
      <w:r w:rsidR="00D136BB">
        <w:rPr>
          <w:lang w:val="es-ES"/>
        </w:rPr>
        <w:t xml:space="preserve"> </w:t>
      </w:r>
      <w:r w:rsidRPr="003618E2">
        <w:rPr>
          <w:lang w:val="es-ES"/>
        </w:rPr>
        <w:t>y</w:t>
      </w:r>
      <w:r w:rsidR="00D136BB">
        <w:rPr>
          <w:lang w:val="es-ES"/>
        </w:rPr>
        <w:t xml:space="preserve"> </w:t>
      </w:r>
      <w:r w:rsidRPr="003618E2">
        <w:rPr>
          <w:lang w:val="es-ES"/>
        </w:rPr>
        <w:t>los</w:t>
      </w:r>
      <w:r w:rsidR="00D136BB">
        <w:rPr>
          <w:lang w:val="es-ES"/>
        </w:rPr>
        <w:t xml:space="preserve"> </w:t>
      </w:r>
      <w:r w:rsidRPr="003618E2">
        <w:rPr>
          <w:lang w:val="es-ES"/>
        </w:rPr>
        <w:t>tomadores</w:t>
      </w:r>
      <w:r w:rsidR="00D136BB">
        <w:rPr>
          <w:lang w:val="es-ES"/>
        </w:rPr>
        <w:t xml:space="preserve"> </w:t>
      </w:r>
      <w:r w:rsidRPr="003618E2">
        <w:rPr>
          <w:lang w:val="es-ES"/>
        </w:rPr>
        <w:t>de</w:t>
      </w:r>
      <w:r w:rsidR="00D136BB">
        <w:rPr>
          <w:lang w:val="es-ES"/>
        </w:rPr>
        <w:t xml:space="preserve"> </w:t>
      </w:r>
      <w:r w:rsidRPr="003618E2">
        <w:rPr>
          <w:lang w:val="es-ES"/>
        </w:rPr>
        <w:t>decisiones),</w:t>
      </w:r>
      <w:r w:rsidR="00D136BB">
        <w:rPr>
          <w:lang w:val="es-ES"/>
        </w:rPr>
        <w:t xml:space="preserve"> </w:t>
      </w:r>
      <w:r w:rsidRPr="003618E2">
        <w:rPr>
          <w:lang w:val="es-ES"/>
        </w:rPr>
        <w:t>el</w:t>
      </w:r>
      <w:r w:rsidR="00D136BB">
        <w:rPr>
          <w:lang w:val="es-ES"/>
        </w:rPr>
        <w:t xml:space="preserve"> </w:t>
      </w:r>
      <w:r w:rsidRPr="003618E2">
        <w:rPr>
          <w:lang w:val="es-ES"/>
        </w:rPr>
        <w:t>potencial</w:t>
      </w:r>
      <w:r w:rsidR="00D136BB">
        <w:rPr>
          <w:lang w:val="es-ES"/>
        </w:rPr>
        <w:t xml:space="preserve"> </w:t>
      </w:r>
      <w:r w:rsidRPr="003618E2">
        <w:rPr>
          <w:lang w:val="es-ES"/>
        </w:rPr>
        <w:t>de</w:t>
      </w:r>
      <w:r w:rsidR="00D136BB">
        <w:rPr>
          <w:lang w:val="es-ES"/>
        </w:rPr>
        <w:t xml:space="preserve"> </w:t>
      </w:r>
      <w:r w:rsidRPr="003618E2">
        <w:rPr>
          <w:lang w:val="es-ES"/>
        </w:rPr>
        <w:t>la</w:t>
      </w:r>
      <w:r w:rsidR="00D136BB">
        <w:rPr>
          <w:lang w:val="es-ES"/>
        </w:rPr>
        <w:t xml:space="preserve"> </w:t>
      </w:r>
      <w:r w:rsidRPr="003618E2">
        <w:rPr>
          <w:lang w:val="es-ES"/>
        </w:rPr>
        <w:t>aplicación</w:t>
      </w:r>
      <w:r w:rsidR="00D136BB">
        <w:rPr>
          <w:lang w:val="es-ES"/>
        </w:rPr>
        <w:t xml:space="preserve"> </w:t>
      </w:r>
      <w:r w:rsidRPr="003618E2">
        <w:rPr>
          <w:lang w:val="es-ES"/>
        </w:rPr>
        <w:t>de</w:t>
      </w:r>
      <w:r w:rsidR="00D136BB">
        <w:rPr>
          <w:lang w:val="es-ES"/>
        </w:rPr>
        <w:t xml:space="preserve"> </w:t>
      </w:r>
      <w:r w:rsidRPr="003618E2">
        <w:rPr>
          <w:lang w:val="es-ES"/>
        </w:rPr>
        <w:t>esta</w:t>
      </w:r>
      <w:r w:rsidR="00D136BB">
        <w:rPr>
          <w:lang w:val="es-ES"/>
        </w:rPr>
        <w:t xml:space="preserve"> </w:t>
      </w:r>
      <w:r w:rsidRPr="003618E2">
        <w:rPr>
          <w:lang w:val="es-ES"/>
        </w:rPr>
        <w:t>tecnología.</w:t>
      </w:r>
    </w:p>
    <w:p w14:paraId="176457A9" w14:textId="28808D03" w:rsidR="006D362C" w:rsidRPr="003618E2" w:rsidRDefault="006D362C" w:rsidP="006D362C">
      <w:pPr>
        <w:pStyle w:val="BodyText"/>
        <w:rPr>
          <w:lang w:val="es-ES"/>
        </w:rPr>
      </w:pPr>
      <w:r w:rsidRPr="003618E2">
        <w:rPr>
          <w:b/>
          <w:lang w:val="es-ES"/>
        </w:rPr>
        <w:t>Objetivo:</w:t>
      </w:r>
      <w:r w:rsidR="00D136BB">
        <w:rPr>
          <w:lang w:val="es-ES"/>
        </w:rPr>
        <w:t xml:space="preserve"> </w:t>
      </w:r>
      <w:r w:rsidRPr="003618E2">
        <w:rPr>
          <w:lang w:val="es-ES"/>
        </w:rPr>
        <w:t>Coadyuvar</w:t>
      </w:r>
      <w:r w:rsidR="00D136BB">
        <w:rPr>
          <w:lang w:val="es-ES"/>
        </w:rPr>
        <w:t xml:space="preserve"> </w:t>
      </w:r>
      <w:r w:rsidRPr="003618E2">
        <w:rPr>
          <w:lang w:val="es-ES"/>
        </w:rPr>
        <w:t>a</w:t>
      </w:r>
      <w:r w:rsidR="00D136BB">
        <w:rPr>
          <w:lang w:val="es-ES"/>
        </w:rPr>
        <w:t xml:space="preserve"> </w:t>
      </w:r>
      <w:r w:rsidRPr="003618E2">
        <w:rPr>
          <w:lang w:val="es-ES"/>
        </w:rPr>
        <w:t>la</w:t>
      </w:r>
      <w:r w:rsidR="00D136BB">
        <w:rPr>
          <w:lang w:val="es-ES"/>
        </w:rPr>
        <w:t xml:space="preserve"> </w:t>
      </w:r>
      <w:r w:rsidRPr="003618E2">
        <w:rPr>
          <w:lang w:val="es-ES"/>
        </w:rPr>
        <w:t>conservación</w:t>
      </w:r>
      <w:r w:rsidR="00D136BB">
        <w:rPr>
          <w:lang w:val="es-ES"/>
        </w:rPr>
        <w:t xml:space="preserve"> </w:t>
      </w:r>
      <w:r w:rsidRPr="003618E2">
        <w:rPr>
          <w:lang w:val="es-ES"/>
        </w:rPr>
        <w:t>de</w:t>
      </w:r>
      <w:r w:rsidR="00D136BB">
        <w:rPr>
          <w:lang w:val="es-ES"/>
        </w:rPr>
        <w:t xml:space="preserve"> </w:t>
      </w:r>
      <w:r w:rsidRPr="003618E2">
        <w:rPr>
          <w:lang w:val="es-ES"/>
        </w:rPr>
        <w:t>suelos</w:t>
      </w:r>
      <w:r w:rsidR="00D136BB">
        <w:rPr>
          <w:lang w:val="es-ES"/>
        </w:rPr>
        <w:t xml:space="preserve"> </w:t>
      </w:r>
      <w:r w:rsidRPr="003618E2">
        <w:rPr>
          <w:lang w:val="es-ES"/>
        </w:rPr>
        <w:t>agrícolas</w:t>
      </w:r>
      <w:r w:rsidR="00D136BB">
        <w:rPr>
          <w:lang w:val="es-ES"/>
        </w:rPr>
        <w:t xml:space="preserve"> </w:t>
      </w:r>
      <w:r w:rsidRPr="003618E2">
        <w:rPr>
          <w:lang w:val="es-ES"/>
        </w:rPr>
        <w:t>con</w:t>
      </w:r>
      <w:r w:rsidR="00D136BB">
        <w:rPr>
          <w:lang w:val="es-ES"/>
        </w:rPr>
        <w:t xml:space="preserve"> </w:t>
      </w:r>
      <w:r w:rsidRPr="003618E2">
        <w:rPr>
          <w:lang w:val="es-ES"/>
        </w:rPr>
        <w:t>menor</w:t>
      </w:r>
      <w:r w:rsidR="00D136BB">
        <w:rPr>
          <w:lang w:val="es-ES"/>
        </w:rPr>
        <w:t xml:space="preserve"> </w:t>
      </w:r>
      <w:r w:rsidRPr="003618E2">
        <w:rPr>
          <w:lang w:val="es-ES"/>
        </w:rPr>
        <w:t>impacto</w:t>
      </w:r>
      <w:r w:rsidR="00D136BB">
        <w:rPr>
          <w:lang w:val="es-ES"/>
        </w:rPr>
        <w:t xml:space="preserve"> </w:t>
      </w:r>
      <w:r w:rsidRPr="003618E2">
        <w:rPr>
          <w:lang w:val="es-ES"/>
        </w:rPr>
        <w:t>ambiental</w:t>
      </w:r>
      <w:r w:rsidR="00D136BB">
        <w:rPr>
          <w:lang w:val="es-ES"/>
        </w:rPr>
        <w:t xml:space="preserve"> </w:t>
      </w:r>
      <w:r w:rsidRPr="003618E2">
        <w:rPr>
          <w:lang w:val="es-ES"/>
        </w:rPr>
        <w:t>aprovechando</w:t>
      </w:r>
      <w:r w:rsidR="00D136BB">
        <w:rPr>
          <w:lang w:val="es-ES"/>
        </w:rPr>
        <w:t xml:space="preserve"> </w:t>
      </w:r>
      <w:r w:rsidRPr="003618E2">
        <w:rPr>
          <w:lang w:val="es-ES"/>
        </w:rPr>
        <w:t>los</w:t>
      </w:r>
      <w:r w:rsidR="00D136BB">
        <w:rPr>
          <w:lang w:val="es-ES"/>
        </w:rPr>
        <w:t xml:space="preserve"> </w:t>
      </w:r>
      <w:r w:rsidRPr="003618E2">
        <w:rPr>
          <w:lang w:val="es-ES"/>
        </w:rPr>
        <w:t>beneficios</w:t>
      </w:r>
      <w:r w:rsidR="00D136BB">
        <w:rPr>
          <w:lang w:val="es-ES"/>
        </w:rPr>
        <w:t xml:space="preserve"> </w:t>
      </w:r>
      <w:r w:rsidRPr="003618E2">
        <w:rPr>
          <w:lang w:val="es-ES"/>
        </w:rPr>
        <w:t>de</w:t>
      </w:r>
      <w:r w:rsidR="00D136BB">
        <w:rPr>
          <w:lang w:val="es-ES"/>
        </w:rPr>
        <w:t xml:space="preserve"> </w:t>
      </w:r>
      <w:r w:rsidRPr="003618E2">
        <w:rPr>
          <w:lang w:val="es-ES"/>
        </w:rPr>
        <w:t>las</w:t>
      </w:r>
      <w:r w:rsidR="00D136BB">
        <w:rPr>
          <w:lang w:val="es-ES"/>
        </w:rPr>
        <w:t xml:space="preserve"> </w:t>
      </w:r>
      <w:r w:rsidRPr="003618E2">
        <w:rPr>
          <w:lang w:val="es-ES"/>
        </w:rPr>
        <w:t>técnicas</w:t>
      </w:r>
      <w:r w:rsidR="00D136BB">
        <w:rPr>
          <w:lang w:val="es-ES"/>
        </w:rPr>
        <w:t xml:space="preserve"> </w:t>
      </w:r>
      <w:r w:rsidRPr="003618E2">
        <w:rPr>
          <w:lang w:val="es-ES"/>
        </w:rPr>
        <w:t>con</w:t>
      </w:r>
      <w:r w:rsidR="00D136BB">
        <w:rPr>
          <w:lang w:val="es-ES"/>
        </w:rPr>
        <w:t xml:space="preserve"> </w:t>
      </w:r>
      <w:r w:rsidRPr="003618E2">
        <w:rPr>
          <w:lang w:val="es-ES"/>
        </w:rPr>
        <w:t>radiación</w:t>
      </w:r>
    </w:p>
    <w:p w14:paraId="7F83A397" w14:textId="169E7E53" w:rsidR="006D362C" w:rsidRPr="003618E2" w:rsidRDefault="006D362C" w:rsidP="006D362C">
      <w:pPr>
        <w:pStyle w:val="BodyText"/>
        <w:rPr>
          <w:lang w:val="es-ES"/>
        </w:rPr>
      </w:pPr>
      <w:r w:rsidRPr="003618E2">
        <w:rPr>
          <w:b/>
          <w:bCs/>
          <w:lang w:val="es-ES"/>
        </w:rPr>
        <w:t>Indicador:</w:t>
      </w:r>
      <w:r w:rsidR="00D136BB">
        <w:rPr>
          <w:lang w:val="es-ES"/>
        </w:rPr>
        <w:t xml:space="preserve"> </w:t>
      </w:r>
      <w:r w:rsidRPr="003618E2">
        <w:rPr>
          <w:lang w:val="es-ES"/>
        </w:rPr>
        <w:t>(1)</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personas</w:t>
      </w:r>
      <w:r w:rsidR="00D136BB">
        <w:rPr>
          <w:lang w:val="es-ES"/>
        </w:rPr>
        <w:t xml:space="preserve"> </w:t>
      </w:r>
      <w:r w:rsidRPr="003618E2">
        <w:rPr>
          <w:lang w:val="es-ES"/>
        </w:rPr>
        <w:t>capacitadas</w:t>
      </w:r>
      <w:r w:rsidR="00D136BB">
        <w:rPr>
          <w:lang w:val="es-ES"/>
        </w:rPr>
        <w:t xml:space="preserve"> </w:t>
      </w:r>
      <w:r w:rsidRPr="003618E2">
        <w:rPr>
          <w:lang w:val="es-ES"/>
        </w:rPr>
        <w:t>para</w:t>
      </w:r>
      <w:r w:rsidR="00D136BB">
        <w:rPr>
          <w:lang w:val="es-ES"/>
        </w:rPr>
        <w:t xml:space="preserve"> </w:t>
      </w:r>
      <w:r w:rsidRPr="003618E2">
        <w:rPr>
          <w:lang w:val="es-ES"/>
        </w:rPr>
        <w:t>la</w:t>
      </w:r>
      <w:r w:rsidR="00D136BB">
        <w:rPr>
          <w:lang w:val="es-ES"/>
        </w:rPr>
        <w:t xml:space="preserve"> </w:t>
      </w:r>
      <w:r w:rsidRPr="003618E2">
        <w:rPr>
          <w:lang w:val="es-ES"/>
        </w:rPr>
        <w:t>gestión</w:t>
      </w:r>
      <w:r w:rsidR="00D136BB">
        <w:rPr>
          <w:lang w:val="es-ES"/>
        </w:rPr>
        <w:t xml:space="preserve"> </w:t>
      </w:r>
      <w:r w:rsidRPr="003618E2">
        <w:rPr>
          <w:lang w:val="es-ES"/>
        </w:rPr>
        <w:t>de</w:t>
      </w:r>
      <w:r w:rsidR="00D136BB">
        <w:rPr>
          <w:lang w:val="es-ES"/>
        </w:rPr>
        <w:t xml:space="preserve"> </w:t>
      </w:r>
      <w:r w:rsidRPr="003618E2">
        <w:rPr>
          <w:lang w:val="es-ES"/>
        </w:rPr>
        <w:t>los</w:t>
      </w:r>
      <w:r w:rsidR="00D136BB">
        <w:rPr>
          <w:lang w:val="es-ES"/>
        </w:rPr>
        <w:t xml:space="preserve"> </w:t>
      </w:r>
      <w:r w:rsidRPr="003618E2">
        <w:rPr>
          <w:lang w:val="es-ES"/>
        </w:rPr>
        <w:t>residuos</w:t>
      </w:r>
      <w:r w:rsidR="00D136BB">
        <w:rPr>
          <w:lang w:val="es-ES"/>
        </w:rPr>
        <w:t xml:space="preserve"> </w:t>
      </w:r>
      <w:r w:rsidRPr="003618E2">
        <w:rPr>
          <w:lang w:val="es-ES"/>
        </w:rPr>
        <w:t>para</w:t>
      </w:r>
      <w:r w:rsidR="00D136BB">
        <w:rPr>
          <w:lang w:val="es-ES"/>
        </w:rPr>
        <w:t xml:space="preserve"> </w:t>
      </w:r>
      <w:r w:rsidRPr="003618E2">
        <w:rPr>
          <w:lang w:val="es-ES"/>
        </w:rPr>
        <w:t>su</w:t>
      </w:r>
      <w:r w:rsidR="00D136BB">
        <w:rPr>
          <w:lang w:val="es-ES"/>
        </w:rPr>
        <w:t xml:space="preserve"> </w:t>
      </w:r>
      <w:r w:rsidRPr="003618E2">
        <w:rPr>
          <w:lang w:val="es-ES"/>
        </w:rPr>
        <w:t>reutilización.</w:t>
      </w:r>
      <w:r w:rsidR="00D136BB">
        <w:rPr>
          <w:lang w:val="es-ES"/>
        </w:rPr>
        <w:t xml:space="preserve"> </w:t>
      </w:r>
      <w:r w:rsidRPr="003618E2">
        <w:rPr>
          <w:lang w:val="es-ES"/>
        </w:rPr>
        <w:t>(2)</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publicaciones</w:t>
      </w:r>
      <w:r w:rsidR="00D136BB">
        <w:rPr>
          <w:lang w:val="es-ES"/>
        </w:rPr>
        <w:t xml:space="preserve"> </w:t>
      </w:r>
      <w:r w:rsidRPr="003618E2">
        <w:rPr>
          <w:lang w:val="es-ES"/>
        </w:rPr>
        <w:t>científicas</w:t>
      </w:r>
      <w:r w:rsidR="00D136BB">
        <w:rPr>
          <w:lang w:val="es-ES"/>
        </w:rPr>
        <w:t xml:space="preserve"> </w:t>
      </w:r>
      <w:r w:rsidRPr="003618E2">
        <w:rPr>
          <w:lang w:val="es-ES"/>
        </w:rPr>
        <w:t>y</w:t>
      </w:r>
      <w:r w:rsidR="00D136BB">
        <w:rPr>
          <w:lang w:val="es-ES"/>
        </w:rPr>
        <w:t xml:space="preserve"> </w:t>
      </w:r>
      <w:r w:rsidRPr="003618E2">
        <w:rPr>
          <w:lang w:val="es-ES"/>
        </w:rPr>
        <w:t>número</w:t>
      </w:r>
      <w:r w:rsidR="00D136BB">
        <w:rPr>
          <w:lang w:val="es-ES"/>
        </w:rPr>
        <w:t xml:space="preserve"> </w:t>
      </w:r>
      <w:r w:rsidRPr="003618E2">
        <w:rPr>
          <w:lang w:val="es-ES"/>
        </w:rPr>
        <w:t>de</w:t>
      </w:r>
      <w:r w:rsidR="00D136BB">
        <w:rPr>
          <w:lang w:val="es-ES"/>
        </w:rPr>
        <w:t xml:space="preserve"> </w:t>
      </w:r>
      <w:r w:rsidRPr="003618E2">
        <w:rPr>
          <w:lang w:val="es-ES"/>
        </w:rPr>
        <w:t>noticias</w:t>
      </w:r>
      <w:r w:rsidR="00D136BB">
        <w:rPr>
          <w:lang w:val="es-ES"/>
        </w:rPr>
        <w:t xml:space="preserve"> </w:t>
      </w:r>
      <w:r w:rsidRPr="003618E2">
        <w:rPr>
          <w:lang w:val="es-ES"/>
        </w:rPr>
        <w:t>elaboradas</w:t>
      </w:r>
      <w:r w:rsidR="00D136BB">
        <w:rPr>
          <w:lang w:val="es-ES"/>
        </w:rPr>
        <w:t xml:space="preserve"> </w:t>
      </w:r>
      <w:r w:rsidRPr="003618E2">
        <w:rPr>
          <w:lang w:val="es-ES"/>
        </w:rPr>
        <w:t>por</w:t>
      </w:r>
      <w:r w:rsidR="00D136BB">
        <w:rPr>
          <w:lang w:val="es-ES"/>
        </w:rPr>
        <w:t xml:space="preserve"> </w:t>
      </w:r>
      <w:r w:rsidRPr="003618E2">
        <w:rPr>
          <w:lang w:val="es-ES"/>
        </w:rPr>
        <w:t>los</w:t>
      </w:r>
      <w:r w:rsidR="00D136BB">
        <w:rPr>
          <w:lang w:val="es-ES"/>
        </w:rPr>
        <w:t xml:space="preserve"> </w:t>
      </w:r>
      <w:r w:rsidRPr="003618E2">
        <w:rPr>
          <w:lang w:val="es-ES"/>
        </w:rPr>
        <w:t>respectivos</w:t>
      </w:r>
      <w:r w:rsidR="00D136BB">
        <w:rPr>
          <w:lang w:val="es-ES"/>
        </w:rPr>
        <w:t xml:space="preserve"> </w:t>
      </w:r>
      <w:r w:rsidRPr="003618E2">
        <w:rPr>
          <w:lang w:val="es-ES"/>
        </w:rPr>
        <w:t>departamentos</w:t>
      </w:r>
      <w:r w:rsidR="00D136BB">
        <w:rPr>
          <w:lang w:val="es-ES"/>
        </w:rPr>
        <w:t xml:space="preserve"> </w:t>
      </w:r>
      <w:r w:rsidRPr="003618E2">
        <w:rPr>
          <w:lang w:val="es-ES"/>
        </w:rPr>
        <w:t>de</w:t>
      </w:r>
      <w:r w:rsidR="00D136BB">
        <w:rPr>
          <w:lang w:val="es-ES"/>
        </w:rPr>
        <w:t xml:space="preserve"> </w:t>
      </w:r>
      <w:r w:rsidRPr="003618E2">
        <w:rPr>
          <w:lang w:val="es-ES"/>
        </w:rPr>
        <w:t>comunicación</w:t>
      </w:r>
      <w:r w:rsidR="00D136BB">
        <w:rPr>
          <w:lang w:val="es-ES"/>
        </w:rPr>
        <w:t xml:space="preserve"> </w:t>
      </w:r>
      <w:r w:rsidRPr="003618E2">
        <w:rPr>
          <w:lang w:val="es-ES"/>
        </w:rPr>
        <w:t>(divulgación</w:t>
      </w:r>
      <w:r w:rsidR="00D136BB">
        <w:rPr>
          <w:lang w:val="es-ES"/>
        </w:rPr>
        <w:t xml:space="preserve"> </w:t>
      </w:r>
      <w:r w:rsidRPr="003618E2">
        <w:rPr>
          <w:lang w:val="es-ES"/>
        </w:rPr>
        <w:t>técnica</w:t>
      </w:r>
      <w:r w:rsidR="00D136BB">
        <w:rPr>
          <w:lang w:val="es-ES"/>
        </w:rPr>
        <w:t xml:space="preserve"> </w:t>
      </w:r>
      <w:r w:rsidRPr="003618E2">
        <w:rPr>
          <w:lang w:val="es-ES"/>
        </w:rPr>
        <w:t>-periodística).</w:t>
      </w:r>
    </w:p>
    <w:p w14:paraId="7827E235" w14:textId="53110F24" w:rsidR="006D362C" w:rsidRPr="003618E2" w:rsidRDefault="006D362C" w:rsidP="006D362C">
      <w:pPr>
        <w:pStyle w:val="BodyText"/>
        <w:rPr>
          <w:lang w:val="es-ES"/>
        </w:rPr>
      </w:pPr>
      <w:r w:rsidRPr="003618E2">
        <w:rPr>
          <w:b/>
          <w:bCs/>
          <w:lang w:val="es-ES"/>
        </w:rPr>
        <w:t>Línea</w:t>
      </w:r>
      <w:r w:rsidR="00D136BB">
        <w:rPr>
          <w:b/>
          <w:bCs/>
          <w:lang w:val="es-ES"/>
        </w:rPr>
        <w:t xml:space="preserve"> </w:t>
      </w:r>
      <w:r w:rsidRPr="003618E2">
        <w:rPr>
          <w:b/>
          <w:bCs/>
          <w:lang w:val="es-ES"/>
        </w:rPr>
        <w:t>Base</w:t>
      </w:r>
      <w:r w:rsidRPr="003618E2">
        <w:rPr>
          <w:lang w:val="es-ES"/>
        </w:rPr>
        <w:t>:</w:t>
      </w:r>
      <w:r w:rsidR="00D136BB">
        <w:rPr>
          <w:lang w:val="es-ES"/>
        </w:rPr>
        <w:t xml:space="preserve"> </w:t>
      </w:r>
      <w:r w:rsidRPr="003618E2">
        <w:rPr>
          <w:lang w:val="es-ES"/>
        </w:rPr>
        <w:t>(1)</w:t>
      </w:r>
      <w:r w:rsidR="00D136BB">
        <w:rPr>
          <w:lang w:val="es-ES"/>
        </w:rPr>
        <w:t xml:space="preserve"> </w:t>
      </w:r>
      <w:r w:rsidRPr="003618E2">
        <w:rPr>
          <w:lang w:val="es-ES"/>
        </w:rPr>
        <w:t>05</w:t>
      </w:r>
      <w:r w:rsidR="00D136BB">
        <w:rPr>
          <w:lang w:val="es-ES"/>
        </w:rPr>
        <w:t xml:space="preserve"> </w:t>
      </w:r>
      <w:r w:rsidRPr="003618E2">
        <w:rPr>
          <w:lang w:val="es-ES"/>
        </w:rPr>
        <w:t>países</w:t>
      </w:r>
      <w:r w:rsidR="00D136BB">
        <w:rPr>
          <w:lang w:val="es-ES"/>
        </w:rPr>
        <w:t xml:space="preserve"> </w:t>
      </w:r>
      <w:r w:rsidRPr="003618E2">
        <w:rPr>
          <w:lang w:val="es-ES"/>
        </w:rPr>
        <w:t>con</w:t>
      </w:r>
      <w:r w:rsidR="00D136BB">
        <w:rPr>
          <w:lang w:val="es-ES"/>
        </w:rPr>
        <w:t xml:space="preserve"> </w:t>
      </w:r>
      <w:r w:rsidRPr="003618E2">
        <w:rPr>
          <w:lang w:val="es-ES"/>
        </w:rPr>
        <w:t>personal</w:t>
      </w:r>
      <w:r w:rsidR="00D136BB">
        <w:rPr>
          <w:lang w:val="es-ES"/>
        </w:rPr>
        <w:t xml:space="preserve"> </w:t>
      </w:r>
      <w:r w:rsidRPr="003618E2">
        <w:rPr>
          <w:lang w:val="es-ES"/>
        </w:rPr>
        <w:t>capacitado</w:t>
      </w:r>
      <w:r w:rsidR="00D136BB">
        <w:rPr>
          <w:lang w:val="es-ES"/>
        </w:rPr>
        <w:t xml:space="preserve"> </w:t>
      </w:r>
      <w:r w:rsidRPr="003618E2">
        <w:rPr>
          <w:lang w:val="es-ES"/>
        </w:rPr>
        <w:t>e</w:t>
      </w:r>
      <w:r w:rsidR="00D136BB">
        <w:rPr>
          <w:lang w:val="es-ES"/>
        </w:rPr>
        <w:t xml:space="preserve"> </w:t>
      </w:r>
      <w:r w:rsidRPr="003618E2">
        <w:rPr>
          <w:lang w:val="es-ES"/>
        </w:rPr>
        <w:t>metodologías</w:t>
      </w:r>
      <w:r w:rsidR="00D136BB">
        <w:rPr>
          <w:lang w:val="es-ES"/>
        </w:rPr>
        <w:t xml:space="preserve"> </w:t>
      </w:r>
      <w:r w:rsidRPr="003618E2">
        <w:rPr>
          <w:lang w:val="es-ES"/>
        </w:rPr>
        <w:t>armonizadas.</w:t>
      </w:r>
      <w:r w:rsidR="00D136BB">
        <w:rPr>
          <w:lang w:val="es-ES"/>
        </w:rPr>
        <w:t xml:space="preserve"> </w:t>
      </w:r>
      <w:r w:rsidRPr="003618E2">
        <w:rPr>
          <w:lang w:val="es-ES"/>
        </w:rPr>
        <w:t>(2)</w:t>
      </w:r>
      <w:r w:rsidR="00D136BB">
        <w:rPr>
          <w:lang w:val="es-ES"/>
        </w:rPr>
        <w:t xml:space="preserve"> </w:t>
      </w:r>
      <w:r w:rsidRPr="003618E2">
        <w:rPr>
          <w:lang w:val="es-ES"/>
        </w:rPr>
        <w:t>01</w:t>
      </w:r>
      <w:r w:rsidR="00D136BB">
        <w:rPr>
          <w:lang w:val="es-ES"/>
        </w:rPr>
        <w:t xml:space="preserve"> </w:t>
      </w:r>
      <w:r w:rsidRPr="003618E2">
        <w:rPr>
          <w:lang w:val="es-ES"/>
        </w:rPr>
        <w:t>publicación</w:t>
      </w:r>
      <w:r w:rsidR="00D136BB">
        <w:rPr>
          <w:lang w:val="es-ES"/>
        </w:rPr>
        <w:t xml:space="preserve"> </w:t>
      </w:r>
      <w:r w:rsidRPr="003618E2">
        <w:rPr>
          <w:lang w:val="es-ES"/>
        </w:rPr>
        <w:t>por</w:t>
      </w:r>
      <w:r w:rsidR="00D136BB">
        <w:rPr>
          <w:lang w:val="es-ES"/>
        </w:rPr>
        <w:t xml:space="preserve"> </w:t>
      </w:r>
      <w:r w:rsidRPr="003618E2">
        <w:rPr>
          <w:lang w:val="es-ES"/>
        </w:rPr>
        <w:t>año</w:t>
      </w:r>
      <w:r w:rsidR="00D136BB">
        <w:rPr>
          <w:lang w:val="es-ES"/>
        </w:rPr>
        <w:t xml:space="preserve"> </w:t>
      </w:r>
      <w:r w:rsidRPr="003618E2">
        <w:rPr>
          <w:lang w:val="es-ES"/>
        </w:rPr>
        <w:t>de</w:t>
      </w:r>
      <w:r w:rsidR="00D136BB">
        <w:rPr>
          <w:lang w:val="es-ES"/>
        </w:rPr>
        <w:t xml:space="preserve"> </w:t>
      </w:r>
      <w:r w:rsidRPr="003618E2">
        <w:rPr>
          <w:lang w:val="es-ES"/>
        </w:rPr>
        <w:t>cada</w:t>
      </w:r>
      <w:r w:rsidR="00D136BB">
        <w:rPr>
          <w:lang w:val="es-ES"/>
        </w:rPr>
        <w:t xml:space="preserve"> </w:t>
      </w:r>
      <w:r w:rsidRPr="003618E2">
        <w:rPr>
          <w:lang w:val="es-ES"/>
        </w:rPr>
        <w:t>país</w:t>
      </w:r>
      <w:r w:rsidR="00D136BB">
        <w:rPr>
          <w:lang w:val="es-ES"/>
        </w:rPr>
        <w:t xml:space="preserve"> </w:t>
      </w:r>
      <w:r w:rsidRPr="003618E2">
        <w:rPr>
          <w:lang w:val="es-ES"/>
        </w:rPr>
        <w:t>participante.</w:t>
      </w:r>
    </w:p>
    <w:p w14:paraId="2D1E07B6" w14:textId="77777777" w:rsidR="006D362C" w:rsidRPr="003618E2" w:rsidRDefault="006D362C" w:rsidP="006D362C">
      <w:pPr>
        <w:pStyle w:val="BodyText"/>
        <w:rPr>
          <w:lang w:val="es-ES"/>
        </w:rPr>
      </w:pPr>
    </w:p>
    <w:p w14:paraId="741A9FB7" w14:textId="77777777" w:rsidR="006D362C" w:rsidRPr="003618E2" w:rsidRDefault="006D362C" w:rsidP="006D362C">
      <w:pPr>
        <w:pStyle w:val="BodyText"/>
        <w:rPr>
          <w:lang w:val="es-ES"/>
        </w:rPr>
      </w:pPr>
    </w:p>
    <w:p w14:paraId="3C6E1E13" w14:textId="77777777" w:rsidR="006D362C" w:rsidRPr="003618E2" w:rsidRDefault="006D362C" w:rsidP="006D362C">
      <w:pPr>
        <w:pStyle w:val="BodyText"/>
        <w:rPr>
          <w:b/>
          <w:bCs/>
          <w:lang w:val="es-ES_tradnl"/>
        </w:rPr>
        <w:sectPr w:rsidR="006D362C" w:rsidRPr="003618E2" w:rsidSect="0075034E">
          <w:headerReference w:type="default" r:id="rId26"/>
          <w:pgSz w:w="12240" w:h="15840"/>
          <w:pgMar w:top="1440" w:right="1077" w:bottom="1440" w:left="1077" w:header="709" w:footer="709" w:gutter="0"/>
          <w:cols w:space="720"/>
          <w:docGrid w:linePitch="360"/>
        </w:sectPr>
      </w:pPr>
    </w:p>
    <w:p w14:paraId="67849CA3" w14:textId="2B75E843" w:rsidR="006D362C" w:rsidRPr="002C6BE7" w:rsidRDefault="006D362C" w:rsidP="006D362C">
      <w:pPr>
        <w:rPr>
          <w:rFonts w:ascii="Times New Roman" w:hAnsi="Times New Roman" w:cs="Times New Roman"/>
          <w:b/>
          <w:bCs/>
          <w:sz w:val="24"/>
          <w:szCs w:val="24"/>
        </w:rPr>
      </w:pPr>
      <w:r w:rsidRPr="002C6BE7">
        <w:rPr>
          <w:rFonts w:ascii="Times New Roman" w:hAnsi="Times New Roman" w:cs="Times New Roman"/>
          <w:b/>
          <w:bCs/>
          <w:sz w:val="24"/>
          <w:szCs w:val="24"/>
        </w:rPr>
        <w:lastRenderedPageBreak/>
        <w:t>V.</w:t>
      </w:r>
      <w:r w:rsidR="00D136BB">
        <w:rPr>
          <w:rFonts w:ascii="Times New Roman" w:hAnsi="Times New Roman" w:cs="Times New Roman"/>
          <w:b/>
          <w:bCs/>
          <w:sz w:val="24"/>
          <w:szCs w:val="24"/>
        </w:rPr>
        <w:t xml:space="preserve"> </w:t>
      </w:r>
      <w:r w:rsidRPr="002C6BE7">
        <w:rPr>
          <w:rFonts w:ascii="Times New Roman" w:hAnsi="Times New Roman" w:cs="Times New Roman"/>
          <w:b/>
          <w:bCs/>
          <w:sz w:val="24"/>
          <w:szCs w:val="24"/>
        </w:rPr>
        <w:t>Priorización</w:t>
      </w:r>
    </w:p>
    <w:p w14:paraId="6579FBF8" w14:textId="0644F63E" w:rsidR="006D362C" w:rsidRPr="000D68CF" w:rsidRDefault="006D362C" w:rsidP="000D6C0F">
      <w:pPr>
        <w:pStyle w:val="BodyText"/>
        <w:rPr>
          <w:b/>
          <w:bCs/>
          <w:lang w:val="es-ES_tradnl"/>
        </w:rPr>
      </w:pPr>
      <w:r w:rsidRPr="003618E2">
        <w:rPr>
          <w:b/>
          <w:bCs/>
          <w:lang w:val="es-ES_tradnl"/>
        </w:rPr>
        <w:t>Tabla</w:t>
      </w:r>
      <w:r w:rsidR="00D136BB">
        <w:rPr>
          <w:b/>
          <w:bCs/>
          <w:lang w:val="es-ES_tradnl"/>
        </w:rPr>
        <w:t xml:space="preserve"> </w:t>
      </w:r>
      <w:r w:rsidRPr="003618E2">
        <w:rPr>
          <w:b/>
          <w:bCs/>
          <w:lang w:val="es-ES_tradnl"/>
        </w:rPr>
        <w:t>6:</w:t>
      </w:r>
      <w:r w:rsidR="00D136BB">
        <w:rPr>
          <w:b/>
          <w:bCs/>
          <w:lang w:val="es-ES_tradnl"/>
        </w:rPr>
        <w:t xml:space="preserve"> </w:t>
      </w:r>
      <w:r w:rsidRPr="003618E2">
        <w:rPr>
          <w:b/>
          <w:bCs/>
          <w:lang w:val="es-ES_tradnl"/>
        </w:rPr>
        <w:t>Priorización</w:t>
      </w:r>
      <w:r w:rsidR="00D136BB">
        <w:rPr>
          <w:b/>
          <w:bCs/>
          <w:lang w:val="es-ES_tradnl"/>
        </w:rPr>
        <w:t xml:space="preserve"> </w:t>
      </w:r>
      <w:r w:rsidRPr="003618E2">
        <w:rPr>
          <w:b/>
          <w:bCs/>
          <w:lang w:val="es-ES_tradnl"/>
        </w:rPr>
        <w:t>de</w:t>
      </w:r>
      <w:r w:rsidR="00D136BB">
        <w:rPr>
          <w:b/>
          <w:bCs/>
          <w:lang w:val="es-ES_tradnl"/>
        </w:rPr>
        <w:t xml:space="preserve"> </w:t>
      </w:r>
      <w:r w:rsidRPr="003618E2">
        <w:rPr>
          <w:b/>
          <w:bCs/>
          <w:lang w:val="es-ES_tradnl"/>
        </w:rPr>
        <w:t>las</w:t>
      </w:r>
      <w:r w:rsidR="00D136BB">
        <w:rPr>
          <w:b/>
          <w:bCs/>
          <w:lang w:val="es-ES_tradnl"/>
        </w:rPr>
        <w:t xml:space="preserve"> </w:t>
      </w:r>
      <w:r w:rsidRPr="003618E2">
        <w:rPr>
          <w:b/>
          <w:bCs/>
          <w:lang w:val="es-ES_tradnl"/>
        </w:rPr>
        <w:t>Necesidades/Problemas</w:t>
      </w:r>
      <w:r w:rsidR="00D136BB">
        <w:rPr>
          <w:b/>
          <w:bCs/>
          <w:lang w:val="es-ES_tradnl"/>
        </w:rPr>
        <w:t xml:space="preserve"> </w:t>
      </w:r>
      <w:r w:rsidRPr="003618E2">
        <w:rPr>
          <w:b/>
          <w:bCs/>
          <w:lang w:val="es-ES_tradnl"/>
        </w:rPr>
        <w:t>en</w:t>
      </w:r>
      <w:r w:rsidR="00D136BB">
        <w:rPr>
          <w:b/>
          <w:bCs/>
          <w:lang w:val="es-ES_tradnl"/>
        </w:rPr>
        <w:t xml:space="preserve"> </w:t>
      </w:r>
      <w:r w:rsidRPr="003618E2">
        <w:rPr>
          <w:b/>
          <w:bCs/>
          <w:lang w:val="es-ES_tradnl"/>
        </w:rPr>
        <w:t>Tecnologías</w:t>
      </w:r>
      <w:r w:rsidR="00D136BB">
        <w:rPr>
          <w:b/>
          <w:bCs/>
          <w:lang w:val="es-ES_tradnl"/>
        </w:rPr>
        <w:t xml:space="preserve"> </w:t>
      </w:r>
      <w:r w:rsidRPr="003618E2">
        <w:rPr>
          <w:b/>
          <w:bCs/>
          <w:lang w:val="es-ES_tradnl"/>
        </w:rPr>
        <w:t>con</w:t>
      </w:r>
      <w:r w:rsidR="00D136BB">
        <w:rPr>
          <w:b/>
          <w:bCs/>
          <w:lang w:val="es-ES_tradnl"/>
        </w:rPr>
        <w:t xml:space="preserve"> </w:t>
      </w:r>
      <w:r w:rsidRPr="003618E2">
        <w:rPr>
          <w:b/>
          <w:bCs/>
          <w:lang w:val="es-ES_tradnl"/>
        </w:rPr>
        <w:t>Radiación</w:t>
      </w:r>
      <w:r w:rsidR="000D6C0F">
        <w:rPr>
          <w:b/>
          <w:bCs/>
          <w:lang w:val="es-ES_tradnl"/>
        </w:rPr>
        <w:t xml:space="preserve"> </w:t>
      </w:r>
      <w:r w:rsidR="000D6C0F">
        <w:rPr>
          <w:b/>
          <w:bCs/>
          <w:szCs w:val="24"/>
          <w:lang w:val="es-ES"/>
        </w:rPr>
        <w:t>(</w:t>
      </w:r>
      <w:r w:rsidR="000D6C0F" w:rsidRPr="000D68CF">
        <w:rPr>
          <w:b/>
          <w:bCs/>
          <w:szCs w:val="24"/>
          <w:lang w:val="es-ES"/>
        </w:rPr>
        <w:t>de acuerdo al enfoque metodológico del Anexo 1).</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37"/>
        <w:gridCol w:w="1559"/>
        <w:gridCol w:w="1560"/>
        <w:gridCol w:w="1984"/>
        <w:gridCol w:w="1843"/>
        <w:gridCol w:w="1134"/>
        <w:gridCol w:w="1700"/>
        <w:gridCol w:w="699"/>
        <w:gridCol w:w="992"/>
      </w:tblGrid>
      <w:tr w:rsidR="00183EB9" w:rsidRPr="003618E2" w14:paraId="2196E1FF" w14:textId="77777777" w:rsidTr="00183EB9">
        <w:trPr>
          <w:trHeight w:val="723"/>
          <w:jc w:val="center"/>
        </w:trPr>
        <w:tc>
          <w:tcPr>
            <w:tcW w:w="562" w:type="dxa"/>
            <w:shd w:val="clear" w:color="auto" w:fill="FF81AB"/>
            <w:vAlign w:val="center"/>
          </w:tcPr>
          <w:p w14:paraId="13C4425F" w14:textId="58F7198F" w:rsidR="00183EB9" w:rsidRPr="00183EB9" w:rsidRDefault="00183EB9" w:rsidP="00325887">
            <w:pPr>
              <w:pStyle w:val="BodyText"/>
              <w:spacing w:after="0"/>
              <w:jc w:val="center"/>
              <w:rPr>
                <w:b/>
                <w:bCs/>
                <w:sz w:val="20"/>
                <w:lang w:val="es-ES"/>
              </w:rPr>
            </w:pPr>
            <w:r w:rsidRPr="003D6168">
              <w:t>P</w:t>
            </w:r>
          </w:p>
        </w:tc>
        <w:tc>
          <w:tcPr>
            <w:tcW w:w="2137" w:type="dxa"/>
            <w:shd w:val="clear" w:color="auto" w:fill="FF81AB"/>
            <w:vAlign w:val="center"/>
          </w:tcPr>
          <w:p w14:paraId="6B32F1DA" w14:textId="7502AEBC" w:rsidR="00183EB9" w:rsidRPr="00183EB9" w:rsidRDefault="00183EB9" w:rsidP="00183EB9">
            <w:pPr>
              <w:pStyle w:val="BodyText"/>
              <w:spacing w:after="0"/>
              <w:jc w:val="center"/>
              <w:rPr>
                <w:b/>
                <w:bCs/>
                <w:sz w:val="20"/>
                <w:lang w:val="es-ES"/>
              </w:rPr>
            </w:pPr>
            <w:r w:rsidRPr="003D6168">
              <w:t>NECESIDAD/</w:t>
            </w:r>
            <w:r w:rsidR="007C7C0A">
              <w:t xml:space="preserve"> </w:t>
            </w:r>
            <w:r w:rsidRPr="003D6168">
              <w:t>PROBLEMA</w:t>
            </w:r>
          </w:p>
        </w:tc>
        <w:tc>
          <w:tcPr>
            <w:tcW w:w="1559" w:type="dxa"/>
            <w:shd w:val="clear" w:color="auto" w:fill="FF81AB"/>
            <w:vAlign w:val="center"/>
          </w:tcPr>
          <w:p w14:paraId="1C753301" w14:textId="585CD135" w:rsidR="00183EB9" w:rsidRPr="00183EB9" w:rsidRDefault="00183EB9" w:rsidP="00183EB9">
            <w:pPr>
              <w:pStyle w:val="BodyText"/>
              <w:spacing w:after="0"/>
              <w:jc w:val="center"/>
              <w:rPr>
                <w:b/>
                <w:bCs/>
                <w:sz w:val="20"/>
                <w:lang w:val="es-ES"/>
              </w:rPr>
            </w:pPr>
            <w:r w:rsidRPr="003D6168">
              <w:t>Severidad</w:t>
            </w:r>
          </w:p>
        </w:tc>
        <w:tc>
          <w:tcPr>
            <w:tcW w:w="1560" w:type="dxa"/>
            <w:shd w:val="clear" w:color="auto" w:fill="FF81AB"/>
            <w:vAlign w:val="center"/>
          </w:tcPr>
          <w:p w14:paraId="57327C1D" w14:textId="5E01617C" w:rsidR="00183EB9" w:rsidRPr="00183EB9" w:rsidRDefault="00183EB9" w:rsidP="00183EB9">
            <w:pPr>
              <w:pStyle w:val="BodyText"/>
              <w:spacing w:after="0"/>
              <w:jc w:val="center"/>
              <w:rPr>
                <w:b/>
                <w:bCs/>
                <w:sz w:val="20"/>
                <w:lang w:val="es-ES"/>
              </w:rPr>
            </w:pPr>
            <w:r w:rsidRPr="003D6168">
              <w:t>Tiempo</w:t>
            </w:r>
          </w:p>
        </w:tc>
        <w:tc>
          <w:tcPr>
            <w:tcW w:w="1984" w:type="dxa"/>
            <w:shd w:val="clear" w:color="auto" w:fill="FF81AB"/>
            <w:vAlign w:val="center"/>
          </w:tcPr>
          <w:p w14:paraId="46D03AB4" w14:textId="53FEA55C" w:rsidR="00183EB9" w:rsidRPr="00183EB9" w:rsidRDefault="00183EB9" w:rsidP="00183EB9">
            <w:pPr>
              <w:pStyle w:val="BodyText"/>
              <w:spacing w:after="0"/>
              <w:jc w:val="center"/>
              <w:rPr>
                <w:b/>
                <w:bCs/>
                <w:sz w:val="20"/>
                <w:lang w:val="es-ES"/>
              </w:rPr>
            </w:pPr>
            <w:r w:rsidRPr="003D6168">
              <w:t>Extensión</w:t>
            </w:r>
          </w:p>
        </w:tc>
        <w:tc>
          <w:tcPr>
            <w:tcW w:w="1843" w:type="dxa"/>
            <w:shd w:val="clear" w:color="auto" w:fill="FF81AB"/>
            <w:vAlign w:val="center"/>
          </w:tcPr>
          <w:p w14:paraId="3D68E0E2" w14:textId="750A27C5" w:rsidR="00183EB9" w:rsidRPr="00183EB9" w:rsidRDefault="00183EB9" w:rsidP="00183EB9">
            <w:pPr>
              <w:pStyle w:val="BodyText"/>
              <w:spacing w:after="0"/>
              <w:jc w:val="center"/>
              <w:rPr>
                <w:b/>
                <w:bCs/>
                <w:sz w:val="20"/>
                <w:lang w:val="es-ES"/>
              </w:rPr>
            </w:pPr>
            <w:r w:rsidRPr="003D6168">
              <w:t>Relevancia</w:t>
            </w:r>
          </w:p>
        </w:tc>
        <w:tc>
          <w:tcPr>
            <w:tcW w:w="1134" w:type="dxa"/>
            <w:shd w:val="clear" w:color="auto" w:fill="FF81AB"/>
            <w:vAlign w:val="center"/>
          </w:tcPr>
          <w:p w14:paraId="307E198A" w14:textId="42E26C8F" w:rsidR="00183EB9" w:rsidRPr="00183EB9" w:rsidRDefault="00183EB9" w:rsidP="00183EB9">
            <w:pPr>
              <w:pStyle w:val="BodyText"/>
              <w:spacing w:after="0"/>
              <w:jc w:val="center"/>
              <w:rPr>
                <w:b/>
                <w:bCs/>
                <w:sz w:val="20"/>
                <w:lang w:val="es-ES"/>
              </w:rPr>
            </w:pPr>
            <w:r w:rsidRPr="003D6168">
              <w:t>Grado Total</w:t>
            </w:r>
          </w:p>
        </w:tc>
        <w:tc>
          <w:tcPr>
            <w:tcW w:w="1700" w:type="dxa"/>
            <w:shd w:val="clear" w:color="auto" w:fill="FF81AB"/>
            <w:vAlign w:val="center"/>
          </w:tcPr>
          <w:p w14:paraId="70A6A210" w14:textId="4F49C6F1" w:rsidR="00183EB9" w:rsidRPr="00183EB9" w:rsidRDefault="00183EB9" w:rsidP="00183EB9">
            <w:pPr>
              <w:pStyle w:val="BodyText"/>
              <w:spacing w:after="0"/>
              <w:jc w:val="center"/>
              <w:rPr>
                <w:b/>
                <w:bCs/>
                <w:sz w:val="20"/>
                <w:lang w:val="es-ES"/>
              </w:rPr>
            </w:pPr>
            <w:r w:rsidRPr="003D6168">
              <w:t>Dificultad</w:t>
            </w:r>
          </w:p>
        </w:tc>
        <w:tc>
          <w:tcPr>
            <w:tcW w:w="699" w:type="dxa"/>
            <w:shd w:val="clear" w:color="auto" w:fill="FF81AB"/>
            <w:vAlign w:val="center"/>
          </w:tcPr>
          <w:p w14:paraId="43A44556" w14:textId="331FD9B3" w:rsidR="00183EB9" w:rsidRPr="00183EB9" w:rsidRDefault="00183EB9" w:rsidP="00183EB9">
            <w:pPr>
              <w:pStyle w:val="BodyText"/>
              <w:spacing w:after="0"/>
              <w:jc w:val="center"/>
              <w:rPr>
                <w:b/>
                <w:bCs/>
                <w:sz w:val="20"/>
                <w:lang w:val="es-ES"/>
              </w:rPr>
            </w:pPr>
            <w:r w:rsidRPr="003D6168">
              <w:t>R/D</w:t>
            </w:r>
          </w:p>
        </w:tc>
        <w:tc>
          <w:tcPr>
            <w:tcW w:w="992" w:type="dxa"/>
            <w:shd w:val="clear" w:color="auto" w:fill="FF81AB"/>
            <w:vAlign w:val="center"/>
          </w:tcPr>
          <w:p w14:paraId="1004C219" w14:textId="67F1AEDD" w:rsidR="00183EB9" w:rsidRPr="00183EB9" w:rsidRDefault="00183EB9" w:rsidP="00183EB9">
            <w:pPr>
              <w:pStyle w:val="BodyText"/>
              <w:spacing w:after="0"/>
              <w:jc w:val="center"/>
              <w:rPr>
                <w:b/>
                <w:bCs/>
                <w:sz w:val="20"/>
                <w:lang w:val="es-ES"/>
              </w:rPr>
            </w:pPr>
            <w:r w:rsidRPr="003D6168">
              <w:t>Grado Final</w:t>
            </w:r>
          </w:p>
        </w:tc>
      </w:tr>
      <w:tr w:rsidR="00183EB9" w:rsidRPr="003618E2" w14:paraId="7695A982" w14:textId="77777777" w:rsidTr="00183EB9">
        <w:trPr>
          <w:jc w:val="center"/>
        </w:trPr>
        <w:tc>
          <w:tcPr>
            <w:tcW w:w="562" w:type="dxa"/>
            <w:vMerge w:val="restart"/>
            <w:shd w:val="clear" w:color="auto" w:fill="FF81AB"/>
            <w:vAlign w:val="center"/>
          </w:tcPr>
          <w:p w14:paraId="29B76CB4" w14:textId="548CDD63" w:rsidR="00183EB9" w:rsidRPr="00183EB9" w:rsidRDefault="00325887" w:rsidP="00325887">
            <w:pPr>
              <w:pStyle w:val="BodyText"/>
              <w:spacing w:after="0"/>
              <w:jc w:val="center"/>
              <w:rPr>
                <w:b/>
                <w:sz w:val="20"/>
                <w:lang w:val="es-ES"/>
              </w:rPr>
            </w:pPr>
            <w:r>
              <w:rPr>
                <w:b/>
                <w:sz w:val="20"/>
                <w:lang w:val="es-ES"/>
              </w:rPr>
              <w:t>1</w:t>
            </w:r>
          </w:p>
        </w:tc>
        <w:tc>
          <w:tcPr>
            <w:tcW w:w="2137" w:type="dxa"/>
            <w:vMerge w:val="restart"/>
            <w:shd w:val="clear" w:color="auto" w:fill="auto"/>
            <w:vAlign w:val="center"/>
          </w:tcPr>
          <w:p w14:paraId="03C0C4C8" w14:textId="79A1DF6B" w:rsidR="00183EB9" w:rsidRPr="00183EB9" w:rsidRDefault="00183EB9" w:rsidP="00183EB9">
            <w:pPr>
              <w:pStyle w:val="BodyText"/>
              <w:spacing w:after="0"/>
              <w:jc w:val="center"/>
              <w:rPr>
                <w:iCs/>
                <w:sz w:val="20"/>
                <w:lang w:val="es-PE"/>
              </w:rPr>
            </w:pPr>
            <w:r w:rsidRPr="00183EB9">
              <w:rPr>
                <w:iCs/>
                <w:sz w:val="20"/>
                <w:lang w:val="es-PE"/>
              </w:rPr>
              <w:t>T2</w:t>
            </w:r>
          </w:p>
          <w:p w14:paraId="7CD1F66D" w14:textId="1549D33F" w:rsidR="00183EB9" w:rsidRPr="00183EB9" w:rsidRDefault="00183EB9" w:rsidP="00183EB9">
            <w:pPr>
              <w:pStyle w:val="BodyText"/>
              <w:spacing w:after="0"/>
              <w:jc w:val="center"/>
              <w:rPr>
                <w:iCs/>
                <w:sz w:val="20"/>
                <w:lang w:val="es-PE"/>
              </w:rPr>
            </w:pPr>
            <w:r w:rsidRPr="00183EB9">
              <w:rPr>
                <w:iCs/>
                <w:sz w:val="20"/>
                <w:lang w:val="es-PE"/>
              </w:rPr>
              <w:t>Tratamiento fitosanitario de alimentos frescos, congelados, deshidratados y procesados por radiación ionizante</w:t>
            </w:r>
          </w:p>
        </w:tc>
        <w:tc>
          <w:tcPr>
            <w:tcW w:w="1559" w:type="dxa"/>
            <w:shd w:val="clear" w:color="auto" w:fill="auto"/>
            <w:vAlign w:val="center"/>
          </w:tcPr>
          <w:p w14:paraId="1DE7A6EA" w14:textId="77777777" w:rsidR="00183EB9" w:rsidRPr="00183EB9" w:rsidRDefault="00183EB9" w:rsidP="00183EB9">
            <w:pPr>
              <w:pStyle w:val="BodyText"/>
              <w:spacing w:after="0"/>
              <w:jc w:val="center"/>
              <w:rPr>
                <w:bCs/>
                <w:sz w:val="20"/>
                <w:lang w:val="es-ES"/>
              </w:rPr>
            </w:pPr>
            <w:r w:rsidRPr="00183EB9">
              <w:rPr>
                <w:bCs/>
                <w:sz w:val="20"/>
                <w:lang w:val="es-ES"/>
              </w:rPr>
              <w:t>4,50</w:t>
            </w:r>
          </w:p>
        </w:tc>
        <w:tc>
          <w:tcPr>
            <w:tcW w:w="1560" w:type="dxa"/>
            <w:shd w:val="clear" w:color="auto" w:fill="auto"/>
            <w:vAlign w:val="center"/>
          </w:tcPr>
          <w:p w14:paraId="5AFB2776" w14:textId="77777777" w:rsidR="00183EB9" w:rsidRPr="00183EB9" w:rsidRDefault="00183EB9" w:rsidP="00183EB9">
            <w:pPr>
              <w:pStyle w:val="BodyText"/>
              <w:spacing w:after="0"/>
              <w:jc w:val="center"/>
              <w:rPr>
                <w:sz w:val="20"/>
                <w:lang w:val="es-ES"/>
              </w:rPr>
            </w:pPr>
            <w:r w:rsidRPr="00183EB9">
              <w:rPr>
                <w:sz w:val="20"/>
                <w:lang w:val="es-ES"/>
              </w:rPr>
              <w:t>5,00</w:t>
            </w:r>
          </w:p>
        </w:tc>
        <w:tc>
          <w:tcPr>
            <w:tcW w:w="1984" w:type="dxa"/>
            <w:shd w:val="clear" w:color="auto" w:fill="auto"/>
            <w:vAlign w:val="center"/>
          </w:tcPr>
          <w:p w14:paraId="7025CC81" w14:textId="77777777" w:rsidR="00183EB9" w:rsidRPr="00183EB9" w:rsidRDefault="00183EB9" w:rsidP="00183EB9">
            <w:pPr>
              <w:pStyle w:val="BodyText"/>
              <w:spacing w:after="0"/>
              <w:jc w:val="center"/>
              <w:rPr>
                <w:sz w:val="20"/>
                <w:lang w:val="es-ES"/>
              </w:rPr>
            </w:pPr>
            <w:r w:rsidRPr="00183EB9">
              <w:rPr>
                <w:sz w:val="20"/>
                <w:lang w:val="es-ES"/>
              </w:rPr>
              <w:t>5,00</w:t>
            </w:r>
          </w:p>
        </w:tc>
        <w:tc>
          <w:tcPr>
            <w:tcW w:w="1843" w:type="dxa"/>
            <w:shd w:val="clear" w:color="auto" w:fill="auto"/>
            <w:vAlign w:val="center"/>
          </w:tcPr>
          <w:p w14:paraId="75236D9E" w14:textId="77777777" w:rsidR="00183EB9" w:rsidRPr="00183EB9" w:rsidRDefault="00183EB9" w:rsidP="00183EB9">
            <w:pPr>
              <w:pStyle w:val="BodyText"/>
              <w:spacing w:after="0"/>
              <w:jc w:val="center"/>
              <w:rPr>
                <w:sz w:val="20"/>
                <w:lang w:val="es-ES"/>
              </w:rPr>
            </w:pPr>
            <w:r w:rsidRPr="00183EB9">
              <w:rPr>
                <w:sz w:val="20"/>
                <w:lang w:val="es-ES"/>
              </w:rPr>
              <w:t>4,5</w:t>
            </w:r>
          </w:p>
        </w:tc>
        <w:tc>
          <w:tcPr>
            <w:tcW w:w="1134" w:type="dxa"/>
            <w:shd w:val="clear" w:color="auto" w:fill="auto"/>
            <w:vAlign w:val="center"/>
          </w:tcPr>
          <w:p w14:paraId="6B3130DF" w14:textId="77777777" w:rsidR="00183EB9" w:rsidRPr="00183EB9" w:rsidRDefault="00183EB9" w:rsidP="00183EB9">
            <w:pPr>
              <w:pStyle w:val="BodyText"/>
              <w:spacing w:after="0"/>
              <w:jc w:val="center"/>
              <w:rPr>
                <w:sz w:val="20"/>
                <w:lang w:val="es-ES_tradnl"/>
              </w:rPr>
            </w:pPr>
            <w:r w:rsidRPr="00183EB9">
              <w:rPr>
                <w:sz w:val="20"/>
                <w:lang w:val="es-ES_tradnl"/>
              </w:rPr>
              <w:t>19,00</w:t>
            </w:r>
          </w:p>
        </w:tc>
        <w:tc>
          <w:tcPr>
            <w:tcW w:w="1700" w:type="dxa"/>
            <w:shd w:val="clear" w:color="auto" w:fill="auto"/>
            <w:vAlign w:val="center"/>
          </w:tcPr>
          <w:p w14:paraId="592CB932" w14:textId="77777777" w:rsidR="00183EB9" w:rsidRPr="00183EB9" w:rsidRDefault="00183EB9" w:rsidP="00183EB9">
            <w:pPr>
              <w:pStyle w:val="BodyText"/>
              <w:spacing w:after="0"/>
              <w:jc w:val="center"/>
              <w:rPr>
                <w:sz w:val="20"/>
                <w:lang w:val="es-ES"/>
              </w:rPr>
            </w:pPr>
            <w:r w:rsidRPr="00183EB9">
              <w:rPr>
                <w:sz w:val="20"/>
                <w:lang w:val="es-ES"/>
              </w:rPr>
              <w:t>3,0</w:t>
            </w:r>
          </w:p>
        </w:tc>
        <w:tc>
          <w:tcPr>
            <w:tcW w:w="699" w:type="dxa"/>
            <w:shd w:val="clear" w:color="auto" w:fill="auto"/>
            <w:vAlign w:val="center"/>
          </w:tcPr>
          <w:p w14:paraId="23C99971" w14:textId="77777777" w:rsidR="00183EB9" w:rsidRPr="00183EB9" w:rsidRDefault="00183EB9" w:rsidP="00183EB9">
            <w:pPr>
              <w:pStyle w:val="BodyText"/>
              <w:spacing w:after="0"/>
              <w:jc w:val="center"/>
              <w:rPr>
                <w:sz w:val="20"/>
                <w:lang w:val="es-ES_tradnl"/>
              </w:rPr>
            </w:pPr>
            <w:r w:rsidRPr="00183EB9">
              <w:rPr>
                <w:sz w:val="20"/>
                <w:lang w:val="es-ES_tradnl"/>
              </w:rPr>
              <w:t>1,50</w:t>
            </w:r>
          </w:p>
        </w:tc>
        <w:tc>
          <w:tcPr>
            <w:tcW w:w="992" w:type="dxa"/>
            <w:shd w:val="clear" w:color="auto" w:fill="auto"/>
            <w:vAlign w:val="center"/>
          </w:tcPr>
          <w:p w14:paraId="08105B92" w14:textId="77777777" w:rsidR="00183EB9" w:rsidRPr="00183EB9" w:rsidRDefault="00183EB9" w:rsidP="00183EB9">
            <w:pPr>
              <w:pStyle w:val="BodyText"/>
              <w:spacing w:after="0"/>
              <w:jc w:val="center"/>
              <w:rPr>
                <w:sz w:val="20"/>
                <w:lang w:val="es-ES_tradnl"/>
              </w:rPr>
            </w:pPr>
            <w:r w:rsidRPr="00183EB9">
              <w:rPr>
                <w:sz w:val="20"/>
                <w:lang w:val="es-ES_tradnl"/>
              </w:rPr>
              <w:t>28,50</w:t>
            </w:r>
          </w:p>
        </w:tc>
      </w:tr>
      <w:tr w:rsidR="00183EB9" w:rsidRPr="003618E2" w14:paraId="10E25D9C" w14:textId="77777777" w:rsidTr="00183EB9">
        <w:trPr>
          <w:jc w:val="center"/>
        </w:trPr>
        <w:tc>
          <w:tcPr>
            <w:tcW w:w="562" w:type="dxa"/>
            <w:vMerge/>
            <w:shd w:val="clear" w:color="auto" w:fill="FF81AB"/>
            <w:vAlign w:val="center"/>
          </w:tcPr>
          <w:p w14:paraId="6694C647" w14:textId="77777777" w:rsidR="00183EB9" w:rsidRPr="00183EB9" w:rsidRDefault="00183EB9" w:rsidP="00325887">
            <w:pPr>
              <w:pStyle w:val="BodyText"/>
              <w:spacing w:after="0"/>
              <w:jc w:val="center"/>
              <w:rPr>
                <w:b/>
                <w:sz w:val="20"/>
                <w:lang w:val="es-ES"/>
              </w:rPr>
            </w:pPr>
          </w:p>
        </w:tc>
        <w:tc>
          <w:tcPr>
            <w:tcW w:w="2137" w:type="dxa"/>
            <w:vMerge/>
            <w:shd w:val="clear" w:color="auto" w:fill="auto"/>
            <w:vAlign w:val="center"/>
          </w:tcPr>
          <w:p w14:paraId="74877AEA" w14:textId="77777777" w:rsidR="00183EB9" w:rsidRPr="00183EB9" w:rsidRDefault="00183EB9" w:rsidP="00183EB9">
            <w:pPr>
              <w:pStyle w:val="BodyText"/>
              <w:spacing w:after="0"/>
              <w:jc w:val="center"/>
              <w:rPr>
                <w:bCs/>
                <w:sz w:val="20"/>
                <w:lang w:val="es-ES"/>
              </w:rPr>
            </w:pPr>
          </w:p>
        </w:tc>
        <w:tc>
          <w:tcPr>
            <w:tcW w:w="1559" w:type="dxa"/>
            <w:shd w:val="clear" w:color="auto" w:fill="auto"/>
            <w:vAlign w:val="center"/>
          </w:tcPr>
          <w:p w14:paraId="0C835D25" w14:textId="77777777" w:rsidR="00183EB9" w:rsidRPr="00183EB9" w:rsidRDefault="00183EB9" w:rsidP="00183EB9">
            <w:pPr>
              <w:pStyle w:val="BodyText"/>
              <w:spacing w:after="0"/>
              <w:jc w:val="center"/>
              <w:rPr>
                <w:bCs/>
                <w:sz w:val="20"/>
                <w:lang w:val="es-ES"/>
              </w:rPr>
            </w:pPr>
            <w:r w:rsidRPr="00183EB9">
              <w:rPr>
                <w:sz w:val="20"/>
                <w:lang w:val="es-ES"/>
              </w:rPr>
              <w:t>Necesidad urgente de aumentar la competitividad de los procesos industriales y reducir el impacto ambiental.</w:t>
            </w:r>
          </w:p>
        </w:tc>
        <w:tc>
          <w:tcPr>
            <w:tcW w:w="1560" w:type="dxa"/>
            <w:shd w:val="clear" w:color="auto" w:fill="auto"/>
            <w:vAlign w:val="center"/>
          </w:tcPr>
          <w:p w14:paraId="26990AEB" w14:textId="77777777" w:rsidR="00183EB9" w:rsidRPr="00183EB9" w:rsidRDefault="00183EB9" w:rsidP="00183EB9">
            <w:pPr>
              <w:pStyle w:val="BodyText"/>
              <w:spacing w:after="0"/>
              <w:jc w:val="center"/>
              <w:rPr>
                <w:sz w:val="20"/>
                <w:lang w:val="es-ES"/>
              </w:rPr>
            </w:pPr>
            <w:r w:rsidRPr="00183EB9">
              <w:rPr>
                <w:sz w:val="20"/>
                <w:lang w:val="es-ES"/>
              </w:rPr>
              <w:t>Necesidad de aumentar la competitividad de la industria regional e incrementar la calidad de los productos.</w:t>
            </w:r>
          </w:p>
        </w:tc>
        <w:tc>
          <w:tcPr>
            <w:tcW w:w="1984" w:type="dxa"/>
            <w:shd w:val="clear" w:color="auto" w:fill="auto"/>
            <w:vAlign w:val="center"/>
          </w:tcPr>
          <w:p w14:paraId="58448EDE" w14:textId="77777777" w:rsidR="00183EB9" w:rsidRPr="00183EB9" w:rsidRDefault="00183EB9" w:rsidP="00183EB9">
            <w:pPr>
              <w:pStyle w:val="BodyText"/>
              <w:spacing w:after="0"/>
              <w:jc w:val="center"/>
              <w:rPr>
                <w:sz w:val="20"/>
                <w:lang w:val="es-ES"/>
              </w:rPr>
            </w:pPr>
            <w:r w:rsidRPr="00183EB9">
              <w:rPr>
                <w:sz w:val="20"/>
                <w:lang w:val="es-ES"/>
              </w:rPr>
              <w:t>Afecta a toda la región, muy pocas técnicas están siendo aplicadas. La irradiación gamma es la más aplicada en la región.</w:t>
            </w:r>
          </w:p>
        </w:tc>
        <w:tc>
          <w:tcPr>
            <w:tcW w:w="1843" w:type="dxa"/>
            <w:shd w:val="clear" w:color="auto" w:fill="auto"/>
            <w:vAlign w:val="center"/>
          </w:tcPr>
          <w:p w14:paraId="5929CF03" w14:textId="77777777" w:rsidR="00183EB9" w:rsidRPr="00183EB9" w:rsidRDefault="00183EB9" w:rsidP="00183EB9">
            <w:pPr>
              <w:pStyle w:val="BodyText"/>
              <w:spacing w:after="0"/>
              <w:jc w:val="center"/>
              <w:rPr>
                <w:sz w:val="20"/>
                <w:lang w:val="es-ES"/>
              </w:rPr>
            </w:pPr>
            <w:r w:rsidRPr="00183EB9">
              <w:rPr>
                <w:sz w:val="20"/>
                <w:lang w:val="es-ES"/>
              </w:rPr>
              <w:t>Contribuir al desarrollo económico de la región y disminuir el impacto ambiental.</w:t>
            </w:r>
          </w:p>
        </w:tc>
        <w:tc>
          <w:tcPr>
            <w:tcW w:w="1134" w:type="dxa"/>
            <w:shd w:val="clear" w:color="auto" w:fill="auto"/>
            <w:vAlign w:val="center"/>
          </w:tcPr>
          <w:p w14:paraId="33F7834D" w14:textId="77777777" w:rsidR="00183EB9" w:rsidRPr="00183EB9" w:rsidRDefault="00183EB9" w:rsidP="00183EB9">
            <w:pPr>
              <w:pStyle w:val="BodyText"/>
              <w:spacing w:after="0"/>
              <w:jc w:val="center"/>
              <w:rPr>
                <w:b/>
                <w:bCs/>
                <w:sz w:val="20"/>
                <w:lang w:val="es-ES"/>
              </w:rPr>
            </w:pPr>
          </w:p>
        </w:tc>
        <w:tc>
          <w:tcPr>
            <w:tcW w:w="1700" w:type="dxa"/>
            <w:shd w:val="clear" w:color="auto" w:fill="auto"/>
            <w:vAlign w:val="center"/>
          </w:tcPr>
          <w:p w14:paraId="3974F950" w14:textId="77777777" w:rsidR="00183EB9" w:rsidRPr="00183EB9" w:rsidRDefault="00183EB9" w:rsidP="00183EB9">
            <w:pPr>
              <w:pStyle w:val="BodyText"/>
              <w:spacing w:after="0"/>
              <w:jc w:val="center"/>
              <w:rPr>
                <w:sz w:val="20"/>
                <w:lang w:val="es-ES"/>
              </w:rPr>
            </w:pPr>
            <w:r w:rsidRPr="00183EB9">
              <w:rPr>
                <w:sz w:val="20"/>
                <w:lang w:val="es-ES"/>
              </w:rPr>
              <w:t>Las tecnologías con radiación en diferentes aplicaciones son poco conocidas en la región.</w:t>
            </w:r>
          </w:p>
        </w:tc>
        <w:tc>
          <w:tcPr>
            <w:tcW w:w="699" w:type="dxa"/>
            <w:shd w:val="clear" w:color="auto" w:fill="auto"/>
            <w:vAlign w:val="center"/>
          </w:tcPr>
          <w:p w14:paraId="578D51D2" w14:textId="77777777" w:rsidR="00183EB9" w:rsidRPr="00183EB9" w:rsidRDefault="00183EB9" w:rsidP="00183EB9">
            <w:pPr>
              <w:pStyle w:val="BodyText"/>
              <w:spacing w:after="0"/>
              <w:jc w:val="center"/>
              <w:rPr>
                <w:bCs/>
                <w:sz w:val="20"/>
                <w:lang w:val="es-ES"/>
              </w:rPr>
            </w:pPr>
          </w:p>
        </w:tc>
        <w:tc>
          <w:tcPr>
            <w:tcW w:w="992" w:type="dxa"/>
            <w:shd w:val="clear" w:color="auto" w:fill="auto"/>
            <w:vAlign w:val="center"/>
          </w:tcPr>
          <w:p w14:paraId="6388C45F" w14:textId="77777777" w:rsidR="00183EB9" w:rsidRPr="00183EB9" w:rsidRDefault="00183EB9" w:rsidP="00183EB9">
            <w:pPr>
              <w:pStyle w:val="BodyText"/>
              <w:spacing w:after="0"/>
              <w:jc w:val="center"/>
              <w:rPr>
                <w:b/>
                <w:bCs/>
                <w:sz w:val="20"/>
                <w:lang w:val="es-ES"/>
              </w:rPr>
            </w:pPr>
          </w:p>
        </w:tc>
      </w:tr>
      <w:tr w:rsidR="00183EB9" w:rsidRPr="003618E2" w14:paraId="6383FB31" w14:textId="77777777" w:rsidTr="00183EB9">
        <w:trPr>
          <w:jc w:val="center"/>
        </w:trPr>
        <w:tc>
          <w:tcPr>
            <w:tcW w:w="562" w:type="dxa"/>
            <w:vMerge w:val="restart"/>
            <w:shd w:val="clear" w:color="auto" w:fill="FF81AB"/>
            <w:vAlign w:val="center"/>
          </w:tcPr>
          <w:p w14:paraId="572DEF21" w14:textId="67E92DE7" w:rsidR="00183EB9" w:rsidRPr="00183EB9" w:rsidRDefault="0066293C" w:rsidP="00325887">
            <w:pPr>
              <w:pStyle w:val="BodyText"/>
              <w:spacing w:after="0"/>
              <w:jc w:val="center"/>
              <w:rPr>
                <w:b/>
                <w:sz w:val="20"/>
                <w:lang w:val="es-ES"/>
              </w:rPr>
            </w:pPr>
            <w:r>
              <w:rPr>
                <w:b/>
                <w:sz w:val="20"/>
                <w:lang w:val="es-ES"/>
              </w:rPr>
              <w:t>2</w:t>
            </w:r>
          </w:p>
        </w:tc>
        <w:tc>
          <w:tcPr>
            <w:tcW w:w="2137" w:type="dxa"/>
            <w:vMerge w:val="restart"/>
            <w:shd w:val="clear" w:color="auto" w:fill="auto"/>
            <w:vAlign w:val="center"/>
          </w:tcPr>
          <w:p w14:paraId="635D7C60" w14:textId="27C07893" w:rsidR="00183EB9" w:rsidRPr="00183EB9" w:rsidRDefault="00183EB9" w:rsidP="00183EB9">
            <w:pPr>
              <w:pStyle w:val="BodyText"/>
              <w:spacing w:after="0"/>
              <w:jc w:val="center"/>
              <w:rPr>
                <w:iCs/>
                <w:sz w:val="20"/>
                <w:lang w:val="es-ES"/>
              </w:rPr>
            </w:pPr>
            <w:r w:rsidRPr="00183EB9">
              <w:rPr>
                <w:iCs/>
                <w:sz w:val="20"/>
                <w:lang w:val="es-ES"/>
              </w:rPr>
              <w:t xml:space="preserve">T3 </w:t>
            </w:r>
          </w:p>
          <w:p w14:paraId="183BAD71" w14:textId="14794964" w:rsidR="00183EB9" w:rsidRPr="00183EB9" w:rsidRDefault="00183EB9" w:rsidP="00183EB9">
            <w:pPr>
              <w:pStyle w:val="BodyText"/>
              <w:spacing w:after="0"/>
              <w:jc w:val="center"/>
              <w:rPr>
                <w:iCs/>
                <w:sz w:val="20"/>
                <w:lang w:val="es-ES"/>
              </w:rPr>
            </w:pPr>
            <w:r w:rsidRPr="00183EB9">
              <w:rPr>
                <w:iCs/>
                <w:sz w:val="20"/>
                <w:lang w:val="es-ES"/>
              </w:rPr>
              <w:t>Harmonización de sistemas de control y gestión de calidad en irradiadores (QA/QC) e inter-comparaciones dosimétricas</w:t>
            </w:r>
          </w:p>
        </w:tc>
        <w:tc>
          <w:tcPr>
            <w:tcW w:w="1559" w:type="dxa"/>
            <w:shd w:val="clear" w:color="auto" w:fill="auto"/>
            <w:vAlign w:val="center"/>
          </w:tcPr>
          <w:p w14:paraId="44798378" w14:textId="77777777" w:rsidR="00183EB9" w:rsidRPr="00183EB9" w:rsidRDefault="00183EB9" w:rsidP="00183EB9">
            <w:pPr>
              <w:pStyle w:val="BodyText"/>
              <w:spacing w:after="0"/>
              <w:jc w:val="center"/>
              <w:rPr>
                <w:bCs/>
                <w:sz w:val="20"/>
                <w:lang w:val="es-ES"/>
              </w:rPr>
            </w:pPr>
            <w:r w:rsidRPr="00183EB9">
              <w:rPr>
                <w:bCs/>
                <w:sz w:val="20"/>
                <w:lang w:val="es-ES"/>
              </w:rPr>
              <w:t>4,5</w:t>
            </w:r>
          </w:p>
        </w:tc>
        <w:tc>
          <w:tcPr>
            <w:tcW w:w="1560" w:type="dxa"/>
            <w:shd w:val="clear" w:color="auto" w:fill="auto"/>
            <w:vAlign w:val="center"/>
          </w:tcPr>
          <w:p w14:paraId="04B56E03" w14:textId="77777777" w:rsidR="00183EB9" w:rsidRPr="00183EB9" w:rsidRDefault="00183EB9" w:rsidP="00183EB9">
            <w:pPr>
              <w:pStyle w:val="BodyText"/>
              <w:spacing w:after="0"/>
              <w:jc w:val="center"/>
              <w:rPr>
                <w:sz w:val="20"/>
                <w:lang w:val="es-ES"/>
              </w:rPr>
            </w:pPr>
            <w:r w:rsidRPr="00183EB9">
              <w:rPr>
                <w:sz w:val="20"/>
                <w:lang w:val="es-ES"/>
              </w:rPr>
              <w:t>5,00</w:t>
            </w:r>
          </w:p>
        </w:tc>
        <w:tc>
          <w:tcPr>
            <w:tcW w:w="1984" w:type="dxa"/>
            <w:shd w:val="clear" w:color="auto" w:fill="auto"/>
            <w:vAlign w:val="center"/>
          </w:tcPr>
          <w:p w14:paraId="3F4A0D48" w14:textId="77777777" w:rsidR="00183EB9" w:rsidRPr="00183EB9" w:rsidRDefault="00183EB9" w:rsidP="00183EB9">
            <w:pPr>
              <w:pStyle w:val="BodyText"/>
              <w:spacing w:after="0"/>
              <w:jc w:val="center"/>
              <w:rPr>
                <w:sz w:val="20"/>
                <w:lang w:val="es-ES"/>
              </w:rPr>
            </w:pPr>
            <w:r w:rsidRPr="00183EB9">
              <w:rPr>
                <w:sz w:val="20"/>
                <w:lang w:val="es-ES"/>
              </w:rPr>
              <w:t>5,00</w:t>
            </w:r>
          </w:p>
        </w:tc>
        <w:tc>
          <w:tcPr>
            <w:tcW w:w="1843" w:type="dxa"/>
            <w:shd w:val="clear" w:color="auto" w:fill="auto"/>
            <w:vAlign w:val="center"/>
          </w:tcPr>
          <w:p w14:paraId="16EC52BC" w14:textId="77777777" w:rsidR="00183EB9" w:rsidRPr="00183EB9" w:rsidRDefault="00183EB9" w:rsidP="00183EB9">
            <w:pPr>
              <w:pStyle w:val="BodyText"/>
              <w:spacing w:after="0"/>
              <w:jc w:val="center"/>
              <w:rPr>
                <w:sz w:val="20"/>
                <w:lang w:val="es-ES"/>
              </w:rPr>
            </w:pPr>
            <w:r w:rsidRPr="00183EB9">
              <w:rPr>
                <w:sz w:val="20"/>
                <w:lang w:val="es-ES"/>
              </w:rPr>
              <w:t>4,5</w:t>
            </w:r>
          </w:p>
        </w:tc>
        <w:tc>
          <w:tcPr>
            <w:tcW w:w="1134" w:type="dxa"/>
            <w:shd w:val="clear" w:color="auto" w:fill="auto"/>
            <w:vAlign w:val="center"/>
          </w:tcPr>
          <w:p w14:paraId="032EA608" w14:textId="77777777" w:rsidR="00183EB9" w:rsidRPr="00183EB9" w:rsidRDefault="00183EB9" w:rsidP="00183EB9">
            <w:pPr>
              <w:pStyle w:val="BodyText"/>
              <w:spacing w:after="0"/>
              <w:jc w:val="center"/>
              <w:rPr>
                <w:sz w:val="20"/>
                <w:lang w:val="es-ES_tradnl"/>
              </w:rPr>
            </w:pPr>
            <w:r w:rsidRPr="00183EB9">
              <w:rPr>
                <w:sz w:val="20"/>
                <w:lang w:val="es-ES_tradnl"/>
              </w:rPr>
              <w:t>19,00</w:t>
            </w:r>
          </w:p>
        </w:tc>
        <w:tc>
          <w:tcPr>
            <w:tcW w:w="1700" w:type="dxa"/>
            <w:shd w:val="clear" w:color="auto" w:fill="auto"/>
            <w:vAlign w:val="center"/>
          </w:tcPr>
          <w:p w14:paraId="2FA42912" w14:textId="77777777" w:rsidR="00183EB9" w:rsidRPr="00183EB9" w:rsidRDefault="00183EB9" w:rsidP="00183EB9">
            <w:pPr>
              <w:pStyle w:val="BodyText"/>
              <w:spacing w:after="0"/>
              <w:jc w:val="center"/>
              <w:rPr>
                <w:sz w:val="20"/>
                <w:lang w:val="es-ES"/>
              </w:rPr>
            </w:pPr>
            <w:r w:rsidRPr="00183EB9">
              <w:rPr>
                <w:sz w:val="20"/>
                <w:lang w:val="es-ES"/>
              </w:rPr>
              <w:t>3,5</w:t>
            </w:r>
          </w:p>
        </w:tc>
        <w:tc>
          <w:tcPr>
            <w:tcW w:w="699" w:type="dxa"/>
            <w:shd w:val="clear" w:color="auto" w:fill="auto"/>
            <w:vAlign w:val="center"/>
          </w:tcPr>
          <w:p w14:paraId="47C858CE" w14:textId="77777777" w:rsidR="00183EB9" w:rsidRPr="00183EB9" w:rsidRDefault="00183EB9" w:rsidP="00183EB9">
            <w:pPr>
              <w:pStyle w:val="BodyText"/>
              <w:spacing w:after="0"/>
              <w:jc w:val="center"/>
              <w:rPr>
                <w:sz w:val="20"/>
                <w:lang w:val="es-ES_tradnl"/>
              </w:rPr>
            </w:pPr>
            <w:r w:rsidRPr="00183EB9">
              <w:rPr>
                <w:sz w:val="20"/>
                <w:lang w:val="es-ES_tradnl"/>
              </w:rPr>
              <w:t>1,29</w:t>
            </w:r>
          </w:p>
        </w:tc>
        <w:tc>
          <w:tcPr>
            <w:tcW w:w="992" w:type="dxa"/>
            <w:shd w:val="clear" w:color="auto" w:fill="auto"/>
            <w:vAlign w:val="center"/>
          </w:tcPr>
          <w:p w14:paraId="6C03A954" w14:textId="77777777" w:rsidR="00183EB9" w:rsidRPr="00183EB9" w:rsidRDefault="00183EB9" w:rsidP="00183EB9">
            <w:pPr>
              <w:pStyle w:val="BodyText"/>
              <w:spacing w:after="0"/>
              <w:jc w:val="center"/>
              <w:rPr>
                <w:sz w:val="20"/>
                <w:lang w:val="es-ES_tradnl"/>
              </w:rPr>
            </w:pPr>
            <w:r w:rsidRPr="00183EB9">
              <w:rPr>
                <w:sz w:val="20"/>
                <w:lang w:val="es-ES_tradnl"/>
              </w:rPr>
              <w:t>24,43</w:t>
            </w:r>
          </w:p>
        </w:tc>
      </w:tr>
      <w:tr w:rsidR="00183EB9" w:rsidRPr="003618E2" w14:paraId="39626F30" w14:textId="77777777" w:rsidTr="00183EB9">
        <w:trPr>
          <w:jc w:val="center"/>
        </w:trPr>
        <w:tc>
          <w:tcPr>
            <w:tcW w:w="562" w:type="dxa"/>
            <w:vMerge/>
            <w:shd w:val="clear" w:color="auto" w:fill="FF81AB"/>
            <w:vAlign w:val="center"/>
          </w:tcPr>
          <w:p w14:paraId="5948746B" w14:textId="77777777" w:rsidR="00183EB9" w:rsidRPr="00183EB9" w:rsidRDefault="00183EB9" w:rsidP="00325887">
            <w:pPr>
              <w:pStyle w:val="BodyText"/>
              <w:spacing w:after="0"/>
              <w:jc w:val="center"/>
              <w:rPr>
                <w:b/>
                <w:sz w:val="20"/>
                <w:lang w:val="es-ES"/>
              </w:rPr>
            </w:pPr>
          </w:p>
        </w:tc>
        <w:tc>
          <w:tcPr>
            <w:tcW w:w="2137" w:type="dxa"/>
            <w:vMerge/>
            <w:shd w:val="clear" w:color="auto" w:fill="auto"/>
            <w:vAlign w:val="center"/>
          </w:tcPr>
          <w:p w14:paraId="4BA7231C" w14:textId="77777777" w:rsidR="00183EB9" w:rsidRPr="00183EB9" w:rsidRDefault="00183EB9" w:rsidP="00183EB9">
            <w:pPr>
              <w:pStyle w:val="BodyText"/>
              <w:spacing w:after="0"/>
              <w:jc w:val="center"/>
              <w:rPr>
                <w:sz w:val="20"/>
                <w:lang w:val="es-ES"/>
              </w:rPr>
            </w:pPr>
          </w:p>
        </w:tc>
        <w:tc>
          <w:tcPr>
            <w:tcW w:w="1559" w:type="dxa"/>
            <w:shd w:val="clear" w:color="auto" w:fill="auto"/>
            <w:vAlign w:val="center"/>
          </w:tcPr>
          <w:p w14:paraId="65FAB4C6" w14:textId="77777777" w:rsidR="00183EB9" w:rsidRPr="00183EB9" w:rsidRDefault="00183EB9" w:rsidP="00183EB9">
            <w:pPr>
              <w:pStyle w:val="BodyText"/>
              <w:spacing w:after="0"/>
              <w:jc w:val="center"/>
              <w:rPr>
                <w:bCs/>
                <w:sz w:val="20"/>
                <w:lang w:val="es-ES"/>
              </w:rPr>
            </w:pPr>
            <w:r w:rsidRPr="00183EB9">
              <w:rPr>
                <w:bCs/>
                <w:sz w:val="20"/>
                <w:lang w:val="es-ES"/>
              </w:rPr>
              <w:t>Se requiere armonizar procedimientos y reducir las barreras comerciales de la región.</w:t>
            </w:r>
          </w:p>
        </w:tc>
        <w:tc>
          <w:tcPr>
            <w:tcW w:w="1560" w:type="dxa"/>
            <w:shd w:val="clear" w:color="auto" w:fill="auto"/>
            <w:vAlign w:val="center"/>
          </w:tcPr>
          <w:p w14:paraId="5DF5F455" w14:textId="77777777" w:rsidR="00183EB9" w:rsidRPr="00183EB9" w:rsidRDefault="00183EB9" w:rsidP="00183EB9">
            <w:pPr>
              <w:pStyle w:val="BodyText"/>
              <w:spacing w:after="0"/>
              <w:jc w:val="center"/>
              <w:rPr>
                <w:sz w:val="20"/>
                <w:lang w:val="es-ES"/>
              </w:rPr>
            </w:pPr>
            <w:r w:rsidRPr="00183EB9">
              <w:rPr>
                <w:sz w:val="20"/>
                <w:lang w:val="es-ES"/>
              </w:rPr>
              <w:t>Contribuir al desarrollo económico de la región.</w:t>
            </w:r>
          </w:p>
        </w:tc>
        <w:tc>
          <w:tcPr>
            <w:tcW w:w="1984" w:type="dxa"/>
            <w:shd w:val="clear" w:color="auto" w:fill="auto"/>
            <w:vAlign w:val="center"/>
          </w:tcPr>
          <w:p w14:paraId="3FAB4A01" w14:textId="77777777" w:rsidR="00183EB9" w:rsidRPr="00183EB9" w:rsidRDefault="00183EB9" w:rsidP="00183EB9">
            <w:pPr>
              <w:pStyle w:val="BodyText"/>
              <w:spacing w:after="0"/>
              <w:jc w:val="center"/>
              <w:rPr>
                <w:sz w:val="20"/>
                <w:lang w:val="es-ES"/>
              </w:rPr>
            </w:pPr>
          </w:p>
        </w:tc>
        <w:tc>
          <w:tcPr>
            <w:tcW w:w="1843" w:type="dxa"/>
            <w:shd w:val="clear" w:color="auto" w:fill="auto"/>
            <w:vAlign w:val="center"/>
          </w:tcPr>
          <w:p w14:paraId="2942DC23" w14:textId="77777777" w:rsidR="00183EB9" w:rsidRPr="00183EB9" w:rsidRDefault="00183EB9" w:rsidP="00183EB9">
            <w:pPr>
              <w:pStyle w:val="BodyText"/>
              <w:spacing w:after="0"/>
              <w:jc w:val="center"/>
              <w:rPr>
                <w:sz w:val="20"/>
                <w:lang w:val="es-ES"/>
              </w:rPr>
            </w:pPr>
          </w:p>
        </w:tc>
        <w:tc>
          <w:tcPr>
            <w:tcW w:w="1134" w:type="dxa"/>
            <w:shd w:val="clear" w:color="auto" w:fill="auto"/>
            <w:vAlign w:val="center"/>
          </w:tcPr>
          <w:p w14:paraId="0503E10B" w14:textId="77777777" w:rsidR="00183EB9" w:rsidRPr="00183EB9" w:rsidRDefault="00183EB9" w:rsidP="00183EB9">
            <w:pPr>
              <w:pStyle w:val="BodyText"/>
              <w:spacing w:after="0"/>
              <w:jc w:val="center"/>
              <w:rPr>
                <w:b/>
                <w:bCs/>
                <w:sz w:val="20"/>
                <w:lang w:val="es-ES"/>
              </w:rPr>
            </w:pPr>
          </w:p>
        </w:tc>
        <w:tc>
          <w:tcPr>
            <w:tcW w:w="1700" w:type="dxa"/>
            <w:shd w:val="clear" w:color="auto" w:fill="auto"/>
            <w:vAlign w:val="center"/>
          </w:tcPr>
          <w:p w14:paraId="00DD0A90" w14:textId="77777777" w:rsidR="00183EB9" w:rsidRPr="00183EB9" w:rsidRDefault="00183EB9" w:rsidP="00183EB9">
            <w:pPr>
              <w:pStyle w:val="BodyText"/>
              <w:spacing w:after="0"/>
              <w:jc w:val="center"/>
              <w:rPr>
                <w:sz w:val="20"/>
                <w:lang w:val="es-ES"/>
              </w:rPr>
            </w:pPr>
            <w:r w:rsidRPr="00183EB9">
              <w:rPr>
                <w:sz w:val="20"/>
                <w:lang w:val="es-ES"/>
              </w:rPr>
              <w:t>Necesidad de realizar mayor difusión y reuniones conjuntas para armonizar los procedimientos de irradiación de productos, de acuerdo a estándares internaciones.</w:t>
            </w:r>
          </w:p>
        </w:tc>
        <w:tc>
          <w:tcPr>
            <w:tcW w:w="699" w:type="dxa"/>
            <w:shd w:val="clear" w:color="auto" w:fill="auto"/>
            <w:vAlign w:val="center"/>
          </w:tcPr>
          <w:p w14:paraId="3AEAE631" w14:textId="77777777" w:rsidR="00183EB9" w:rsidRPr="00183EB9" w:rsidRDefault="00183EB9" w:rsidP="00183EB9">
            <w:pPr>
              <w:pStyle w:val="BodyText"/>
              <w:spacing w:after="0"/>
              <w:jc w:val="center"/>
              <w:rPr>
                <w:bCs/>
                <w:sz w:val="20"/>
                <w:lang w:val="es-ES"/>
              </w:rPr>
            </w:pPr>
          </w:p>
        </w:tc>
        <w:tc>
          <w:tcPr>
            <w:tcW w:w="992" w:type="dxa"/>
            <w:shd w:val="clear" w:color="auto" w:fill="auto"/>
            <w:vAlign w:val="center"/>
          </w:tcPr>
          <w:p w14:paraId="608DC243" w14:textId="77777777" w:rsidR="00183EB9" w:rsidRPr="00183EB9" w:rsidRDefault="00183EB9" w:rsidP="00183EB9">
            <w:pPr>
              <w:pStyle w:val="BodyText"/>
              <w:spacing w:after="0"/>
              <w:jc w:val="center"/>
              <w:rPr>
                <w:b/>
                <w:bCs/>
                <w:sz w:val="20"/>
                <w:lang w:val="es-ES"/>
              </w:rPr>
            </w:pPr>
          </w:p>
        </w:tc>
      </w:tr>
      <w:tr w:rsidR="006D362C" w:rsidRPr="003618E2" w14:paraId="6E75A748" w14:textId="77777777" w:rsidTr="00183EB9">
        <w:trPr>
          <w:jc w:val="center"/>
        </w:trPr>
        <w:tc>
          <w:tcPr>
            <w:tcW w:w="562" w:type="dxa"/>
            <w:vMerge w:val="restart"/>
            <w:shd w:val="clear" w:color="auto" w:fill="FF81AB"/>
            <w:vAlign w:val="center"/>
          </w:tcPr>
          <w:p w14:paraId="3468ADDB" w14:textId="2FAD1CAD" w:rsidR="006D362C" w:rsidRPr="00183EB9" w:rsidRDefault="00325887" w:rsidP="00325887">
            <w:pPr>
              <w:pStyle w:val="BodyText"/>
              <w:spacing w:after="0"/>
              <w:jc w:val="center"/>
              <w:rPr>
                <w:b/>
                <w:sz w:val="20"/>
                <w:lang w:val="es-ES"/>
              </w:rPr>
            </w:pPr>
            <w:r>
              <w:rPr>
                <w:b/>
                <w:sz w:val="20"/>
                <w:lang w:val="es-ES"/>
              </w:rPr>
              <w:t>3</w:t>
            </w:r>
          </w:p>
        </w:tc>
        <w:tc>
          <w:tcPr>
            <w:tcW w:w="2137" w:type="dxa"/>
            <w:vMerge w:val="restart"/>
            <w:shd w:val="clear" w:color="auto" w:fill="auto"/>
            <w:vAlign w:val="center"/>
          </w:tcPr>
          <w:p w14:paraId="0B8E0D71" w14:textId="16BCEEB7" w:rsidR="00183EB9" w:rsidRPr="00183EB9" w:rsidRDefault="00183EB9" w:rsidP="00183EB9">
            <w:pPr>
              <w:pStyle w:val="BodyText"/>
              <w:spacing w:after="0"/>
              <w:jc w:val="center"/>
              <w:rPr>
                <w:iCs/>
                <w:sz w:val="20"/>
                <w:lang w:val="es-PE"/>
              </w:rPr>
            </w:pPr>
            <w:r w:rsidRPr="00183EB9">
              <w:rPr>
                <w:iCs/>
                <w:sz w:val="20"/>
                <w:lang w:val="es-PE"/>
              </w:rPr>
              <w:t>T1</w:t>
            </w:r>
          </w:p>
          <w:p w14:paraId="2EE28992" w14:textId="63A65621" w:rsidR="006D362C" w:rsidRPr="00183EB9" w:rsidRDefault="006D362C" w:rsidP="00183EB9">
            <w:pPr>
              <w:pStyle w:val="BodyText"/>
              <w:spacing w:after="0"/>
              <w:jc w:val="center"/>
              <w:rPr>
                <w:iCs/>
                <w:sz w:val="20"/>
                <w:lang w:val="es-PE"/>
              </w:rPr>
            </w:pPr>
            <w:r w:rsidRPr="00183EB9">
              <w:rPr>
                <w:iCs/>
                <w:sz w:val="20"/>
                <w:lang w:val="es-PE"/>
              </w:rPr>
              <w:t>Tratamiento</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aguas</w:t>
            </w:r>
            <w:r w:rsidR="00D136BB" w:rsidRPr="00183EB9">
              <w:rPr>
                <w:iCs/>
                <w:sz w:val="20"/>
                <w:lang w:val="es-PE"/>
              </w:rPr>
              <w:t xml:space="preserve"> </w:t>
            </w:r>
            <w:r w:rsidRPr="00183EB9">
              <w:rPr>
                <w:iCs/>
                <w:sz w:val="20"/>
                <w:lang w:val="es-PE"/>
              </w:rPr>
              <w:t>residuales</w:t>
            </w:r>
            <w:r w:rsidR="00D136BB" w:rsidRPr="00183EB9">
              <w:rPr>
                <w:iCs/>
                <w:sz w:val="20"/>
                <w:lang w:val="es-PE"/>
              </w:rPr>
              <w:t xml:space="preserve"> </w:t>
            </w:r>
            <w:r w:rsidRPr="00183EB9">
              <w:rPr>
                <w:iCs/>
                <w:sz w:val="20"/>
                <w:lang w:val="es-PE"/>
              </w:rPr>
              <w:t>domésticas,</w:t>
            </w:r>
            <w:r w:rsidR="00D136BB" w:rsidRPr="00183EB9">
              <w:rPr>
                <w:iCs/>
                <w:sz w:val="20"/>
                <w:lang w:val="es-PE"/>
              </w:rPr>
              <w:t xml:space="preserve"> </w:t>
            </w:r>
            <w:r w:rsidRPr="00183EB9">
              <w:rPr>
                <w:iCs/>
                <w:sz w:val="20"/>
                <w:lang w:val="es-PE"/>
              </w:rPr>
              <w:t>industriales</w:t>
            </w:r>
            <w:r w:rsidR="00D136BB" w:rsidRPr="00183EB9">
              <w:rPr>
                <w:iCs/>
                <w:sz w:val="20"/>
                <w:lang w:val="es-PE"/>
              </w:rPr>
              <w:t xml:space="preserve"> </w:t>
            </w:r>
            <w:r w:rsidRPr="00183EB9">
              <w:rPr>
                <w:iCs/>
                <w:sz w:val="20"/>
                <w:lang w:val="es-PE"/>
              </w:rPr>
              <w:t>y</w:t>
            </w:r>
            <w:r w:rsidR="00D136BB" w:rsidRPr="00183EB9">
              <w:rPr>
                <w:iCs/>
                <w:sz w:val="20"/>
                <w:lang w:val="es-PE"/>
              </w:rPr>
              <w:t xml:space="preserve"> </w:t>
            </w:r>
            <w:r w:rsidRPr="00183EB9">
              <w:rPr>
                <w:iCs/>
                <w:sz w:val="20"/>
                <w:lang w:val="es-PE"/>
              </w:rPr>
              <w:t>farmacéuticas</w:t>
            </w:r>
            <w:r w:rsidR="00D136BB" w:rsidRPr="00183EB9">
              <w:rPr>
                <w:iCs/>
                <w:sz w:val="20"/>
                <w:lang w:val="es-PE"/>
              </w:rPr>
              <w:t xml:space="preserve"> </w:t>
            </w:r>
            <w:r w:rsidRPr="00183EB9">
              <w:rPr>
                <w:iCs/>
                <w:sz w:val="20"/>
                <w:lang w:val="es-PE"/>
              </w:rPr>
              <w:t>por</w:t>
            </w:r>
            <w:r w:rsidR="00D136BB" w:rsidRPr="00183EB9">
              <w:rPr>
                <w:iCs/>
                <w:sz w:val="20"/>
                <w:lang w:val="es-PE"/>
              </w:rPr>
              <w:t xml:space="preserve"> </w:t>
            </w:r>
            <w:r w:rsidRPr="00183EB9">
              <w:rPr>
                <w:iCs/>
                <w:sz w:val="20"/>
                <w:lang w:val="es-PE"/>
              </w:rPr>
              <w:t>procesamiento</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radiación</w:t>
            </w:r>
            <w:r w:rsidR="00D136BB" w:rsidRPr="00183EB9">
              <w:rPr>
                <w:iCs/>
                <w:sz w:val="20"/>
                <w:lang w:val="es-PE"/>
              </w:rPr>
              <w:t xml:space="preserve"> </w:t>
            </w:r>
            <w:r w:rsidR="00231B74" w:rsidRPr="00183EB9">
              <w:rPr>
                <w:iCs/>
                <w:sz w:val="20"/>
                <w:lang w:val="es-ES"/>
              </w:rPr>
              <w:t>(fármacos,</w:t>
            </w:r>
            <w:r w:rsidR="00D136BB" w:rsidRPr="00183EB9">
              <w:rPr>
                <w:iCs/>
                <w:sz w:val="20"/>
                <w:lang w:val="es-ES"/>
              </w:rPr>
              <w:t xml:space="preserve"> </w:t>
            </w:r>
            <w:r w:rsidR="00231B74" w:rsidRPr="00183EB9">
              <w:rPr>
                <w:iCs/>
                <w:sz w:val="20"/>
                <w:lang w:val="es-ES"/>
              </w:rPr>
              <w:t>compuestos</w:t>
            </w:r>
            <w:r w:rsidR="00D136BB" w:rsidRPr="00183EB9">
              <w:rPr>
                <w:iCs/>
                <w:sz w:val="20"/>
                <w:lang w:val="es-ES"/>
              </w:rPr>
              <w:t xml:space="preserve"> </w:t>
            </w:r>
            <w:r w:rsidR="00231B74" w:rsidRPr="00183EB9">
              <w:rPr>
                <w:iCs/>
                <w:sz w:val="20"/>
                <w:lang w:val="es-ES"/>
              </w:rPr>
              <w:t>orgánicos,</w:t>
            </w:r>
            <w:r w:rsidR="00D136BB" w:rsidRPr="00183EB9">
              <w:rPr>
                <w:iCs/>
                <w:sz w:val="20"/>
                <w:lang w:val="es-ES"/>
              </w:rPr>
              <w:t xml:space="preserve"> </w:t>
            </w:r>
            <w:r w:rsidR="00231B74" w:rsidRPr="00183EB9">
              <w:rPr>
                <w:iCs/>
                <w:sz w:val="20"/>
                <w:lang w:val="es-ES"/>
              </w:rPr>
              <w:t>contaminación</w:t>
            </w:r>
            <w:r w:rsidR="00D136BB" w:rsidRPr="00183EB9">
              <w:rPr>
                <w:iCs/>
                <w:sz w:val="20"/>
                <w:lang w:val="es-ES"/>
              </w:rPr>
              <w:t xml:space="preserve"> </w:t>
            </w:r>
            <w:r w:rsidR="00231B74" w:rsidRPr="00183EB9">
              <w:rPr>
                <w:iCs/>
                <w:sz w:val="20"/>
                <w:lang w:val="es-ES"/>
              </w:rPr>
              <w:lastRenderedPageBreak/>
              <w:t>biológica,</w:t>
            </w:r>
            <w:r w:rsidR="00D136BB" w:rsidRPr="00183EB9">
              <w:rPr>
                <w:iCs/>
                <w:sz w:val="20"/>
                <w:lang w:val="es-ES"/>
              </w:rPr>
              <w:t xml:space="preserve"> </w:t>
            </w:r>
            <w:r w:rsidR="00231B74" w:rsidRPr="00183EB9">
              <w:rPr>
                <w:iCs/>
                <w:sz w:val="20"/>
                <w:lang w:val="es-ES"/>
              </w:rPr>
              <w:t>micro</w:t>
            </w:r>
            <w:r w:rsidR="00D136BB" w:rsidRPr="00183EB9">
              <w:rPr>
                <w:iCs/>
                <w:sz w:val="20"/>
                <w:lang w:val="es-ES"/>
              </w:rPr>
              <w:t xml:space="preserve"> </w:t>
            </w:r>
            <w:r w:rsidR="00231B74" w:rsidRPr="00183EB9">
              <w:rPr>
                <w:iCs/>
                <w:sz w:val="20"/>
                <w:lang w:val="es-ES"/>
              </w:rPr>
              <w:t>plásticos,</w:t>
            </w:r>
            <w:r w:rsidR="00D136BB" w:rsidRPr="00183EB9">
              <w:rPr>
                <w:iCs/>
                <w:sz w:val="20"/>
                <w:lang w:val="es-ES"/>
              </w:rPr>
              <w:t xml:space="preserve"> </w:t>
            </w:r>
            <w:r w:rsidR="00231B74" w:rsidRPr="00183EB9">
              <w:rPr>
                <w:iCs/>
                <w:sz w:val="20"/>
                <w:lang w:val="es-ES"/>
              </w:rPr>
              <w:t>etc.)</w:t>
            </w:r>
          </w:p>
        </w:tc>
        <w:tc>
          <w:tcPr>
            <w:tcW w:w="1559" w:type="dxa"/>
            <w:shd w:val="clear" w:color="auto" w:fill="auto"/>
            <w:vAlign w:val="center"/>
          </w:tcPr>
          <w:p w14:paraId="43C465CE" w14:textId="77777777" w:rsidR="006D362C" w:rsidRPr="00183EB9" w:rsidRDefault="006D362C" w:rsidP="00183EB9">
            <w:pPr>
              <w:pStyle w:val="BodyText"/>
              <w:spacing w:after="0"/>
              <w:jc w:val="center"/>
              <w:rPr>
                <w:bCs/>
                <w:sz w:val="20"/>
                <w:lang w:val="es-ES"/>
              </w:rPr>
            </w:pPr>
            <w:r w:rsidRPr="00183EB9">
              <w:rPr>
                <w:bCs/>
                <w:sz w:val="20"/>
                <w:lang w:val="es-ES"/>
              </w:rPr>
              <w:lastRenderedPageBreak/>
              <w:t>4,5</w:t>
            </w:r>
          </w:p>
        </w:tc>
        <w:tc>
          <w:tcPr>
            <w:tcW w:w="1560" w:type="dxa"/>
            <w:shd w:val="clear" w:color="auto" w:fill="auto"/>
            <w:vAlign w:val="center"/>
          </w:tcPr>
          <w:p w14:paraId="6082596A" w14:textId="77777777" w:rsidR="006D362C" w:rsidRPr="00183EB9" w:rsidRDefault="006D362C" w:rsidP="00183EB9">
            <w:pPr>
              <w:pStyle w:val="BodyText"/>
              <w:spacing w:after="0"/>
              <w:jc w:val="center"/>
              <w:rPr>
                <w:sz w:val="20"/>
                <w:lang w:val="es-ES"/>
              </w:rPr>
            </w:pPr>
            <w:r w:rsidRPr="00183EB9">
              <w:rPr>
                <w:sz w:val="20"/>
                <w:lang w:val="es-ES"/>
              </w:rPr>
              <w:t>4,0</w:t>
            </w:r>
          </w:p>
        </w:tc>
        <w:tc>
          <w:tcPr>
            <w:tcW w:w="1984" w:type="dxa"/>
            <w:shd w:val="clear" w:color="auto" w:fill="auto"/>
            <w:vAlign w:val="center"/>
          </w:tcPr>
          <w:p w14:paraId="03AD1F96" w14:textId="77777777" w:rsidR="006D362C" w:rsidRPr="00183EB9" w:rsidRDefault="006D362C" w:rsidP="00183EB9">
            <w:pPr>
              <w:pStyle w:val="BodyText"/>
              <w:spacing w:after="0"/>
              <w:jc w:val="center"/>
              <w:rPr>
                <w:sz w:val="20"/>
                <w:lang w:val="es-ES"/>
              </w:rPr>
            </w:pPr>
            <w:r w:rsidRPr="00183EB9">
              <w:rPr>
                <w:sz w:val="20"/>
                <w:lang w:val="es-ES"/>
              </w:rPr>
              <w:t>5,0</w:t>
            </w:r>
          </w:p>
        </w:tc>
        <w:tc>
          <w:tcPr>
            <w:tcW w:w="1843" w:type="dxa"/>
            <w:shd w:val="clear" w:color="auto" w:fill="auto"/>
            <w:vAlign w:val="center"/>
          </w:tcPr>
          <w:p w14:paraId="23A17C6F" w14:textId="5A8FA3E9" w:rsidR="006D362C" w:rsidRPr="00183EB9" w:rsidRDefault="0066293C" w:rsidP="00183EB9">
            <w:pPr>
              <w:pStyle w:val="BodyText"/>
              <w:spacing w:after="0"/>
              <w:jc w:val="center"/>
              <w:rPr>
                <w:sz w:val="20"/>
                <w:lang w:val="es-ES"/>
              </w:rPr>
            </w:pPr>
            <w:r>
              <w:rPr>
                <w:sz w:val="20"/>
                <w:lang w:val="es-ES"/>
              </w:rPr>
              <w:t>5</w:t>
            </w:r>
            <w:r w:rsidR="006D362C" w:rsidRPr="00183EB9">
              <w:rPr>
                <w:sz w:val="20"/>
                <w:lang w:val="es-ES"/>
              </w:rPr>
              <w:t>,0</w:t>
            </w:r>
          </w:p>
        </w:tc>
        <w:tc>
          <w:tcPr>
            <w:tcW w:w="1134" w:type="dxa"/>
            <w:shd w:val="clear" w:color="auto" w:fill="auto"/>
            <w:vAlign w:val="center"/>
          </w:tcPr>
          <w:p w14:paraId="052F77FC" w14:textId="553C9AE4" w:rsidR="006D362C" w:rsidRPr="00183EB9" w:rsidRDefault="006D362C" w:rsidP="0066293C">
            <w:pPr>
              <w:pStyle w:val="BodyText"/>
              <w:spacing w:after="0"/>
              <w:jc w:val="center"/>
              <w:rPr>
                <w:sz w:val="20"/>
                <w:lang w:val="es-ES_tradnl"/>
              </w:rPr>
            </w:pPr>
            <w:r w:rsidRPr="00183EB9">
              <w:rPr>
                <w:sz w:val="20"/>
                <w:lang w:val="es-ES_tradnl"/>
              </w:rPr>
              <w:t>1</w:t>
            </w:r>
            <w:r w:rsidR="0066293C">
              <w:rPr>
                <w:sz w:val="20"/>
                <w:lang w:val="es-ES_tradnl"/>
              </w:rPr>
              <w:t>8</w:t>
            </w:r>
            <w:r w:rsidRPr="00183EB9">
              <w:rPr>
                <w:sz w:val="20"/>
                <w:lang w:val="es-ES_tradnl"/>
              </w:rPr>
              <w:t>,50</w:t>
            </w:r>
          </w:p>
        </w:tc>
        <w:tc>
          <w:tcPr>
            <w:tcW w:w="1700" w:type="dxa"/>
            <w:shd w:val="clear" w:color="auto" w:fill="auto"/>
            <w:vAlign w:val="center"/>
          </w:tcPr>
          <w:p w14:paraId="091AA0DE" w14:textId="77777777" w:rsidR="006D362C" w:rsidRPr="00183EB9" w:rsidRDefault="006D362C" w:rsidP="00183EB9">
            <w:pPr>
              <w:pStyle w:val="BodyText"/>
              <w:spacing w:after="0"/>
              <w:jc w:val="center"/>
              <w:rPr>
                <w:sz w:val="20"/>
                <w:lang w:val="es-ES"/>
              </w:rPr>
            </w:pPr>
            <w:r w:rsidRPr="00183EB9">
              <w:rPr>
                <w:sz w:val="20"/>
                <w:lang w:val="es-ES"/>
              </w:rPr>
              <w:t>3,0</w:t>
            </w:r>
          </w:p>
        </w:tc>
        <w:tc>
          <w:tcPr>
            <w:tcW w:w="699" w:type="dxa"/>
            <w:shd w:val="clear" w:color="auto" w:fill="auto"/>
            <w:vAlign w:val="center"/>
          </w:tcPr>
          <w:p w14:paraId="5D9A1F77" w14:textId="0B21983D" w:rsidR="006D362C" w:rsidRPr="00183EB9" w:rsidRDefault="006D362C" w:rsidP="007C7C0A">
            <w:pPr>
              <w:pStyle w:val="BodyText"/>
              <w:spacing w:after="0"/>
              <w:jc w:val="center"/>
              <w:rPr>
                <w:sz w:val="20"/>
                <w:lang w:val="es-ES_tradnl"/>
              </w:rPr>
            </w:pPr>
            <w:r w:rsidRPr="00183EB9">
              <w:rPr>
                <w:sz w:val="20"/>
                <w:lang w:val="es-ES_tradnl"/>
              </w:rPr>
              <w:t>1,</w:t>
            </w:r>
            <w:r w:rsidR="007C7C0A">
              <w:rPr>
                <w:sz w:val="20"/>
                <w:lang w:val="es-ES_tradnl"/>
              </w:rPr>
              <w:t>67</w:t>
            </w:r>
          </w:p>
        </w:tc>
        <w:tc>
          <w:tcPr>
            <w:tcW w:w="992" w:type="dxa"/>
            <w:shd w:val="clear" w:color="auto" w:fill="auto"/>
            <w:vAlign w:val="center"/>
          </w:tcPr>
          <w:p w14:paraId="7CB6089F" w14:textId="79EA9C0C" w:rsidR="006D362C" w:rsidRPr="00183EB9" w:rsidRDefault="007C7C0A" w:rsidP="007C7C0A">
            <w:pPr>
              <w:pStyle w:val="BodyText"/>
              <w:spacing w:after="0"/>
              <w:jc w:val="center"/>
              <w:rPr>
                <w:sz w:val="20"/>
                <w:lang w:val="es-ES_tradnl"/>
              </w:rPr>
            </w:pPr>
            <w:r>
              <w:rPr>
                <w:sz w:val="20"/>
                <w:lang w:val="es-ES_tradnl"/>
              </w:rPr>
              <w:t>30</w:t>
            </w:r>
            <w:r w:rsidR="006D362C" w:rsidRPr="00183EB9">
              <w:rPr>
                <w:sz w:val="20"/>
                <w:lang w:val="es-ES_tradnl"/>
              </w:rPr>
              <w:t>,</w:t>
            </w:r>
            <w:r>
              <w:rPr>
                <w:sz w:val="20"/>
                <w:lang w:val="es-ES_tradnl"/>
              </w:rPr>
              <w:t>8</w:t>
            </w:r>
            <w:r w:rsidR="006D362C" w:rsidRPr="00183EB9">
              <w:rPr>
                <w:sz w:val="20"/>
                <w:lang w:val="es-ES_tradnl"/>
              </w:rPr>
              <w:t>3</w:t>
            </w:r>
          </w:p>
        </w:tc>
      </w:tr>
      <w:tr w:rsidR="006D362C" w:rsidRPr="003618E2" w14:paraId="1F9F686F" w14:textId="77777777" w:rsidTr="00183EB9">
        <w:trPr>
          <w:jc w:val="center"/>
        </w:trPr>
        <w:tc>
          <w:tcPr>
            <w:tcW w:w="562" w:type="dxa"/>
            <w:vMerge/>
            <w:shd w:val="clear" w:color="auto" w:fill="FF81AB"/>
            <w:vAlign w:val="center"/>
          </w:tcPr>
          <w:p w14:paraId="329F682C" w14:textId="77777777" w:rsidR="006D362C" w:rsidRPr="00183EB9" w:rsidRDefault="006D362C" w:rsidP="00325887">
            <w:pPr>
              <w:pStyle w:val="BodyText"/>
              <w:spacing w:after="0"/>
              <w:jc w:val="center"/>
              <w:rPr>
                <w:b/>
                <w:sz w:val="20"/>
                <w:lang w:val="es-ES"/>
              </w:rPr>
            </w:pPr>
          </w:p>
        </w:tc>
        <w:tc>
          <w:tcPr>
            <w:tcW w:w="2137" w:type="dxa"/>
            <w:vMerge/>
            <w:shd w:val="clear" w:color="auto" w:fill="auto"/>
            <w:vAlign w:val="center"/>
          </w:tcPr>
          <w:p w14:paraId="286C32EF" w14:textId="77777777" w:rsidR="006D362C" w:rsidRPr="00183EB9" w:rsidRDefault="006D362C" w:rsidP="00183EB9">
            <w:pPr>
              <w:pStyle w:val="BodyText"/>
              <w:spacing w:after="0"/>
              <w:jc w:val="center"/>
              <w:rPr>
                <w:bCs/>
                <w:sz w:val="20"/>
                <w:lang w:val="es-ES"/>
              </w:rPr>
            </w:pPr>
          </w:p>
        </w:tc>
        <w:tc>
          <w:tcPr>
            <w:tcW w:w="1559" w:type="dxa"/>
            <w:shd w:val="clear" w:color="auto" w:fill="auto"/>
            <w:vAlign w:val="center"/>
          </w:tcPr>
          <w:p w14:paraId="59EAB139" w14:textId="090DEA3C" w:rsidR="006D362C" w:rsidRPr="00183EB9" w:rsidRDefault="006D362C" w:rsidP="00183EB9">
            <w:pPr>
              <w:pStyle w:val="BodyText"/>
              <w:spacing w:after="0"/>
              <w:jc w:val="center"/>
              <w:rPr>
                <w:bCs/>
                <w:sz w:val="20"/>
                <w:lang w:val="es-ES"/>
              </w:rPr>
            </w:pPr>
            <w:r w:rsidRPr="00183EB9">
              <w:rPr>
                <w:bCs/>
                <w:sz w:val="20"/>
                <w:lang w:val="es-ES"/>
              </w:rPr>
              <w:t>Problema</w:t>
            </w:r>
            <w:r w:rsidR="00D136BB" w:rsidRPr="00183EB9">
              <w:rPr>
                <w:bCs/>
                <w:sz w:val="20"/>
                <w:lang w:val="es-ES"/>
              </w:rPr>
              <w:t xml:space="preserve"> </w:t>
            </w:r>
            <w:r w:rsidRPr="00183EB9">
              <w:rPr>
                <w:bCs/>
                <w:sz w:val="20"/>
                <w:lang w:val="es-ES"/>
              </w:rPr>
              <w:t>evidente</w:t>
            </w:r>
            <w:r w:rsidR="00D136BB" w:rsidRPr="00183EB9">
              <w:rPr>
                <w:bCs/>
                <w:sz w:val="20"/>
                <w:lang w:val="es-ES"/>
              </w:rPr>
              <w:t xml:space="preserve"> </w:t>
            </w:r>
            <w:r w:rsidRPr="00183EB9">
              <w:rPr>
                <w:bCs/>
                <w:sz w:val="20"/>
                <w:lang w:val="es-ES"/>
              </w:rPr>
              <w:t>en</w:t>
            </w:r>
            <w:r w:rsidR="00D136BB" w:rsidRPr="00183EB9">
              <w:rPr>
                <w:bCs/>
                <w:sz w:val="20"/>
                <w:lang w:val="es-ES"/>
              </w:rPr>
              <w:t xml:space="preserve"> </w:t>
            </w:r>
            <w:r w:rsidRPr="00183EB9">
              <w:rPr>
                <w:bCs/>
                <w:sz w:val="20"/>
                <w:lang w:val="es-ES"/>
              </w:rPr>
              <w:t>la</w:t>
            </w:r>
            <w:r w:rsidR="00D136BB" w:rsidRPr="00183EB9">
              <w:rPr>
                <w:bCs/>
                <w:sz w:val="20"/>
                <w:lang w:val="es-ES"/>
              </w:rPr>
              <w:t xml:space="preserve"> </w:t>
            </w:r>
            <w:r w:rsidRPr="00183EB9">
              <w:rPr>
                <w:bCs/>
                <w:sz w:val="20"/>
                <w:lang w:val="es-ES"/>
              </w:rPr>
              <w:t>región.</w:t>
            </w:r>
          </w:p>
        </w:tc>
        <w:tc>
          <w:tcPr>
            <w:tcW w:w="1560" w:type="dxa"/>
            <w:shd w:val="clear" w:color="auto" w:fill="auto"/>
            <w:vAlign w:val="center"/>
          </w:tcPr>
          <w:p w14:paraId="1B9DAC9A" w14:textId="4DE08D37" w:rsidR="006D362C" w:rsidRPr="00183EB9" w:rsidRDefault="006D362C" w:rsidP="00183EB9">
            <w:pPr>
              <w:pStyle w:val="BodyText"/>
              <w:spacing w:after="0"/>
              <w:jc w:val="center"/>
              <w:rPr>
                <w:sz w:val="20"/>
                <w:lang w:val="es-ES"/>
              </w:rPr>
            </w:pPr>
            <w:r w:rsidRPr="00183EB9">
              <w:rPr>
                <w:sz w:val="20"/>
                <w:lang w:val="es-ES"/>
              </w:rPr>
              <w:t>Contribuir</w:t>
            </w:r>
            <w:r w:rsidR="00D136BB" w:rsidRPr="00183EB9">
              <w:rPr>
                <w:sz w:val="20"/>
                <w:lang w:val="es-ES"/>
              </w:rPr>
              <w:t xml:space="preserve"> </w:t>
            </w:r>
            <w:r w:rsidRPr="00183EB9">
              <w:rPr>
                <w:sz w:val="20"/>
                <w:lang w:val="es-ES"/>
              </w:rPr>
              <w:t>al</w:t>
            </w:r>
            <w:r w:rsidR="00D136BB" w:rsidRPr="00183EB9">
              <w:rPr>
                <w:sz w:val="20"/>
                <w:lang w:val="es-ES"/>
              </w:rPr>
              <w:t xml:space="preserve"> </w:t>
            </w:r>
            <w:r w:rsidRPr="00183EB9">
              <w:rPr>
                <w:sz w:val="20"/>
                <w:lang w:val="es-ES"/>
              </w:rPr>
              <w:t>desarrollo</w:t>
            </w:r>
            <w:r w:rsidR="00D136BB" w:rsidRPr="00183EB9">
              <w:rPr>
                <w:sz w:val="20"/>
                <w:lang w:val="es-ES"/>
              </w:rPr>
              <w:t xml:space="preserve"> </w:t>
            </w:r>
            <w:r w:rsidRPr="00183EB9">
              <w:rPr>
                <w:sz w:val="20"/>
                <w:lang w:val="es-ES"/>
              </w:rPr>
              <w:t>económico</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r w:rsidR="00D136BB" w:rsidRPr="00183EB9">
              <w:rPr>
                <w:sz w:val="20"/>
                <w:lang w:val="es-ES"/>
              </w:rPr>
              <w:t xml:space="preserve"> </w:t>
            </w:r>
            <w:r w:rsidRPr="00183EB9">
              <w:rPr>
                <w:sz w:val="20"/>
                <w:lang w:val="es-ES"/>
              </w:rPr>
              <w:t>y</w:t>
            </w:r>
            <w:r w:rsidR="00D136BB" w:rsidRPr="00183EB9">
              <w:rPr>
                <w:sz w:val="20"/>
                <w:lang w:val="es-ES"/>
              </w:rPr>
              <w:t xml:space="preserve"> </w:t>
            </w:r>
            <w:r w:rsidRPr="00183EB9">
              <w:rPr>
                <w:sz w:val="20"/>
                <w:lang w:val="es-ES"/>
              </w:rPr>
              <w:t>disminuir</w:t>
            </w:r>
            <w:r w:rsidR="00D136BB" w:rsidRPr="00183EB9">
              <w:rPr>
                <w:sz w:val="20"/>
                <w:lang w:val="es-ES"/>
              </w:rPr>
              <w:t xml:space="preserve"> </w:t>
            </w:r>
            <w:r w:rsidRPr="00183EB9">
              <w:rPr>
                <w:sz w:val="20"/>
                <w:lang w:val="es-ES"/>
              </w:rPr>
              <w:t>el</w:t>
            </w:r>
            <w:r w:rsidR="00D136BB" w:rsidRPr="00183EB9">
              <w:rPr>
                <w:sz w:val="20"/>
                <w:lang w:val="es-ES"/>
              </w:rPr>
              <w:t xml:space="preserve"> </w:t>
            </w:r>
            <w:r w:rsidRPr="00183EB9">
              <w:rPr>
                <w:sz w:val="20"/>
                <w:lang w:val="es-ES"/>
              </w:rPr>
              <w:t>impacto</w:t>
            </w:r>
            <w:r w:rsidR="00D136BB" w:rsidRPr="00183EB9">
              <w:rPr>
                <w:sz w:val="20"/>
                <w:lang w:val="es-ES"/>
              </w:rPr>
              <w:t xml:space="preserve"> </w:t>
            </w:r>
            <w:r w:rsidRPr="00183EB9">
              <w:rPr>
                <w:sz w:val="20"/>
                <w:lang w:val="es-ES"/>
              </w:rPr>
              <w:t>ambiental.</w:t>
            </w:r>
          </w:p>
        </w:tc>
        <w:tc>
          <w:tcPr>
            <w:tcW w:w="1984" w:type="dxa"/>
            <w:shd w:val="clear" w:color="auto" w:fill="auto"/>
            <w:vAlign w:val="center"/>
          </w:tcPr>
          <w:p w14:paraId="0AF36212" w14:textId="42706094" w:rsidR="006D362C" w:rsidRPr="00183EB9" w:rsidRDefault="006D362C" w:rsidP="00183EB9">
            <w:pPr>
              <w:pStyle w:val="BodyText"/>
              <w:spacing w:after="0"/>
              <w:jc w:val="center"/>
              <w:rPr>
                <w:sz w:val="20"/>
                <w:lang w:val="es-ES"/>
              </w:rPr>
            </w:pPr>
            <w:r w:rsidRPr="00183EB9">
              <w:rPr>
                <w:sz w:val="20"/>
                <w:lang w:val="es-ES"/>
              </w:rPr>
              <w:t>Afecta</w:t>
            </w:r>
            <w:r w:rsidR="00D136BB" w:rsidRPr="00183EB9">
              <w:rPr>
                <w:sz w:val="20"/>
                <w:lang w:val="es-ES"/>
              </w:rPr>
              <w:t xml:space="preserve"> </w:t>
            </w:r>
            <w:r w:rsidRPr="00183EB9">
              <w:rPr>
                <w:sz w:val="20"/>
                <w:lang w:val="es-ES"/>
              </w:rPr>
              <w:t>a</w:t>
            </w:r>
            <w:r w:rsidR="00D136BB" w:rsidRPr="00183EB9">
              <w:rPr>
                <w:sz w:val="20"/>
                <w:lang w:val="es-ES"/>
              </w:rPr>
              <w:t xml:space="preserve"> </w:t>
            </w:r>
            <w:r w:rsidRPr="00183EB9">
              <w:rPr>
                <w:sz w:val="20"/>
                <w:lang w:val="es-ES"/>
              </w:rPr>
              <w:t>toda</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r w:rsidR="00D136BB" w:rsidRPr="00183EB9">
              <w:rPr>
                <w:sz w:val="20"/>
                <w:lang w:val="es-ES"/>
              </w:rPr>
              <w:t xml:space="preserve"> </w:t>
            </w:r>
            <w:r w:rsidRPr="00183EB9">
              <w:rPr>
                <w:sz w:val="20"/>
                <w:lang w:val="es-ES"/>
              </w:rPr>
              <w:t>muy</w:t>
            </w:r>
            <w:r w:rsidR="00D136BB" w:rsidRPr="00183EB9">
              <w:rPr>
                <w:sz w:val="20"/>
                <w:lang w:val="es-ES"/>
              </w:rPr>
              <w:t xml:space="preserve"> </w:t>
            </w:r>
            <w:r w:rsidRPr="00183EB9">
              <w:rPr>
                <w:sz w:val="20"/>
                <w:lang w:val="es-ES"/>
              </w:rPr>
              <w:t>pocas</w:t>
            </w:r>
            <w:r w:rsidR="00D136BB" w:rsidRPr="00183EB9">
              <w:rPr>
                <w:sz w:val="20"/>
                <w:lang w:val="es-ES"/>
              </w:rPr>
              <w:t xml:space="preserve"> </w:t>
            </w:r>
            <w:r w:rsidRPr="00183EB9">
              <w:rPr>
                <w:sz w:val="20"/>
                <w:lang w:val="es-ES"/>
              </w:rPr>
              <w:t>técnicas</w:t>
            </w:r>
            <w:r w:rsidR="00D136BB" w:rsidRPr="00183EB9">
              <w:rPr>
                <w:sz w:val="20"/>
                <w:lang w:val="es-ES"/>
              </w:rPr>
              <w:t xml:space="preserve"> </w:t>
            </w:r>
            <w:r w:rsidRPr="00183EB9">
              <w:rPr>
                <w:sz w:val="20"/>
                <w:lang w:val="es-ES"/>
              </w:rPr>
              <w:t>están</w:t>
            </w:r>
            <w:r w:rsidR="00D136BB" w:rsidRPr="00183EB9">
              <w:rPr>
                <w:sz w:val="20"/>
                <w:lang w:val="es-ES"/>
              </w:rPr>
              <w:t xml:space="preserve"> </w:t>
            </w:r>
            <w:r w:rsidRPr="00183EB9">
              <w:rPr>
                <w:sz w:val="20"/>
                <w:lang w:val="es-ES"/>
              </w:rPr>
              <w:t>siendo</w:t>
            </w:r>
            <w:r w:rsidR="00D136BB" w:rsidRPr="00183EB9">
              <w:rPr>
                <w:sz w:val="20"/>
                <w:lang w:val="es-ES"/>
              </w:rPr>
              <w:t xml:space="preserve"> </w:t>
            </w:r>
            <w:r w:rsidRPr="00183EB9">
              <w:rPr>
                <w:sz w:val="20"/>
                <w:lang w:val="es-ES"/>
              </w:rPr>
              <w:t>aplicadas.</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irradiación</w:t>
            </w:r>
            <w:r w:rsidR="00D136BB" w:rsidRPr="00183EB9">
              <w:rPr>
                <w:sz w:val="20"/>
                <w:lang w:val="es-ES"/>
              </w:rPr>
              <w:t xml:space="preserve"> </w:t>
            </w:r>
            <w:r w:rsidRPr="00183EB9">
              <w:rPr>
                <w:sz w:val="20"/>
                <w:lang w:val="es-ES"/>
              </w:rPr>
              <w:t>gamma</w:t>
            </w:r>
            <w:r w:rsidR="00D136BB" w:rsidRPr="00183EB9">
              <w:rPr>
                <w:sz w:val="20"/>
                <w:lang w:val="es-ES"/>
              </w:rPr>
              <w:t xml:space="preserve"> </w:t>
            </w:r>
            <w:r w:rsidRPr="00183EB9">
              <w:rPr>
                <w:sz w:val="20"/>
                <w:lang w:val="es-ES"/>
              </w:rPr>
              <w:t>es</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más</w:t>
            </w:r>
            <w:r w:rsidR="00D136BB" w:rsidRPr="00183EB9">
              <w:rPr>
                <w:sz w:val="20"/>
                <w:lang w:val="es-ES"/>
              </w:rPr>
              <w:t xml:space="preserve"> </w:t>
            </w:r>
            <w:r w:rsidRPr="00183EB9">
              <w:rPr>
                <w:sz w:val="20"/>
                <w:lang w:val="es-ES"/>
              </w:rPr>
              <w:t>aplicada</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p>
        </w:tc>
        <w:tc>
          <w:tcPr>
            <w:tcW w:w="1843" w:type="dxa"/>
            <w:shd w:val="clear" w:color="auto" w:fill="auto"/>
            <w:vAlign w:val="center"/>
          </w:tcPr>
          <w:p w14:paraId="36060303" w14:textId="650184A4" w:rsidR="006D362C" w:rsidRPr="00183EB9" w:rsidRDefault="006D362C" w:rsidP="00183EB9">
            <w:pPr>
              <w:pStyle w:val="BodyText"/>
              <w:spacing w:after="0"/>
              <w:jc w:val="center"/>
              <w:rPr>
                <w:sz w:val="20"/>
                <w:lang w:val="es-ES"/>
              </w:rPr>
            </w:pPr>
            <w:r w:rsidRPr="00183EB9">
              <w:rPr>
                <w:sz w:val="20"/>
                <w:lang w:val="es-ES"/>
              </w:rPr>
              <w:t>El</w:t>
            </w:r>
            <w:r w:rsidR="00D136BB" w:rsidRPr="00183EB9">
              <w:rPr>
                <w:sz w:val="20"/>
                <w:lang w:val="es-ES"/>
              </w:rPr>
              <w:t xml:space="preserve"> </w:t>
            </w:r>
            <w:r w:rsidRPr="00183EB9">
              <w:rPr>
                <w:sz w:val="20"/>
                <w:lang w:val="es-ES"/>
              </w:rPr>
              <w:t>uso</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las</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radiación</w:t>
            </w:r>
            <w:r w:rsidR="00D136BB" w:rsidRPr="00183EB9">
              <w:rPr>
                <w:sz w:val="20"/>
                <w:lang w:val="es-ES"/>
              </w:rPr>
              <w:t xml:space="preserve"> </w:t>
            </w:r>
            <w:r w:rsidRPr="00183EB9">
              <w:rPr>
                <w:sz w:val="20"/>
                <w:lang w:val="es-ES"/>
              </w:rPr>
              <w:t>puede</w:t>
            </w:r>
            <w:r w:rsidR="00D136BB" w:rsidRPr="00183EB9">
              <w:rPr>
                <w:sz w:val="20"/>
                <w:lang w:val="es-ES"/>
              </w:rPr>
              <w:t xml:space="preserve"> </w:t>
            </w:r>
            <w:r w:rsidRPr="00183EB9">
              <w:rPr>
                <w:sz w:val="20"/>
                <w:lang w:val="es-ES"/>
              </w:rPr>
              <w:t>contribuir</w:t>
            </w:r>
            <w:r w:rsidR="00D136BB" w:rsidRPr="00183EB9">
              <w:rPr>
                <w:sz w:val="20"/>
                <w:lang w:val="es-ES"/>
              </w:rPr>
              <w:t xml:space="preserve"> </w:t>
            </w:r>
            <w:r w:rsidRPr="00183EB9">
              <w:rPr>
                <w:sz w:val="20"/>
                <w:lang w:val="es-ES"/>
              </w:rPr>
              <w:t>a</w:t>
            </w:r>
            <w:r w:rsidR="00D136BB" w:rsidRPr="00183EB9">
              <w:rPr>
                <w:sz w:val="20"/>
                <w:lang w:val="es-ES"/>
              </w:rPr>
              <w:t xml:space="preserve"> </w:t>
            </w:r>
            <w:r w:rsidRPr="00183EB9">
              <w:rPr>
                <w:sz w:val="20"/>
                <w:lang w:val="es-ES"/>
              </w:rPr>
              <w:t>incrementar</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competitividad</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industria</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r w:rsidR="00D136BB" w:rsidRPr="00183EB9">
              <w:rPr>
                <w:sz w:val="20"/>
                <w:lang w:val="es-ES"/>
              </w:rPr>
              <w:t xml:space="preserve"> </w:t>
            </w:r>
            <w:r w:rsidRPr="00183EB9">
              <w:rPr>
                <w:sz w:val="20"/>
                <w:lang w:val="es-ES"/>
              </w:rPr>
              <w:t>mejora</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lastRenderedPageBreak/>
              <w:t>calidad</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vida,</w:t>
            </w:r>
            <w:r w:rsidR="00D136BB" w:rsidRPr="00183EB9">
              <w:rPr>
                <w:sz w:val="20"/>
                <w:lang w:val="es-ES"/>
              </w:rPr>
              <w:t xml:space="preserve"> </w:t>
            </w:r>
            <w:r w:rsidRPr="00183EB9">
              <w:rPr>
                <w:sz w:val="20"/>
                <w:lang w:val="es-ES"/>
              </w:rPr>
              <w:t>el</w:t>
            </w:r>
            <w:r w:rsidR="00D136BB" w:rsidRPr="00183EB9">
              <w:rPr>
                <w:sz w:val="20"/>
                <w:lang w:val="es-ES"/>
              </w:rPr>
              <w:t xml:space="preserve"> </w:t>
            </w:r>
            <w:r w:rsidRPr="00183EB9">
              <w:rPr>
                <w:sz w:val="20"/>
                <w:lang w:val="es-ES"/>
              </w:rPr>
              <w:t>cuidado</w:t>
            </w:r>
            <w:r w:rsidR="00D136BB" w:rsidRPr="00183EB9">
              <w:rPr>
                <w:sz w:val="20"/>
                <w:lang w:val="es-ES"/>
              </w:rPr>
              <w:t xml:space="preserve"> </w:t>
            </w:r>
            <w:r w:rsidRPr="00183EB9">
              <w:rPr>
                <w:sz w:val="20"/>
                <w:lang w:val="es-ES"/>
              </w:rPr>
              <w:t>del</w:t>
            </w:r>
            <w:r w:rsidR="00D136BB" w:rsidRPr="00183EB9">
              <w:rPr>
                <w:sz w:val="20"/>
                <w:lang w:val="es-ES"/>
              </w:rPr>
              <w:t xml:space="preserve"> </w:t>
            </w:r>
            <w:r w:rsidRPr="00183EB9">
              <w:rPr>
                <w:sz w:val="20"/>
                <w:lang w:val="es-ES"/>
              </w:rPr>
              <w:t>ambiente</w:t>
            </w:r>
            <w:r w:rsidR="00D136BB" w:rsidRPr="00183EB9">
              <w:rPr>
                <w:sz w:val="20"/>
                <w:lang w:val="es-ES"/>
              </w:rPr>
              <w:t xml:space="preserve"> </w:t>
            </w:r>
            <w:r w:rsidRPr="00183EB9">
              <w:rPr>
                <w:sz w:val="20"/>
                <w:lang w:val="es-ES"/>
              </w:rPr>
              <w:t>y</w:t>
            </w:r>
            <w:r w:rsidR="00D136BB" w:rsidRPr="00183EB9">
              <w:rPr>
                <w:sz w:val="20"/>
                <w:lang w:val="es-ES"/>
              </w:rPr>
              <w:t xml:space="preserve"> </w:t>
            </w:r>
            <w:r w:rsidRPr="00183EB9">
              <w:rPr>
                <w:sz w:val="20"/>
                <w:lang w:val="es-ES"/>
              </w:rPr>
              <w:t>conservación</w:t>
            </w:r>
            <w:r w:rsidR="00D136BB" w:rsidRPr="00183EB9">
              <w:rPr>
                <w:sz w:val="20"/>
                <w:lang w:val="es-ES"/>
              </w:rPr>
              <w:t xml:space="preserve"> </w:t>
            </w:r>
            <w:r w:rsidRPr="00183EB9">
              <w:rPr>
                <w:sz w:val="20"/>
                <w:lang w:val="es-ES"/>
              </w:rPr>
              <w:t>del</w:t>
            </w:r>
            <w:r w:rsidR="00D136BB" w:rsidRPr="00183EB9">
              <w:rPr>
                <w:sz w:val="20"/>
                <w:lang w:val="es-ES"/>
              </w:rPr>
              <w:t xml:space="preserve"> </w:t>
            </w:r>
            <w:r w:rsidRPr="00183EB9">
              <w:rPr>
                <w:sz w:val="20"/>
                <w:lang w:val="es-ES"/>
              </w:rPr>
              <w:t>patrimonio</w:t>
            </w:r>
            <w:r w:rsidR="00D136BB" w:rsidRPr="00183EB9">
              <w:rPr>
                <w:sz w:val="20"/>
                <w:lang w:val="es-ES"/>
              </w:rPr>
              <w:t xml:space="preserve"> </w:t>
            </w:r>
            <w:r w:rsidRPr="00183EB9">
              <w:rPr>
                <w:sz w:val="20"/>
                <w:lang w:val="es-ES"/>
              </w:rPr>
              <w:t>cultural</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p>
        </w:tc>
        <w:tc>
          <w:tcPr>
            <w:tcW w:w="1134" w:type="dxa"/>
            <w:shd w:val="clear" w:color="auto" w:fill="auto"/>
            <w:vAlign w:val="center"/>
          </w:tcPr>
          <w:p w14:paraId="1FAE65F4" w14:textId="77777777" w:rsidR="006D362C" w:rsidRPr="00183EB9" w:rsidRDefault="006D362C" w:rsidP="00183EB9">
            <w:pPr>
              <w:pStyle w:val="BodyText"/>
              <w:spacing w:after="0"/>
              <w:jc w:val="center"/>
              <w:rPr>
                <w:b/>
                <w:bCs/>
                <w:sz w:val="20"/>
                <w:lang w:val="es-ES"/>
              </w:rPr>
            </w:pPr>
          </w:p>
        </w:tc>
        <w:tc>
          <w:tcPr>
            <w:tcW w:w="1700" w:type="dxa"/>
            <w:shd w:val="clear" w:color="auto" w:fill="auto"/>
            <w:vAlign w:val="center"/>
          </w:tcPr>
          <w:p w14:paraId="008A0FA5" w14:textId="5E454AA0" w:rsidR="006D362C" w:rsidRPr="00183EB9" w:rsidRDefault="006D362C" w:rsidP="00183EB9">
            <w:pPr>
              <w:pStyle w:val="BodyText"/>
              <w:spacing w:after="0"/>
              <w:jc w:val="center"/>
              <w:rPr>
                <w:sz w:val="20"/>
                <w:lang w:val="es-ES"/>
              </w:rPr>
            </w:pPr>
            <w:r w:rsidRPr="00183EB9">
              <w:rPr>
                <w:sz w:val="20"/>
                <w:lang w:val="es-ES"/>
              </w:rPr>
              <w:t>Las</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radiación</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diferentes</w:t>
            </w:r>
            <w:r w:rsidR="00D136BB" w:rsidRPr="00183EB9">
              <w:rPr>
                <w:sz w:val="20"/>
                <w:lang w:val="es-ES"/>
              </w:rPr>
              <w:t xml:space="preserve"> </w:t>
            </w:r>
            <w:r w:rsidRPr="00183EB9">
              <w:rPr>
                <w:sz w:val="20"/>
                <w:lang w:val="es-ES"/>
              </w:rPr>
              <w:t>aplicaciones</w:t>
            </w:r>
            <w:r w:rsidR="00D136BB" w:rsidRPr="00183EB9">
              <w:rPr>
                <w:sz w:val="20"/>
                <w:lang w:val="es-ES"/>
              </w:rPr>
              <w:t xml:space="preserve"> </w:t>
            </w:r>
            <w:r w:rsidRPr="00183EB9">
              <w:rPr>
                <w:sz w:val="20"/>
                <w:lang w:val="es-ES"/>
              </w:rPr>
              <w:t>son</w:t>
            </w:r>
            <w:r w:rsidR="00D136BB" w:rsidRPr="00183EB9">
              <w:rPr>
                <w:sz w:val="20"/>
                <w:lang w:val="es-ES"/>
              </w:rPr>
              <w:t xml:space="preserve"> </w:t>
            </w:r>
            <w:r w:rsidRPr="00183EB9">
              <w:rPr>
                <w:sz w:val="20"/>
                <w:lang w:val="es-ES"/>
              </w:rPr>
              <w:t>poco</w:t>
            </w:r>
            <w:r w:rsidR="00D136BB" w:rsidRPr="00183EB9">
              <w:rPr>
                <w:sz w:val="20"/>
                <w:lang w:val="es-ES"/>
              </w:rPr>
              <w:t xml:space="preserve"> </w:t>
            </w:r>
            <w:r w:rsidRPr="00183EB9">
              <w:rPr>
                <w:sz w:val="20"/>
                <w:lang w:val="es-ES"/>
              </w:rPr>
              <w:t>conocidas</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p>
        </w:tc>
        <w:tc>
          <w:tcPr>
            <w:tcW w:w="699" w:type="dxa"/>
            <w:shd w:val="clear" w:color="auto" w:fill="auto"/>
            <w:vAlign w:val="center"/>
          </w:tcPr>
          <w:p w14:paraId="4B86E3CA" w14:textId="77777777" w:rsidR="006D362C" w:rsidRPr="00183EB9" w:rsidRDefault="006D362C" w:rsidP="00183EB9">
            <w:pPr>
              <w:pStyle w:val="BodyText"/>
              <w:spacing w:after="0"/>
              <w:jc w:val="center"/>
              <w:rPr>
                <w:bCs/>
                <w:sz w:val="20"/>
                <w:lang w:val="es-ES"/>
              </w:rPr>
            </w:pPr>
          </w:p>
        </w:tc>
        <w:tc>
          <w:tcPr>
            <w:tcW w:w="992" w:type="dxa"/>
            <w:shd w:val="clear" w:color="auto" w:fill="auto"/>
            <w:vAlign w:val="center"/>
          </w:tcPr>
          <w:p w14:paraId="10DD94BA" w14:textId="77777777" w:rsidR="006D362C" w:rsidRPr="00183EB9" w:rsidRDefault="006D362C" w:rsidP="00183EB9">
            <w:pPr>
              <w:pStyle w:val="BodyText"/>
              <w:spacing w:after="0"/>
              <w:jc w:val="center"/>
              <w:rPr>
                <w:b/>
                <w:bCs/>
                <w:sz w:val="20"/>
                <w:lang w:val="es-ES"/>
              </w:rPr>
            </w:pPr>
          </w:p>
        </w:tc>
      </w:tr>
      <w:tr w:rsidR="0066293C" w:rsidRPr="003618E2" w14:paraId="5E39C5A8" w14:textId="77777777" w:rsidTr="00FE4F5F">
        <w:trPr>
          <w:jc w:val="center"/>
        </w:trPr>
        <w:tc>
          <w:tcPr>
            <w:tcW w:w="562" w:type="dxa"/>
            <w:vMerge w:val="restart"/>
            <w:shd w:val="clear" w:color="auto" w:fill="FF81AB"/>
            <w:vAlign w:val="center"/>
          </w:tcPr>
          <w:p w14:paraId="74C11D26" w14:textId="46627258" w:rsidR="0066293C" w:rsidRPr="00183EB9" w:rsidRDefault="0066293C" w:rsidP="00FE4F5F">
            <w:pPr>
              <w:pStyle w:val="BodyText"/>
              <w:spacing w:after="0"/>
              <w:jc w:val="center"/>
              <w:rPr>
                <w:b/>
                <w:bCs/>
                <w:sz w:val="20"/>
                <w:lang w:val="es-ES"/>
              </w:rPr>
            </w:pPr>
            <w:r>
              <w:rPr>
                <w:b/>
                <w:bCs/>
                <w:sz w:val="20"/>
                <w:lang w:val="es-ES"/>
              </w:rPr>
              <w:t>4</w:t>
            </w:r>
          </w:p>
        </w:tc>
        <w:tc>
          <w:tcPr>
            <w:tcW w:w="2137" w:type="dxa"/>
            <w:vMerge w:val="restart"/>
            <w:shd w:val="clear" w:color="auto" w:fill="auto"/>
            <w:vAlign w:val="center"/>
          </w:tcPr>
          <w:p w14:paraId="2F8830BE" w14:textId="77777777" w:rsidR="0066293C" w:rsidRPr="00183EB9" w:rsidRDefault="0066293C" w:rsidP="00FE4F5F">
            <w:pPr>
              <w:pStyle w:val="BodyText"/>
              <w:spacing w:after="0"/>
              <w:jc w:val="center"/>
              <w:rPr>
                <w:iCs/>
                <w:sz w:val="20"/>
                <w:lang w:val="es-PE"/>
              </w:rPr>
            </w:pPr>
            <w:r w:rsidRPr="00183EB9">
              <w:rPr>
                <w:iCs/>
                <w:sz w:val="20"/>
                <w:lang w:val="es-PE"/>
              </w:rPr>
              <w:t>T6</w:t>
            </w:r>
          </w:p>
          <w:p w14:paraId="16C2BF45" w14:textId="77777777" w:rsidR="0066293C" w:rsidRPr="00183EB9" w:rsidRDefault="0066293C" w:rsidP="00FE4F5F">
            <w:pPr>
              <w:pStyle w:val="BodyText"/>
              <w:spacing w:after="0"/>
              <w:jc w:val="center"/>
              <w:rPr>
                <w:iCs/>
                <w:sz w:val="20"/>
                <w:lang w:val="es-PE"/>
              </w:rPr>
            </w:pPr>
            <w:r w:rsidRPr="00183EB9">
              <w:rPr>
                <w:iCs/>
                <w:sz w:val="20"/>
                <w:lang w:val="es-PE"/>
              </w:rPr>
              <w:t>Preservación de objetos tangibles de patrimonio cultural y materiales archivados por técnicas nucleares</w:t>
            </w:r>
          </w:p>
        </w:tc>
        <w:tc>
          <w:tcPr>
            <w:tcW w:w="1559" w:type="dxa"/>
            <w:shd w:val="clear" w:color="auto" w:fill="auto"/>
            <w:vAlign w:val="center"/>
          </w:tcPr>
          <w:p w14:paraId="4830702A" w14:textId="77777777" w:rsidR="0066293C" w:rsidRPr="00183EB9" w:rsidRDefault="0066293C" w:rsidP="00FE4F5F">
            <w:pPr>
              <w:pStyle w:val="BodyText"/>
              <w:spacing w:after="0"/>
              <w:jc w:val="center"/>
              <w:rPr>
                <w:bCs/>
                <w:sz w:val="20"/>
                <w:lang w:val="es-ES"/>
              </w:rPr>
            </w:pPr>
            <w:r w:rsidRPr="00183EB9">
              <w:rPr>
                <w:bCs/>
                <w:sz w:val="20"/>
                <w:lang w:val="es-ES"/>
              </w:rPr>
              <w:t>4,5</w:t>
            </w:r>
          </w:p>
        </w:tc>
        <w:tc>
          <w:tcPr>
            <w:tcW w:w="1560" w:type="dxa"/>
            <w:shd w:val="clear" w:color="auto" w:fill="auto"/>
            <w:vAlign w:val="center"/>
          </w:tcPr>
          <w:p w14:paraId="054BDAA5" w14:textId="77777777" w:rsidR="0066293C" w:rsidRPr="00183EB9" w:rsidRDefault="0066293C" w:rsidP="00FE4F5F">
            <w:pPr>
              <w:pStyle w:val="BodyText"/>
              <w:spacing w:after="0"/>
              <w:jc w:val="center"/>
              <w:rPr>
                <w:sz w:val="20"/>
                <w:lang w:val="es-ES"/>
              </w:rPr>
            </w:pPr>
            <w:r w:rsidRPr="00183EB9">
              <w:rPr>
                <w:sz w:val="20"/>
                <w:lang w:val="es-ES"/>
              </w:rPr>
              <w:t>4,0</w:t>
            </w:r>
          </w:p>
        </w:tc>
        <w:tc>
          <w:tcPr>
            <w:tcW w:w="1984" w:type="dxa"/>
            <w:shd w:val="clear" w:color="auto" w:fill="auto"/>
            <w:vAlign w:val="center"/>
          </w:tcPr>
          <w:p w14:paraId="4A0FA82F" w14:textId="77777777" w:rsidR="0066293C" w:rsidRPr="00183EB9" w:rsidRDefault="0066293C" w:rsidP="00FE4F5F">
            <w:pPr>
              <w:pStyle w:val="BodyText"/>
              <w:spacing w:after="0"/>
              <w:jc w:val="center"/>
              <w:rPr>
                <w:sz w:val="20"/>
                <w:lang w:val="es-ES"/>
              </w:rPr>
            </w:pPr>
            <w:r w:rsidRPr="00183EB9">
              <w:rPr>
                <w:sz w:val="20"/>
                <w:lang w:val="es-ES"/>
              </w:rPr>
              <w:t>4,00</w:t>
            </w:r>
          </w:p>
        </w:tc>
        <w:tc>
          <w:tcPr>
            <w:tcW w:w="1843" w:type="dxa"/>
            <w:shd w:val="clear" w:color="auto" w:fill="auto"/>
            <w:vAlign w:val="center"/>
          </w:tcPr>
          <w:p w14:paraId="55B3EE69" w14:textId="77777777" w:rsidR="0066293C" w:rsidRPr="00183EB9" w:rsidRDefault="0066293C" w:rsidP="00FE4F5F">
            <w:pPr>
              <w:pStyle w:val="BodyText"/>
              <w:spacing w:after="0"/>
              <w:jc w:val="center"/>
              <w:rPr>
                <w:sz w:val="20"/>
                <w:lang w:val="es-ES"/>
              </w:rPr>
            </w:pPr>
            <w:r>
              <w:rPr>
                <w:sz w:val="20"/>
                <w:lang w:val="es-ES"/>
              </w:rPr>
              <w:t>5,0</w:t>
            </w:r>
          </w:p>
        </w:tc>
        <w:tc>
          <w:tcPr>
            <w:tcW w:w="1134" w:type="dxa"/>
            <w:shd w:val="clear" w:color="auto" w:fill="auto"/>
            <w:vAlign w:val="center"/>
          </w:tcPr>
          <w:p w14:paraId="72CE1C17" w14:textId="77777777" w:rsidR="0066293C" w:rsidRPr="00183EB9" w:rsidRDefault="0066293C" w:rsidP="00FE4F5F">
            <w:pPr>
              <w:pStyle w:val="BodyText"/>
              <w:spacing w:after="0"/>
              <w:jc w:val="center"/>
              <w:rPr>
                <w:sz w:val="20"/>
                <w:lang w:val="es-ES_tradnl"/>
              </w:rPr>
            </w:pPr>
            <w:r w:rsidRPr="00183EB9">
              <w:rPr>
                <w:sz w:val="20"/>
                <w:lang w:val="es-ES_tradnl"/>
              </w:rPr>
              <w:t>17,</w:t>
            </w:r>
            <w:r>
              <w:rPr>
                <w:sz w:val="20"/>
                <w:lang w:val="es-ES_tradnl"/>
              </w:rPr>
              <w:t>5</w:t>
            </w:r>
            <w:r w:rsidRPr="00183EB9">
              <w:rPr>
                <w:sz w:val="20"/>
                <w:lang w:val="es-ES_tradnl"/>
              </w:rPr>
              <w:t>0</w:t>
            </w:r>
          </w:p>
        </w:tc>
        <w:tc>
          <w:tcPr>
            <w:tcW w:w="1700" w:type="dxa"/>
            <w:shd w:val="clear" w:color="auto" w:fill="auto"/>
            <w:vAlign w:val="center"/>
          </w:tcPr>
          <w:p w14:paraId="68189869" w14:textId="753EF1A4" w:rsidR="0066293C" w:rsidRPr="00183EB9" w:rsidRDefault="0066293C" w:rsidP="007C7C0A">
            <w:pPr>
              <w:pStyle w:val="BodyText"/>
              <w:spacing w:after="0"/>
              <w:jc w:val="center"/>
              <w:rPr>
                <w:sz w:val="20"/>
                <w:lang w:val="es-ES"/>
              </w:rPr>
            </w:pPr>
            <w:r w:rsidRPr="00183EB9">
              <w:rPr>
                <w:sz w:val="20"/>
                <w:lang w:val="es-ES"/>
              </w:rPr>
              <w:t>3,</w:t>
            </w:r>
            <w:r w:rsidR="007C7C0A">
              <w:rPr>
                <w:sz w:val="20"/>
                <w:lang w:val="es-ES"/>
              </w:rPr>
              <w:t>5</w:t>
            </w:r>
          </w:p>
        </w:tc>
        <w:tc>
          <w:tcPr>
            <w:tcW w:w="699" w:type="dxa"/>
            <w:shd w:val="clear" w:color="auto" w:fill="auto"/>
            <w:vAlign w:val="center"/>
          </w:tcPr>
          <w:p w14:paraId="129BF04E" w14:textId="361C7FA1" w:rsidR="0066293C" w:rsidRPr="00183EB9" w:rsidRDefault="0066293C" w:rsidP="007C7C0A">
            <w:pPr>
              <w:pStyle w:val="BodyText"/>
              <w:spacing w:after="0"/>
              <w:jc w:val="center"/>
              <w:rPr>
                <w:sz w:val="20"/>
                <w:lang w:val="es-ES_tradnl"/>
              </w:rPr>
            </w:pPr>
            <w:r w:rsidRPr="00183EB9">
              <w:rPr>
                <w:sz w:val="20"/>
                <w:lang w:val="es-ES_tradnl"/>
              </w:rPr>
              <w:t>1,</w:t>
            </w:r>
            <w:r w:rsidR="007C7C0A">
              <w:rPr>
                <w:sz w:val="20"/>
                <w:lang w:val="es-ES_tradnl"/>
              </w:rPr>
              <w:t>43</w:t>
            </w:r>
          </w:p>
        </w:tc>
        <w:tc>
          <w:tcPr>
            <w:tcW w:w="992" w:type="dxa"/>
            <w:shd w:val="clear" w:color="auto" w:fill="auto"/>
            <w:vAlign w:val="center"/>
          </w:tcPr>
          <w:p w14:paraId="035E92FE" w14:textId="2B5AF4D0" w:rsidR="0066293C" w:rsidRPr="00183EB9" w:rsidRDefault="0066293C" w:rsidP="007C7C0A">
            <w:pPr>
              <w:pStyle w:val="BodyText"/>
              <w:spacing w:after="0"/>
              <w:jc w:val="center"/>
              <w:rPr>
                <w:sz w:val="20"/>
                <w:lang w:val="es-ES_tradnl"/>
              </w:rPr>
            </w:pPr>
            <w:r w:rsidRPr="00183EB9">
              <w:rPr>
                <w:sz w:val="20"/>
                <w:lang w:val="es-ES_tradnl"/>
              </w:rPr>
              <w:t>2</w:t>
            </w:r>
            <w:r w:rsidR="007C7C0A">
              <w:rPr>
                <w:sz w:val="20"/>
                <w:lang w:val="es-ES_tradnl"/>
              </w:rPr>
              <w:t>5</w:t>
            </w:r>
            <w:r w:rsidRPr="00183EB9">
              <w:rPr>
                <w:sz w:val="20"/>
                <w:lang w:val="es-ES_tradnl"/>
              </w:rPr>
              <w:t>,</w:t>
            </w:r>
            <w:r w:rsidR="007C7C0A">
              <w:rPr>
                <w:sz w:val="20"/>
                <w:lang w:val="es-ES_tradnl"/>
              </w:rPr>
              <w:t>0</w:t>
            </w:r>
            <w:r w:rsidRPr="00183EB9">
              <w:rPr>
                <w:sz w:val="20"/>
                <w:lang w:val="es-ES_tradnl"/>
              </w:rPr>
              <w:t>0</w:t>
            </w:r>
          </w:p>
        </w:tc>
      </w:tr>
      <w:tr w:rsidR="0066293C" w:rsidRPr="003618E2" w14:paraId="2D4B4194" w14:textId="77777777" w:rsidTr="00FE4F5F">
        <w:trPr>
          <w:jc w:val="center"/>
        </w:trPr>
        <w:tc>
          <w:tcPr>
            <w:tcW w:w="562" w:type="dxa"/>
            <w:vMerge/>
            <w:shd w:val="clear" w:color="auto" w:fill="FF81AB"/>
            <w:vAlign w:val="center"/>
          </w:tcPr>
          <w:p w14:paraId="69609E63" w14:textId="77777777" w:rsidR="0066293C" w:rsidRPr="00183EB9" w:rsidRDefault="0066293C" w:rsidP="00FE4F5F">
            <w:pPr>
              <w:pStyle w:val="BodyText"/>
              <w:spacing w:after="0"/>
              <w:jc w:val="center"/>
              <w:rPr>
                <w:b/>
                <w:bCs/>
                <w:sz w:val="20"/>
                <w:lang w:val="es-ES"/>
              </w:rPr>
            </w:pPr>
          </w:p>
        </w:tc>
        <w:tc>
          <w:tcPr>
            <w:tcW w:w="2137" w:type="dxa"/>
            <w:vMerge/>
            <w:shd w:val="clear" w:color="auto" w:fill="auto"/>
            <w:vAlign w:val="center"/>
          </w:tcPr>
          <w:p w14:paraId="3AA92C6F" w14:textId="77777777" w:rsidR="0066293C" w:rsidRPr="00183EB9" w:rsidRDefault="0066293C" w:rsidP="00FE4F5F">
            <w:pPr>
              <w:pStyle w:val="BodyText"/>
              <w:spacing w:after="0"/>
              <w:jc w:val="center"/>
              <w:rPr>
                <w:bCs/>
                <w:sz w:val="20"/>
                <w:lang w:val="es-ES"/>
              </w:rPr>
            </w:pPr>
          </w:p>
        </w:tc>
        <w:tc>
          <w:tcPr>
            <w:tcW w:w="1559" w:type="dxa"/>
            <w:shd w:val="clear" w:color="auto" w:fill="auto"/>
            <w:vAlign w:val="center"/>
          </w:tcPr>
          <w:p w14:paraId="071A6A75" w14:textId="77777777" w:rsidR="0066293C" w:rsidRPr="00183EB9" w:rsidRDefault="0066293C" w:rsidP="00FE4F5F">
            <w:pPr>
              <w:pStyle w:val="BodyText"/>
              <w:spacing w:after="0"/>
              <w:jc w:val="center"/>
              <w:rPr>
                <w:bCs/>
                <w:sz w:val="20"/>
                <w:lang w:val="es-ES"/>
              </w:rPr>
            </w:pPr>
            <w:r w:rsidRPr="00183EB9">
              <w:rPr>
                <w:bCs/>
                <w:sz w:val="20"/>
                <w:lang w:val="es-ES"/>
              </w:rPr>
              <w:t>Se ha perdido patrimonio cultural en la región, por no contar con técnicas avanzadas de caracterización, preservación y conservación.</w:t>
            </w:r>
          </w:p>
        </w:tc>
        <w:tc>
          <w:tcPr>
            <w:tcW w:w="1560" w:type="dxa"/>
            <w:shd w:val="clear" w:color="auto" w:fill="auto"/>
            <w:vAlign w:val="center"/>
          </w:tcPr>
          <w:p w14:paraId="1B72AC99" w14:textId="77777777" w:rsidR="0066293C" w:rsidRPr="00183EB9" w:rsidRDefault="0066293C" w:rsidP="00FE4F5F">
            <w:pPr>
              <w:pStyle w:val="BodyText"/>
              <w:spacing w:after="0"/>
              <w:jc w:val="center"/>
              <w:rPr>
                <w:sz w:val="20"/>
                <w:lang w:val="es-ES"/>
              </w:rPr>
            </w:pPr>
            <w:r w:rsidRPr="00183EB9">
              <w:rPr>
                <w:sz w:val="20"/>
                <w:lang w:val="es-ES"/>
              </w:rPr>
              <w:t>Es importante contar con tecnologías avanzadas y no destructivas.</w:t>
            </w:r>
          </w:p>
        </w:tc>
        <w:tc>
          <w:tcPr>
            <w:tcW w:w="1984" w:type="dxa"/>
            <w:shd w:val="clear" w:color="auto" w:fill="auto"/>
            <w:vAlign w:val="center"/>
          </w:tcPr>
          <w:p w14:paraId="195435DD" w14:textId="77777777" w:rsidR="0066293C" w:rsidRPr="00183EB9" w:rsidRDefault="0066293C" w:rsidP="00FE4F5F">
            <w:pPr>
              <w:pStyle w:val="BodyText"/>
              <w:spacing w:after="0"/>
              <w:jc w:val="center"/>
              <w:rPr>
                <w:sz w:val="20"/>
                <w:lang w:val="es-ES"/>
              </w:rPr>
            </w:pPr>
            <w:r w:rsidRPr="00183EB9">
              <w:rPr>
                <w:sz w:val="20"/>
                <w:lang w:val="es-ES"/>
              </w:rPr>
              <w:t>En casos aislados en la región, se tienen implementadas algunas tecnologías con radiación, aplicadas a caracterización o preservación.</w:t>
            </w:r>
          </w:p>
        </w:tc>
        <w:tc>
          <w:tcPr>
            <w:tcW w:w="1843" w:type="dxa"/>
            <w:shd w:val="clear" w:color="auto" w:fill="auto"/>
            <w:vAlign w:val="center"/>
          </w:tcPr>
          <w:p w14:paraId="4EA30F50" w14:textId="77777777" w:rsidR="0066293C" w:rsidRPr="00183EB9" w:rsidRDefault="0066293C" w:rsidP="00FE4F5F">
            <w:pPr>
              <w:pStyle w:val="BodyText"/>
              <w:spacing w:after="0"/>
              <w:jc w:val="center"/>
              <w:rPr>
                <w:sz w:val="20"/>
                <w:lang w:val="es-ES"/>
              </w:rPr>
            </w:pPr>
            <w:r w:rsidRPr="00183EB9">
              <w:rPr>
                <w:sz w:val="20"/>
                <w:lang w:val="es-ES"/>
              </w:rPr>
              <w:t>Es importante la preservación del rico y basto patrimonio cultural de la región a costos competitivos.</w:t>
            </w:r>
          </w:p>
        </w:tc>
        <w:tc>
          <w:tcPr>
            <w:tcW w:w="1134" w:type="dxa"/>
            <w:shd w:val="clear" w:color="auto" w:fill="auto"/>
            <w:vAlign w:val="center"/>
          </w:tcPr>
          <w:p w14:paraId="608F5A76" w14:textId="77777777" w:rsidR="0066293C" w:rsidRPr="00183EB9" w:rsidRDefault="0066293C" w:rsidP="00FE4F5F">
            <w:pPr>
              <w:pStyle w:val="BodyText"/>
              <w:spacing w:after="0"/>
              <w:jc w:val="center"/>
              <w:rPr>
                <w:b/>
                <w:bCs/>
                <w:sz w:val="20"/>
                <w:lang w:val="es-ES"/>
              </w:rPr>
            </w:pPr>
          </w:p>
        </w:tc>
        <w:tc>
          <w:tcPr>
            <w:tcW w:w="1700" w:type="dxa"/>
            <w:shd w:val="clear" w:color="auto" w:fill="auto"/>
            <w:vAlign w:val="center"/>
          </w:tcPr>
          <w:p w14:paraId="768E3801" w14:textId="77777777" w:rsidR="0066293C" w:rsidRPr="00183EB9" w:rsidRDefault="0066293C" w:rsidP="00FE4F5F">
            <w:pPr>
              <w:pStyle w:val="BodyText"/>
              <w:spacing w:after="0"/>
              <w:jc w:val="center"/>
              <w:rPr>
                <w:sz w:val="20"/>
                <w:lang w:val="es-ES"/>
              </w:rPr>
            </w:pPr>
            <w:r w:rsidRPr="00183EB9">
              <w:rPr>
                <w:sz w:val="20"/>
                <w:lang w:val="es-ES"/>
              </w:rPr>
              <w:t>Falta difusión de las tecnologías, infraestructura y capacitación de recursos humanos.</w:t>
            </w:r>
          </w:p>
        </w:tc>
        <w:tc>
          <w:tcPr>
            <w:tcW w:w="699" w:type="dxa"/>
            <w:shd w:val="clear" w:color="auto" w:fill="auto"/>
            <w:vAlign w:val="center"/>
          </w:tcPr>
          <w:p w14:paraId="49078815" w14:textId="77777777" w:rsidR="0066293C" w:rsidRPr="00183EB9" w:rsidRDefault="0066293C" w:rsidP="00FE4F5F">
            <w:pPr>
              <w:pStyle w:val="BodyText"/>
              <w:spacing w:after="0"/>
              <w:jc w:val="center"/>
              <w:rPr>
                <w:bCs/>
                <w:sz w:val="20"/>
                <w:lang w:val="es-ES"/>
              </w:rPr>
            </w:pPr>
          </w:p>
        </w:tc>
        <w:tc>
          <w:tcPr>
            <w:tcW w:w="992" w:type="dxa"/>
            <w:shd w:val="clear" w:color="auto" w:fill="auto"/>
            <w:vAlign w:val="center"/>
          </w:tcPr>
          <w:p w14:paraId="40FC6213" w14:textId="77777777" w:rsidR="0066293C" w:rsidRPr="00183EB9" w:rsidRDefault="0066293C" w:rsidP="00FE4F5F">
            <w:pPr>
              <w:pStyle w:val="BodyText"/>
              <w:spacing w:after="0"/>
              <w:jc w:val="center"/>
              <w:rPr>
                <w:b/>
                <w:bCs/>
                <w:sz w:val="20"/>
                <w:lang w:val="es-ES"/>
              </w:rPr>
            </w:pPr>
          </w:p>
        </w:tc>
      </w:tr>
      <w:tr w:rsidR="00325887" w:rsidRPr="003618E2" w14:paraId="412A5828" w14:textId="77777777" w:rsidTr="00FE4F5F">
        <w:trPr>
          <w:jc w:val="center"/>
        </w:trPr>
        <w:tc>
          <w:tcPr>
            <w:tcW w:w="562" w:type="dxa"/>
            <w:vMerge w:val="restart"/>
            <w:shd w:val="clear" w:color="auto" w:fill="FF81AB"/>
            <w:vAlign w:val="center"/>
          </w:tcPr>
          <w:p w14:paraId="148FEAED" w14:textId="51D10DD5" w:rsidR="00325887" w:rsidRPr="00183EB9" w:rsidRDefault="0066293C" w:rsidP="00FE4F5F">
            <w:pPr>
              <w:pStyle w:val="BodyText"/>
              <w:spacing w:after="0"/>
              <w:jc w:val="center"/>
              <w:rPr>
                <w:b/>
                <w:bCs/>
                <w:sz w:val="20"/>
                <w:lang w:val="es-ES"/>
              </w:rPr>
            </w:pPr>
            <w:r>
              <w:rPr>
                <w:b/>
                <w:bCs/>
                <w:sz w:val="20"/>
                <w:lang w:val="es-ES"/>
              </w:rPr>
              <w:t>5</w:t>
            </w:r>
          </w:p>
        </w:tc>
        <w:tc>
          <w:tcPr>
            <w:tcW w:w="2137" w:type="dxa"/>
            <w:vMerge w:val="restart"/>
            <w:shd w:val="clear" w:color="auto" w:fill="auto"/>
            <w:vAlign w:val="center"/>
          </w:tcPr>
          <w:p w14:paraId="7034439C" w14:textId="77777777" w:rsidR="00325887" w:rsidRPr="00183EB9" w:rsidRDefault="00325887" w:rsidP="00FE4F5F">
            <w:pPr>
              <w:pStyle w:val="BodyText"/>
              <w:spacing w:after="0"/>
              <w:jc w:val="center"/>
              <w:rPr>
                <w:iCs/>
                <w:sz w:val="20"/>
                <w:lang w:val="es-PE"/>
              </w:rPr>
            </w:pPr>
            <w:r w:rsidRPr="00183EB9">
              <w:rPr>
                <w:iCs/>
                <w:sz w:val="20"/>
                <w:lang w:val="es-PE"/>
              </w:rPr>
              <w:t>T7</w:t>
            </w:r>
          </w:p>
          <w:p w14:paraId="2012BCBF" w14:textId="77777777" w:rsidR="00325887" w:rsidRPr="00183EB9" w:rsidRDefault="00325887" w:rsidP="00FE4F5F">
            <w:pPr>
              <w:pStyle w:val="BodyText"/>
              <w:spacing w:after="0"/>
              <w:jc w:val="center"/>
              <w:rPr>
                <w:iCs/>
                <w:sz w:val="20"/>
                <w:lang w:val="es-PE"/>
              </w:rPr>
            </w:pPr>
            <w:r w:rsidRPr="00183EB9">
              <w:rPr>
                <w:iCs/>
                <w:sz w:val="20"/>
                <w:lang w:val="es-PE"/>
              </w:rPr>
              <w:t>Armonizar metodologías y capacitar personal de acuerdo con estándares y esquemas de certificación para técnicas avanzadas de ensayos no destructivos</w:t>
            </w:r>
          </w:p>
        </w:tc>
        <w:tc>
          <w:tcPr>
            <w:tcW w:w="1559" w:type="dxa"/>
            <w:shd w:val="clear" w:color="auto" w:fill="auto"/>
            <w:vAlign w:val="center"/>
          </w:tcPr>
          <w:p w14:paraId="09DFB5A5" w14:textId="77777777" w:rsidR="00325887" w:rsidRPr="00183EB9" w:rsidRDefault="00325887" w:rsidP="00FE4F5F">
            <w:pPr>
              <w:pStyle w:val="BodyText"/>
              <w:spacing w:after="0"/>
              <w:jc w:val="center"/>
              <w:rPr>
                <w:bCs/>
                <w:sz w:val="20"/>
                <w:lang w:val="es-ES"/>
              </w:rPr>
            </w:pPr>
            <w:r w:rsidRPr="00183EB9">
              <w:rPr>
                <w:bCs/>
                <w:sz w:val="20"/>
                <w:lang w:val="es-ES"/>
              </w:rPr>
              <w:t>4,5</w:t>
            </w:r>
          </w:p>
        </w:tc>
        <w:tc>
          <w:tcPr>
            <w:tcW w:w="1560" w:type="dxa"/>
            <w:shd w:val="clear" w:color="auto" w:fill="auto"/>
            <w:vAlign w:val="center"/>
          </w:tcPr>
          <w:p w14:paraId="66482EA4" w14:textId="77777777" w:rsidR="00325887" w:rsidRPr="00183EB9" w:rsidRDefault="00325887" w:rsidP="00FE4F5F">
            <w:pPr>
              <w:pStyle w:val="BodyText"/>
              <w:spacing w:after="0"/>
              <w:jc w:val="center"/>
              <w:rPr>
                <w:sz w:val="20"/>
                <w:lang w:val="es-ES"/>
              </w:rPr>
            </w:pPr>
            <w:r w:rsidRPr="00183EB9">
              <w:rPr>
                <w:sz w:val="20"/>
                <w:lang w:val="es-ES"/>
              </w:rPr>
              <w:t>4,5</w:t>
            </w:r>
          </w:p>
        </w:tc>
        <w:tc>
          <w:tcPr>
            <w:tcW w:w="1984" w:type="dxa"/>
            <w:shd w:val="clear" w:color="auto" w:fill="auto"/>
            <w:vAlign w:val="center"/>
          </w:tcPr>
          <w:p w14:paraId="7A323027" w14:textId="77777777" w:rsidR="00325887" w:rsidRPr="00183EB9" w:rsidRDefault="00325887" w:rsidP="00FE4F5F">
            <w:pPr>
              <w:pStyle w:val="BodyText"/>
              <w:spacing w:after="0"/>
              <w:jc w:val="center"/>
              <w:rPr>
                <w:sz w:val="20"/>
                <w:lang w:val="es-ES"/>
              </w:rPr>
            </w:pPr>
            <w:r w:rsidRPr="00183EB9">
              <w:rPr>
                <w:sz w:val="20"/>
                <w:lang w:val="es-ES"/>
              </w:rPr>
              <w:t>4,5</w:t>
            </w:r>
          </w:p>
        </w:tc>
        <w:tc>
          <w:tcPr>
            <w:tcW w:w="1843" w:type="dxa"/>
            <w:shd w:val="clear" w:color="auto" w:fill="auto"/>
            <w:vAlign w:val="center"/>
          </w:tcPr>
          <w:p w14:paraId="726E3B8E" w14:textId="77777777" w:rsidR="00325887" w:rsidRPr="00183EB9" w:rsidRDefault="00325887" w:rsidP="00FE4F5F">
            <w:pPr>
              <w:pStyle w:val="BodyText"/>
              <w:spacing w:after="0"/>
              <w:jc w:val="center"/>
              <w:rPr>
                <w:sz w:val="20"/>
                <w:lang w:val="es-ES"/>
              </w:rPr>
            </w:pPr>
            <w:r w:rsidRPr="00183EB9">
              <w:rPr>
                <w:sz w:val="20"/>
                <w:lang w:val="es-ES"/>
              </w:rPr>
              <w:t>4,0</w:t>
            </w:r>
          </w:p>
        </w:tc>
        <w:tc>
          <w:tcPr>
            <w:tcW w:w="1134" w:type="dxa"/>
            <w:shd w:val="clear" w:color="auto" w:fill="auto"/>
            <w:vAlign w:val="center"/>
          </w:tcPr>
          <w:p w14:paraId="09EFAC4D" w14:textId="77777777" w:rsidR="00325887" w:rsidRPr="00183EB9" w:rsidRDefault="00325887" w:rsidP="00FE4F5F">
            <w:pPr>
              <w:pStyle w:val="BodyText"/>
              <w:spacing w:after="0"/>
              <w:jc w:val="center"/>
              <w:rPr>
                <w:sz w:val="20"/>
                <w:lang w:val="es-ES_tradnl"/>
              </w:rPr>
            </w:pPr>
            <w:r w:rsidRPr="00183EB9">
              <w:rPr>
                <w:sz w:val="20"/>
                <w:lang w:val="es-ES_tradnl"/>
              </w:rPr>
              <w:t>17,50</w:t>
            </w:r>
          </w:p>
        </w:tc>
        <w:tc>
          <w:tcPr>
            <w:tcW w:w="1700" w:type="dxa"/>
            <w:shd w:val="clear" w:color="auto" w:fill="auto"/>
            <w:vAlign w:val="center"/>
          </w:tcPr>
          <w:p w14:paraId="4AB1C73C" w14:textId="77777777" w:rsidR="00325887" w:rsidRPr="00183EB9" w:rsidRDefault="00325887" w:rsidP="00FE4F5F">
            <w:pPr>
              <w:pStyle w:val="BodyText"/>
              <w:spacing w:after="0"/>
              <w:jc w:val="center"/>
              <w:rPr>
                <w:sz w:val="20"/>
                <w:lang w:val="es-ES"/>
              </w:rPr>
            </w:pPr>
            <w:r w:rsidRPr="00183EB9">
              <w:rPr>
                <w:sz w:val="20"/>
                <w:lang w:val="es-ES"/>
              </w:rPr>
              <w:t>3,00</w:t>
            </w:r>
          </w:p>
        </w:tc>
        <w:tc>
          <w:tcPr>
            <w:tcW w:w="699" w:type="dxa"/>
            <w:shd w:val="clear" w:color="auto" w:fill="auto"/>
            <w:vAlign w:val="center"/>
          </w:tcPr>
          <w:p w14:paraId="21352AA8" w14:textId="77777777" w:rsidR="00325887" w:rsidRPr="00183EB9" w:rsidRDefault="00325887" w:rsidP="00FE4F5F">
            <w:pPr>
              <w:pStyle w:val="BodyText"/>
              <w:spacing w:after="0"/>
              <w:jc w:val="center"/>
              <w:rPr>
                <w:sz w:val="20"/>
                <w:lang w:val="es-ES_tradnl"/>
              </w:rPr>
            </w:pPr>
            <w:r w:rsidRPr="00183EB9">
              <w:rPr>
                <w:sz w:val="20"/>
                <w:lang w:val="es-ES_tradnl"/>
              </w:rPr>
              <w:t>1,33</w:t>
            </w:r>
          </w:p>
        </w:tc>
        <w:tc>
          <w:tcPr>
            <w:tcW w:w="992" w:type="dxa"/>
            <w:shd w:val="clear" w:color="auto" w:fill="auto"/>
            <w:vAlign w:val="center"/>
          </w:tcPr>
          <w:p w14:paraId="0FB22B0D" w14:textId="77777777" w:rsidR="00325887" w:rsidRPr="00183EB9" w:rsidRDefault="00325887" w:rsidP="00FE4F5F">
            <w:pPr>
              <w:pStyle w:val="BodyText"/>
              <w:spacing w:after="0"/>
              <w:jc w:val="center"/>
              <w:rPr>
                <w:sz w:val="20"/>
                <w:lang w:val="es-ES_tradnl"/>
              </w:rPr>
            </w:pPr>
            <w:r w:rsidRPr="00183EB9">
              <w:rPr>
                <w:sz w:val="20"/>
                <w:lang w:val="es-ES_tradnl"/>
              </w:rPr>
              <w:t>23,33</w:t>
            </w:r>
          </w:p>
        </w:tc>
      </w:tr>
      <w:tr w:rsidR="00325887" w:rsidRPr="003618E2" w14:paraId="1FD509FE" w14:textId="77777777" w:rsidTr="00FE4F5F">
        <w:trPr>
          <w:jc w:val="center"/>
        </w:trPr>
        <w:tc>
          <w:tcPr>
            <w:tcW w:w="562" w:type="dxa"/>
            <w:vMerge/>
            <w:shd w:val="clear" w:color="auto" w:fill="FF81AB"/>
            <w:vAlign w:val="center"/>
          </w:tcPr>
          <w:p w14:paraId="1084C67C" w14:textId="77777777" w:rsidR="00325887" w:rsidRPr="00183EB9" w:rsidRDefault="00325887" w:rsidP="00FE4F5F">
            <w:pPr>
              <w:pStyle w:val="BodyText"/>
              <w:spacing w:after="0"/>
              <w:jc w:val="center"/>
              <w:rPr>
                <w:b/>
                <w:bCs/>
                <w:sz w:val="20"/>
                <w:lang w:val="es-ES"/>
              </w:rPr>
            </w:pPr>
          </w:p>
        </w:tc>
        <w:tc>
          <w:tcPr>
            <w:tcW w:w="2137" w:type="dxa"/>
            <w:vMerge/>
            <w:shd w:val="clear" w:color="auto" w:fill="auto"/>
            <w:vAlign w:val="center"/>
          </w:tcPr>
          <w:p w14:paraId="50BF2F41" w14:textId="77777777" w:rsidR="00325887" w:rsidRPr="00183EB9" w:rsidRDefault="00325887" w:rsidP="00FE4F5F">
            <w:pPr>
              <w:pStyle w:val="BodyText"/>
              <w:spacing w:after="0"/>
              <w:jc w:val="center"/>
              <w:rPr>
                <w:bCs/>
                <w:sz w:val="20"/>
                <w:lang w:val="es-ES"/>
              </w:rPr>
            </w:pPr>
          </w:p>
        </w:tc>
        <w:tc>
          <w:tcPr>
            <w:tcW w:w="1559" w:type="dxa"/>
            <w:shd w:val="clear" w:color="auto" w:fill="auto"/>
            <w:vAlign w:val="center"/>
          </w:tcPr>
          <w:p w14:paraId="5184B0E5" w14:textId="77777777" w:rsidR="00325887" w:rsidRPr="00183EB9" w:rsidRDefault="00325887" w:rsidP="00FE4F5F">
            <w:pPr>
              <w:pStyle w:val="BodyText"/>
              <w:spacing w:after="0"/>
              <w:jc w:val="center"/>
              <w:rPr>
                <w:bCs/>
                <w:sz w:val="20"/>
                <w:lang w:val="es-ES"/>
              </w:rPr>
            </w:pPr>
          </w:p>
        </w:tc>
        <w:tc>
          <w:tcPr>
            <w:tcW w:w="1560" w:type="dxa"/>
            <w:shd w:val="clear" w:color="auto" w:fill="auto"/>
            <w:vAlign w:val="center"/>
          </w:tcPr>
          <w:p w14:paraId="6A832AB0" w14:textId="77777777" w:rsidR="00325887" w:rsidRPr="00183EB9" w:rsidRDefault="00325887" w:rsidP="00FE4F5F">
            <w:pPr>
              <w:pStyle w:val="BodyText"/>
              <w:spacing w:after="0"/>
              <w:jc w:val="center"/>
              <w:rPr>
                <w:sz w:val="20"/>
                <w:lang w:val="es-ES"/>
              </w:rPr>
            </w:pPr>
            <w:r w:rsidRPr="00183EB9">
              <w:rPr>
                <w:sz w:val="20"/>
                <w:lang w:val="es-ES"/>
              </w:rPr>
              <w:t>Es importante contar con tecnologías avanzadas y no destructivas.</w:t>
            </w:r>
          </w:p>
        </w:tc>
        <w:tc>
          <w:tcPr>
            <w:tcW w:w="1984" w:type="dxa"/>
            <w:shd w:val="clear" w:color="auto" w:fill="auto"/>
            <w:vAlign w:val="center"/>
          </w:tcPr>
          <w:p w14:paraId="4509988D" w14:textId="77777777" w:rsidR="00325887" w:rsidRPr="00183EB9" w:rsidRDefault="00325887" w:rsidP="00FE4F5F">
            <w:pPr>
              <w:pStyle w:val="BodyText"/>
              <w:spacing w:after="0"/>
              <w:jc w:val="center"/>
              <w:rPr>
                <w:sz w:val="20"/>
                <w:lang w:val="es-ES"/>
              </w:rPr>
            </w:pPr>
            <w:r w:rsidRPr="00183EB9">
              <w:rPr>
                <w:sz w:val="20"/>
                <w:lang w:val="es-ES"/>
              </w:rPr>
              <w:t>En casos aislados en la región, se tienen implementadas algunas tecnologías con radiación, aplicadas a caracterización o preservación.</w:t>
            </w:r>
          </w:p>
        </w:tc>
        <w:tc>
          <w:tcPr>
            <w:tcW w:w="1843" w:type="dxa"/>
            <w:shd w:val="clear" w:color="auto" w:fill="auto"/>
            <w:vAlign w:val="center"/>
          </w:tcPr>
          <w:p w14:paraId="1C2E214E" w14:textId="77777777" w:rsidR="00325887" w:rsidRPr="00183EB9" w:rsidRDefault="00325887" w:rsidP="00FE4F5F">
            <w:pPr>
              <w:pStyle w:val="BodyText"/>
              <w:spacing w:after="0"/>
              <w:jc w:val="center"/>
              <w:rPr>
                <w:sz w:val="20"/>
                <w:lang w:val="es-ES"/>
              </w:rPr>
            </w:pPr>
            <w:r w:rsidRPr="00183EB9">
              <w:rPr>
                <w:sz w:val="20"/>
                <w:lang w:val="es-ES"/>
              </w:rPr>
              <w:t>Es importante la preservación del rico y basto patrimonio cultural de la región a costos competitivos.</w:t>
            </w:r>
          </w:p>
        </w:tc>
        <w:tc>
          <w:tcPr>
            <w:tcW w:w="1134" w:type="dxa"/>
            <w:shd w:val="clear" w:color="auto" w:fill="auto"/>
            <w:vAlign w:val="center"/>
          </w:tcPr>
          <w:p w14:paraId="30C07D23" w14:textId="77777777" w:rsidR="00325887" w:rsidRPr="00183EB9" w:rsidRDefault="00325887" w:rsidP="00FE4F5F">
            <w:pPr>
              <w:pStyle w:val="BodyText"/>
              <w:spacing w:after="0"/>
              <w:jc w:val="center"/>
              <w:rPr>
                <w:b/>
                <w:bCs/>
                <w:sz w:val="20"/>
                <w:lang w:val="es-ES"/>
              </w:rPr>
            </w:pPr>
          </w:p>
        </w:tc>
        <w:tc>
          <w:tcPr>
            <w:tcW w:w="1700" w:type="dxa"/>
            <w:shd w:val="clear" w:color="auto" w:fill="auto"/>
            <w:vAlign w:val="center"/>
          </w:tcPr>
          <w:p w14:paraId="638D6C59" w14:textId="77777777" w:rsidR="00325887" w:rsidRPr="00183EB9" w:rsidRDefault="00325887" w:rsidP="00FE4F5F">
            <w:pPr>
              <w:pStyle w:val="BodyText"/>
              <w:spacing w:after="0"/>
              <w:jc w:val="center"/>
              <w:rPr>
                <w:sz w:val="20"/>
                <w:lang w:val="es-ES"/>
              </w:rPr>
            </w:pPr>
            <w:r w:rsidRPr="00183EB9">
              <w:rPr>
                <w:sz w:val="20"/>
                <w:lang w:val="es-ES"/>
              </w:rPr>
              <w:t>Falta difusión de las tecnologías, infraestructura y capacitación de recursos humanos.</w:t>
            </w:r>
          </w:p>
        </w:tc>
        <w:tc>
          <w:tcPr>
            <w:tcW w:w="699" w:type="dxa"/>
            <w:shd w:val="clear" w:color="auto" w:fill="auto"/>
            <w:vAlign w:val="center"/>
          </w:tcPr>
          <w:p w14:paraId="43827ADB" w14:textId="77777777" w:rsidR="00325887" w:rsidRPr="00183EB9" w:rsidRDefault="00325887" w:rsidP="00FE4F5F">
            <w:pPr>
              <w:pStyle w:val="BodyText"/>
              <w:spacing w:after="0"/>
              <w:jc w:val="center"/>
              <w:rPr>
                <w:bCs/>
                <w:sz w:val="20"/>
                <w:lang w:val="es-ES"/>
              </w:rPr>
            </w:pPr>
          </w:p>
        </w:tc>
        <w:tc>
          <w:tcPr>
            <w:tcW w:w="992" w:type="dxa"/>
            <w:shd w:val="clear" w:color="auto" w:fill="auto"/>
            <w:vAlign w:val="center"/>
          </w:tcPr>
          <w:p w14:paraId="7FB00C4E" w14:textId="77777777" w:rsidR="00325887" w:rsidRPr="00183EB9" w:rsidRDefault="00325887" w:rsidP="00FE4F5F">
            <w:pPr>
              <w:pStyle w:val="BodyText"/>
              <w:spacing w:after="0"/>
              <w:jc w:val="center"/>
              <w:rPr>
                <w:b/>
                <w:bCs/>
                <w:sz w:val="20"/>
                <w:lang w:val="es-ES"/>
              </w:rPr>
            </w:pPr>
          </w:p>
        </w:tc>
      </w:tr>
      <w:tr w:rsidR="006D362C" w:rsidRPr="003618E2" w14:paraId="084D8E58" w14:textId="77777777" w:rsidTr="00183EB9">
        <w:trPr>
          <w:trHeight w:val="334"/>
          <w:jc w:val="center"/>
        </w:trPr>
        <w:tc>
          <w:tcPr>
            <w:tcW w:w="562" w:type="dxa"/>
            <w:vMerge w:val="restart"/>
            <w:shd w:val="clear" w:color="auto" w:fill="FF81AB"/>
            <w:vAlign w:val="center"/>
          </w:tcPr>
          <w:p w14:paraId="46891AB0" w14:textId="1748937F" w:rsidR="006D362C" w:rsidRPr="00183EB9" w:rsidRDefault="00325887" w:rsidP="00325887">
            <w:pPr>
              <w:pStyle w:val="BodyText"/>
              <w:spacing w:after="0"/>
              <w:jc w:val="center"/>
              <w:rPr>
                <w:b/>
                <w:sz w:val="20"/>
                <w:lang w:val="es-ES"/>
              </w:rPr>
            </w:pPr>
            <w:r>
              <w:rPr>
                <w:b/>
                <w:sz w:val="20"/>
                <w:lang w:val="es-ES"/>
              </w:rPr>
              <w:t>6</w:t>
            </w:r>
          </w:p>
        </w:tc>
        <w:tc>
          <w:tcPr>
            <w:tcW w:w="2137" w:type="dxa"/>
            <w:vMerge w:val="restart"/>
            <w:shd w:val="clear" w:color="auto" w:fill="auto"/>
            <w:vAlign w:val="center"/>
          </w:tcPr>
          <w:p w14:paraId="1E528836" w14:textId="791BB7EA" w:rsidR="00183EB9" w:rsidRPr="00183EB9" w:rsidRDefault="00183EB9" w:rsidP="00183EB9">
            <w:pPr>
              <w:pStyle w:val="BodyText"/>
              <w:spacing w:after="0"/>
              <w:jc w:val="center"/>
              <w:rPr>
                <w:iCs/>
                <w:sz w:val="20"/>
                <w:lang w:val="es-PE"/>
              </w:rPr>
            </w:pPr>
            <w:r w:rsidRPr="00183EB9">
              <w:rPr>
                <w:iCs/>
                <w:sz w:val="20"/>
                <w:lang w:val="es-PE"/>
              </w:rPr>
              <w:t>T4</w:t>
            </w:r>
          </w:p>
          <w:p w14:paraId="14D1ACFA" w14:textId="5F404F7D" w:rsidR="006D362C" w:rsidRPr="00183EB9" w:rsidRDefault="006D362C" w:rsidP="00183EB9">
            <w:pPr>
              <w:pStyle w:val="BodyText"/>
              <w:spacing w:after="0"/>
              <w:jc w:val="center"/>
              <w:rPr>
                <w:iCs/>
                <w:sz w:val="20"/>
                <w:lang w:val="es-PE"/>
              </w:rPr>
            </w:pPr>
            <w:r w:rsidRPr="00183EB9">
              <w:rPr>
                <w:iCs/>
                <w:sz w:val="20"/>
                <w:lang w:val="es-PE"/>
              </w:rPr>
              <w:t>Desarrollo</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materiales</w:t>
            </w:r>
            <w:r w:rsidR="00D136BB" w:rsidRPr="00183EB9">
              <w:rPr>
                <w:iCs/>
                <w:sz w:val="20"/>
                <w:lang w:val="es-PE"/>
              </w:rPr>
              <w:t xml:space="preserve"> </w:t>
            </w:r>
            <w:r w:rsidRPr="00183EB9">
              <w:rPr>
                <w:iCs/>
                <w:sz w:val="20"/>
                <w:lang w:val="es-PE"/>
              </w:rPr>
              <w:t>innovadores,</w:t>
            </w:r>
            <w:r w:rsidR="00D136BB" w:rsidRPr="00183EB9">
              <w:rPr>
                <w:iCs/>
                <w:sz w:val="20"/>
                <w:lang w:val="es-PE"/>
              </w:rPr>
              <w:t xml:space="preserve"> </w:t>
            </w:r>
            <w:r w:rsidRPr="00183EB9">
              <w:rPr>
                <w:iCs/>
                <w:sz w:val="20"/>
                <w:lang w:val="es-PE"/>
              </w:rPr>
              <w:t>competitivos</w:t>
            </w:r>
            <w:r w:rsidR="00D136BB" w:rsidRPr="00183EB9">
              <w:rPr>
                <w:iCs/>
                <w:sz w:val="20"/>
                <w:lang w:val="es-PE"/>
              </w:rPr>
              <w:t xml:space="preserve"> </w:t>
            </w:r>
            <w:r w:rsidRPr="00183EB9">
              <w:rPr>
                <w:iCs/>
                <w:sz w:val="20"/>
                <w:lang w:val="es-PE"/>
              </w:rPr>
              <w:t>y</w:t>
            </w:r>
            <w:r w:rsidR="00D136BB" w:rsidRPr="00183EB9">
              <w:rPr>
                <w:iCs/>
                <w:sz w:val="20"/>
                <w:lang w:val="es-PE"/>
              </w:rPr>
              <w:t xml:space="preserve"> </w:t>
            </w:r>
            <w:r w:rsidRPr="00183EB9">
              <w:rPr>
                <w:iCs/>
                <w:sz w:val="20"/>
                <w:lang w:val="es-PE"/>
              </w:rPr>
              <w:t>amigables</w:t>
            </w:r>
            <w:r w:rsidR="00D136BB" w:rsidRPr="00183EB9">
              <w:rPr>
                <w:iCs/>
                <w:sz w:val="20"/>
                <w:lang w:val="es-PE"/>
              </w:rPr>
              <w:t xml:space="preserve"> </w:t>
            </w:r>
            <w:r w:rsidRPr="00183EB9">
              <w:rPr>
                <w:iCs/>
                <w:sz w:val="20"/>
                <w:lang w:val="es-PE"/>
              </w:rPr>
              <w:t>con</w:t>
            </w:r>
            <w:r w:rsidR="00D136BB" w:rsidRPr="00183EB9">
              <w:rPr>
                <w:iCs/>
                <w:sz w:val="20"/>
                <w:lang w:val="es-PE"/>
              </w:rPr>
              <w:t xml:space="preserve"> </w:t>
            </w:r>
            <w:r w:rsidRPr="00183EB9">
              <w:rPr>
                <w:iCs/>
                <w:sz w:val="20"/>
                <w:lang w:val="es-PE"/>
              </w:rPr>
              <w:t>el</w:t>
            </w:r>
            <w:r w:rsidR="00D136BB" w:rsidRPr="00183EB9">
              <w:rPr>
                <w:iCs/>
                <w:sz w:val="20"/>
                <w:lang w:val="es-PE"/>
              </w:rPr>
              <w:t xml:space="preserve"> </w:t>
            </w:r>
            <w:r w:rsidRPr="00183EB9">
              <w:rPr>
                <w:iCs/>
                <w:sz w:val="20"/>
                <w:lang w:val="es-PE"/>
              </w:rPr>
              <w:t>medio</w:t>
            </w:r>
            <w:r w:rsidR="00D136BB" w:rsidRPr="00183EB9">
              <w:rPr>
                <w:iCs/>
                <w:sz w:val="20"/>
                <w:lang w:val="es-PE"/>
              </w:rPr>
              <w:t xml:space="preserve"> </w:t>
            </w:r>
            <w:r w:rsidRPr="00183EB9">
              <w:rPr>
                <w:iCs/>
                <w:sz w:val="20"/>
                <w:lang w:val="es-PE"/>
              </w:rPr>
              <w:t>ambiente</w:t>
            </w:r>
            <w:r w:rsidR="00D136BB" w:rsidRPr="00183EB9">
              <w:rPr>
                <w:iCs/>
                <w:sz w:val="20"/>
                <w:lang w:val="es-PE"/>
              </w:rPr>
              <w:t xml:space="preserve"> </w:t>
            </w:r>
            <w:r w:rsidRPr="00183EB9">
              <w:rPr>
                <w:iCs/>
                <w:sz w:val="20"/>
                <w:lang w:val="es-PE"/>
              </w:rPr>
              <w:t>para</w:t>
            </w:r>
            <w:r w:rsidR="00D136BB" w:rsidRPr="00183EB9">
              <w:rPr>
                <w:iCs/>
                <w:sz w:val="20"/>
                <w:lang w:val="es-PE"/>
              </w:rPr>
              <w:t xml:space="preserve"> </w:t>
            </w:r>
            <w:r w:rsidRPr="00183EB9">
              <w:rPr>
                <w:iCs/>
                <w:sz w:val="20"/>
                <w:lang w:val="es-PE"/>
              </w:rPr>
              <w:t>la</w:t>
            </w:r>
            <w:r w:rsidR="00D136BB" w:rsidRPr="00183EB9">
              <w:rPr>
                <w:iCs/>
                <w:sz w:val="20"/>
                <w:lang w:val="es-PE"/>
              </w:rPr>
              <w:t xml:space="preserve"> </w:t>
            </w:r>
            <w:r w:rsidRPr="00183EB9">
              <w:rPr>
                <w:iCs/>
                <w:sz w:val="20"/>
                <w:lang w:val="es-PE"/>
              </w:rPr>
              <w:t>salud,</w:t>
            </w:r>
            <w:r w:rsidR="00D136BB" w:rsidRPr="00183EB9">
              <w:rPr>
                <w:iCs/>
                <w:sz w:val="20"/>
                <w:lang w:val="es-PE"/>
              </w:rPr>
              <w:t xml:space="preserve"> </w:t>
            </w:r>
            <w:r w:rsidRPr="00183EB9">
              <w:rPr>
                <w:iCs/>
                <w:sz w:val="20"/>
                <w:lang w:val="es-PE"/>
              </w:rPr>
              <w:t>agricultura</w:t>
            </w:r>
            <w:r w:rsidR="00D136BB" w:rsidRPr="00183EB9">
              <w:rPr>
                <w:iCs/>
                <w:sz w:val="20"/>
                <w:lang w:val="es-PE"/>
              </w:rPr>
              <w:t xml:space="preserve"> </w:t>
            </w:r>
            <w:r w:rsidRPr="00183EB9">
              <w:rPr>
                <w:iCs/>
                <w:sz w:val="20"/>
                <w:lang w:val="es-PE"/>
              </w:rPr>
              <w:t>e</w:t>
            </w:r>
            <w:r w:rsidR="00D136BB" w:rsidRPr="00183EB9">
              <w:rPr>
                <w:iCs/>
                <w:sz w:val="20"/>
                <w:lang w:val="es-PE"/>
              </w:rPr>
              <w:t xml:space="preserve"> </w:t>
            </w:r>
            <w:r w:rsidRPr="00183EB9">
              <w:rPr>
                <w:iCs/>
                <w:sz w:val="20"/>
                <w:lang w:val="es-PE"/>
              </w:rPr>
              <w:t>industria,</w:t>
            </w:r>
            <w:r w:rsidR="00D136BB" w:rsidRPr="00183EB9">
              <w:rPr>
                <w:iCs/>
                <w:sz w:val="20"/>
                <w:lang w:val="es-PE"/>
              </w:rPr>
              <w:t xml:space="preserve"> </w:t>
            </w:r>
            <w:r w:rsidRPr="00183EB9">
              <w:rPr>
                <w:iCs/>
                <w:sz w:val="20"/>
                <w:lang w:val="es-PE"/>
              </w:rPr>
              <w:t>empleando</w:t>
            </w:r>
            <w:r w:rsidR="00D136BB" w:rsidRPr="00183EB9">
              <w:rPr>
                <w:iCs/>
                <w:sz w:val="20"/>
                <w:lang w:val="es-PE"/>
              </w:rPr>
              <w:t xml:space="preserve"> </w:t>
            </w:r>
            <w:r w:rsidRPr="00183EB9">
              <w:rPr>
                <w:iCs/>
                <w:sz w:val="20"/>
                <w:lang w:val="es-PE"/>
              </w:rPr>
              <w:t>tecnologías</w:t>
            </w:r>
            <w:r w:rsidR="00D136BB" w:rsidRPr="00183EB9">
              <w:rPr>
                <w:iCs/>
                <w:sz w:val="20"/>
                <w:lang w:val="es-PE"/>
              </w:rPr>
              <w:t xml:space="preserve"> </w:t>
            </w:r>
            <w:r w:rsidRPr="00183EB9">
              <w:rPr>
                <w:iCs/>
                <w:sz w:val="20"/>
                <w:lang w:val="es-PE"/>
              </w:rPr>
              <w:t>con</w:t>
            </w:r>
            <w:r w:rsidR="00D136BB" w:rsidRPr="00183EB9">
              <w:rPr>
                <w:iCs/>
                <w:sz w:val="20"/>
                <w:lang w:val="es-PE"/>
              </w:rPr>
              <w:t xml:space="preserve"> </w:t>
            </w:r>
            <w:r w:rsidRPr="00183EB9">
              <w:rPr>
                <w:iCs/>
                <w:sz w:val="20"/>
                <w:lang w:val="es-PE"/>
              </w:rPr>
              <w:t>radiación</w:t>
            </w:r>
            <w:r w:rsidR="00D136BB" w:rsidRPr="00183EB9">
              <w:rPr>
                <w:iCs/>
                <w:sz w:val="20"/>
                <w:lang w:val="es-PE"/>
              </w:rPr>
              <w:t xml:space="preserve"> </w:t>
            </w:r>
            <w:r w:rsidRPr="00183EB9">
              <w:rPr>
                <w:iCs/>
                <w:sz w:val="20"/>
                <w:lang w:val="es-PE"/>
              </w:rPr>
              <w:t>(nanotecnología,</w:t>
            </w:r>
            <w:r w:rsidR="00D136BB" w:rsidRPr="00183EB9">
              <w:rPr>
                <w:iCs/>
                <w:sz w:val="20"/>
                <w:lang w:val="es-PE"/>
              </w:rPr>
              <w:t xml:space="preserve"> </w:t>
            </w:r>
            <w:r w:rsidRPr="00183EB9">
              <w:rPr>
                <w:iCs/>
                <w:sz w:val="20"/>
                <w:lang w:val="es-PE"/>
              </w:rPr>
              <w:t>materiales</w:t>
            </w:r>
            <w:r w:rsidR="00D136BB" w:rsidRPr="00183EB9">
              <w:rPr>
                <w:iCs/>
                <w:sz w:val="20"/>
                <w:lang w:val="es-PE"/>
              </w:rPr>
              <w:t xml:space="preserve"> </w:t>
            </w:r>
            <w:r w:rsidRPr="00183EB9">
              <w:rPr>
                <w:iCs/>
                <w:sz w:val="20"/>
                <w:lang w:val="es-PE"/>
              </w:rPr>
              <w:t>compuestos,</w:t>
            </w:r>
            <w:r w:rsidR="00D136BB" w:rsidRPr="00183EB9">
              <w:rPr>
                <w:iCs/>
                <w:sz w:val="20"/>
                <w:lang w:val="es-PE"/>
              </w:rPr>
              <w:t xml:space="preserve">  </w:t>
            </w:r>
            <w:r w:rsidRPr="00183EB9">
              <w:rPr>
                <w:iCs/>
                <w:sz w:val="20"/>
                <w:lang w:val="es-PE"/>
              </w:rPr>
              <w:t>nuevas</w:t>
            </w:r>
            <w:r w:rsidR="00D136BB" w:rsidRPr="00183EB9">
              <w:rPr>
                <w:iCs/>
                <w:sz w:val="20"/>
                <w:lang w:val="es-PE"/>
              </w:rPr>
              <w:t xml:space="preserve"> </w:t>
            </w:r>
            <w:r w:rsidRPr="00183EB9">
              <w:rPr>
                <w:iCs/>
                <w:sz w:val="20"/>
                <w:lang w:val="es-PE"/>
              </w:rPr>
              <w:t>fórmulas</w:t>
            </w:r>
            <w:r w:rsidR="00D136BB" w:rsidRPr="00183EB9">
              <w:rPr>
                <w:iCs/>
                <w:sz w:val="20"/>
                <w:lang w:val="es-PE"/>
              </w:rPr>
              <w:t xml:space="preserve"> </w:t>
            </w:r>
            <w:r w:rsidRPr="00183EB9">
              <w:rPr>
                <w:iCs/>
                <w:sz w:val="20"/>
                <w:lang w:val="es-PE"/>
              </w:rPr>
              <w:t>curables,</w:t>
            </w:r>
            <w:r w:rsidR="00D136BB" w:rsidRPr="00183EB9">
              <w:rPr>
                <w:iCs/>
                <w:sz w:val="20"/>
                <w:lang w:val="es-PE"/>
              </w:rPr>
              <w:t xml:space="preserve"> </w:t>
            </w:r>
            <w:r w:rsidRPr="00183EB9">
              <w:rPr>
                <w:iCs/>
                <w:sz w:val="20"/>
                <w:lang w:val="es-PE"/>
              </w:rPr>
              <w:t>etc)</w:t>
            </w:r>
          </w:p>
        </w:tc>
        <w:tc>
          <w:tcPr>
            <w:tcW w:w="1559" w:type="dxa"/>
            <w:shd w:val="clear" w:color="auto" w:fill="auto"/>
            <w:vAlign w:val="center"/>
          </w:tcPr>
          <w:p w14:paraId="4AE5C0E5" w14:textId="77777777" w:rsidR="006D362C" w:rsidRPr="00183EB9" w:rsidRDefault="006D362C" w:rsidP="00183EB9">
            <w:pPr>
              <w:pStyle w:val="BodyText"/>
              <w:spacing w:after="0"/>
              <w:jc w:val="center"/>
              <w:rPr>
                <w:bCs/>
                <w:sz w:val="20"/>
                <w:lang w:val="es-ES"/>
              </w:rPr>
            </w:pPr>
            <w:r w:rsidRPr="00183EB9">
              <w:rPr>
                <w:bCs/>
                <w:sz w:val="20"/>
                <w:lang w:val="es-ES"/>
              </w:rPr>
              <w:t>3,5</w:t>
            </w:r>
          </w:p>
        </w:tc>
        <w:tc>
          <w:tcPr>
            <w:tcW w:w="1560" w:type="dxa"/>
            <w:shd w:val="clear" w:color="auto" w:fill="auto"/>
            <w:vAlign w:val="center"/>
          </w:tcPr>
          <w:p w14:paraId="6B25F55E" w14:textId="77777777" w:rsidR="006D362C" w:rsidRPr="00183EB9" w:rsidRDefault="006D362C" w:rsidP="00183EB9">
            <w:pPr>
              <w:pStyle w:val="BodyText"/>
              <w:spacing w:after="0"/>
              <w:jc w:val="center"/>
              <w:rPr>
                <w:sz w:val="20"/>
                <w:lang w:val="es-ES"/>
              </w:rPr>
            </w:pPr>
            <w:r w:rsidRPr="00183EB9">
              <w:rPr>
                <w:sz w:val="20"/>
                <w:lang w:val="es-ES"/>
              </w:rPr>
              <w:t>4,00</w:t>
            </w:r>
          </w:p>
        </w:tc>
        <w:tc>
          <w:tcPr>
            <w:tcW w:w="1984" w:type="dxa"/>
            <w:shd w:val="clear" w:color="auto" w:fill="auto"/>
            <w:vAlign w:val="center"/>
          </w:tcPr>
          <w:p w14:paraId="2A4311BC" w14:textId="77777777" w:rsidR="006D362C" w:rsidRPr="00183EB9" w:rsidRDefault="006D362C" w:rsidP="00183EB9">
            <w:pPr>
              <w:pStyle w:val="BodyText"/>
              <w:spacing w:after="0"/>
              <w:jc w:val="center"/>
              <w:rPr>
                <w:sz w:val="20"/>
                <w:lang w:val="es-ES"/>
              </w:rPr>
            </w:pPr>
            <w:r w:rsidRPr="00183EB9">
              <w:rPr>
                <w:sz w:val="20"/>
                <w:lang w:val="es-ES"/>
              </w:rPr>
              <w:t>4,50</w:t>
            </w:r>
          </w:p>
        </w:tc>
        <w:tc>
          <w:tcPr>
            <w:tcW w:w="1843" w:type="dxa"/>
            <w:shd w:val="clear" w:color="auto" w:fill="auto"/>
            <w:vAlign w:val="center"/>
          </w:tcPr>
          <w:p w14:paraId="6A0C1310" w14:textId="77777777" w:rsidR="006D362C" w:rsidRPr="00183EB9" w:rsidRDefault="006D362C" w:rsidP="00183EB9">
            <w:pPr>
              <w:pStyle w:val="BodyText"/>
              <w:spacing w:after="0"/>
              <w:jc w:val="center"/>
              <w:rPr>
                <w:sz w:val="20"/>
                <w:lang w:val="es-ES"/>
              </w:rPr>
            </w:pPr>
            <w:r w:rsidRPr="00183EB9">
              <w:rPr>
                <w:sz w:val="20"/>
                <w:lang w:val="es-ES"/>
              </w:rPr>
              <w:t>3,50</w:t>
            </w:r>
          </w:p>
        </w:tc>
        <w:tc>
          <w:tcPr>
            <w:tcW w:w="1134" w:type="dxa"/>
            <w:shd w:val="clear" w:color="auto" w:fill="auto"/>
            <w:vAlign w:val="center"/>
          </w:tcPr>
          <w:p w14:paraId="6C444EBC" w14:textId="77777777" w:rsidR="006D362C" w:rsidRPr="00183EB9" w:rsidRDefault="006D362C" w:rsidP="00183EB9">
            <w:pPr>
              <w:pStyle w:val="BodyText"/>
              <w:spacing w:after="0"/>
              <w:jc w:val="center"/>
              <w:rPr>
                <w:sz w:val="20"/>
                <w:lang w:val="es-ES_tradnl"/>
              </w:rPr>
            </w:pPr>
            <w:r w:rsidRPr="00183EB9">
              <w:rPr>
                <w:sz w:val="20"/>
                <w:lang w:val="es-ES_tradnl"/>
              </w:rPr>
              <w:t>15,50</w:t>
            </w:r>
          </w:p>
        </w:tc>
        <w:tc>
          <w:tcPr>
            <w:tcW w:w="1700" w:type="dxa"/>
            <w:shd w:val="clear" w:color="auto" w:fill="auto"/>
            <w:vAlign w:val="center"/>
          </w:tcPr>
          <w:p w14:paraId="138D8127" w14:textId="77777777" w:rsidR="006D362C" w:rsidRPr="00183EB9" w:rsidRDefault="006D362C" w:rsidP="00183EB9">
            <w:pPr>
              <w:pStyle w:val="BodyText"/>
              <w:spacing w:after="0"/>
              <w:jc w:val="center"/>
              <w:rPr>
                <w:sz w:val="20"/>
                <w:lang w:val="es-ES"/>
              </w:rPr>
            </w:pPr>
            <w:r w:rsidRPr="00183EB9">
              <w:rPr>
                <w:sz w:val="20"/>
                <w:lang w:val="es-ES"/>
              </w:rPr>
              <w:t>4,00</w:t>
            </w:r>
          </w:p>
        </w:tc>
        <w:tc>
          <w:tcPr>
            <w:tcW w:w="699" w:type="dxa"/>
            <w:shd w:val="clear" w:color="auto" w:fill="auto"/>
            <w:vAlign w:val="center"/>
          </w:tcPr>
          <w:p w14:paraId="36A07C93" w14:textId="77777777" w:rsidR="006D362C" w:rsidRPr="00183EB9" w:rsidRDefault="006D362C" w:rsidP="00183EB9">
            <w:pPr>
              <w:pStyle w:val="BodyText"/>
              <w:spacing w:after="0"/>
              <w:jc w:val="center"/>
              <w:rPr>
                <w:sz w:val="20"/>
                <w:lang w:val="es-ES_tradnl"/>
              </w:rPr>
            </w:pPr>
            <w:r w:rsidRPr="00183EB9">
              <w:rPr>
                <w:sz w:val="20"/>
                <w:lang w:val="es-ES_tradnl"/>
              </w:rPr>
              <w:t>0,88</w:t>
            </w:r>
          </w:p>
        </w:tc>
        <w:tc>
          <w:tcPr>
            <w:tcW w:w="992" w:type="dxa"/>
            <w:shd w:val="clear" w:color="auto" w:fill="auto"/>
            <w:vAlign w:val="center"/>
          </w:tcPr>
          <w:p w14:paraId="45D7F136" w14:textId="77777777" w:rsidR="006D362C" w:rsidRPr="00183EB9" w:rsidRDefault="006D362C" w:rsidP="00183EB9">
            <w:pPr>
              <w:pStyle w:val="BodyText"/>
              <w:spacing w:after="0"/>
              <w:jc w:val="center"/>
              <w:rPr>
                <w:sz w:val="20"/>
                <w:lang w:val="es-ES_tradnl"/>
              </w:rPr>
            </w:pPr>
            <w:r w:rsidRPr="00183EB9">
              <w:rPr>
                <w:sz w:val="20"/>
                <w:lang w:val="es-ES_tradnl"/>
              </w:rPr>
              <w:t>13,56</w:t>
            </w:r>
          </w:p>
        </w:tc>
      </w:tr>
      <w:tr w:rsidR="006D362C" w:rsidRPr="003618E2" w14:paraId="0ACC5CE5" w14:textId="77777777" w:rsidTr="00183EB9">
        <w:trPr>
          <w:trHeight w:val="987"/>
          <w:jc w:val="center"/>
        </w:trPr>
        <w:tc>
          <w:tcPr>
            <w:tcW w:w="562" w:type="dxa"/>
            <w:vMerge/>
            <w:shd w:val="clear" w:color="auto" w:fill="FF81AB"/>
            <w:vAlign w:val="center"/>
          </w:tcPr>
          <w:p w14:paraId="225A84C3" w14:textId="77777777" w:rsidR="006D362C" w:rsidRPr="00183EB9" w:rsidRDefault="006D362C" w:rsidP="00325887">
            <w:pPr>
              <w:pStyle w:val="BodyText"/>
              <w:spacing w:after="0"/>
              <w:jc w:val="center"/>
              <w:rPr>
                <w:b/>
                <w:sz w:val="20"/>
                <w:lang w:val="es-ES"/>
              </w:rPr>
            </w:pPr>
          </w:p>
        </w:tc>
        <w:tc>
          <w:tcPr>
            <w:tcW w:w="2137" w:type="dxa"/>
            <w:vMerge/>
            <w:shd w:val="clear" w:color="auto" w:fill="auto"/>
            <w:vAlign w:val="center"/>
          </w:tcPr>
          <w:p w14:paraId="05A3E890" w14:textId="77777777" w:rsidR="006D362C" w:rsidRPr="00183EB9" w:rsidRDefault="006D362C" w:rsidP="00183EB9">
            <w:pPr>
              <w:pStyle w:val="BodyText"/>
              <w:spacing w:after="0"/>
              <w:jc w:val="center"/>
              <w:rPr>
                <w:bCs/>
                <w:sz w:val="20"/>
                <w:lang w:val="es-ES"/>
              </w:rPr>
            </w:pPr>
          </w:p>
        </w:tc>
        <w:tc>
          <w:tcPr>
            <w:tcW w:w="1559" w:type="dxa"/>
            <w:shd w:val="clear" w:color="auto" w:fill="auto"/>
            <w:vAlign w:val="center"/>
          </w:tcPr>
          <w:p w14:paraId="7C1D86DE" w14:textId="15580E2E" w:rsidR="006D362C" w:rsidRPr="00183EB9" w:rsidRDefault="006D362C" w:rsidP="00183EB9">
            <w:pPr>
              <w:pStyle w:val="BodyText"/>
              <w:spacing w:after="0"/>
              <w:jc w:val="center"/>
              <w:rPr>
                <w:bCs/>
                <w:sz w:val="20"/>
                <w:lang w:val="es-ES"/>
              </w:rPr>
            </w:pPr>
            <w:r w:rsidRPr="00183EB9">
              <w:rPr>
                <w:bCs/>
                <w:sz w:val="20"/>
                <w:lang w:val="es-ES"/>
              </w:rPr>
              <w:t>No</w:t>
            </w:r>
            <w:r w:rsidR="00D136BB" w:rsidRPr="00183EB9">
              <w:rPr>
                <w:bCs/>
                <w:sz w:val="20"/>
                <w:lang w:val="es-ES"/>
              </w:rPr>
              <w:t xml:space="preserve"> </w:t>
            </w:r>
            <w:r w:rsidRPr="00183EB9">
              <w:rPr>
                <w:bCs/>
                <w:sz w:val="20"/>
                <w:lang w:val="es-ES"/>
              </w:rPr>
              <w:t>se</w:t>
            </w:r>
            <w:r w:rsidR="00D136BB" w:rsidRPr="00183EB9">
              <w:rPr>
                <w:bCs/>
                <w:sz w:val="20"/>
                <w:lang w:val="es-ES"/>
              </w:rPr>
              <w:t xml:space="preserve"> </w:t>
            </w:r>
            <w:r w:rsidRPr="00183EB9">
              <w:rPr>
                <w:bCs/>
                <w:sz w:val="20"/>
                <w:lang w:val="es-ES"/>
              </w:rPr>
              <w:t>cuenta</w:t>
            </w:r>
            <w:r w:rsidR="00D136BB" w:rsidRPr="00183EB9">
              <w:rPr>
                <w:bCs/>
                <w:sz w:val="20"/>
                <w:lang w:val="es-ES"/>
              </w:rPr>
              <w:t xml:space="preserve"> </w:t>
            </w:r>
            <w:r w:rsidRPr="00183EB9">
              <w:rPr>
                <w:bCs/>
                <w:sz w:val="20"/>
                <w:lang w:val="es-ES"/>
              </w:rPr>
              <w:t>con</w:t>
            </w:r>
            <w:r w:rsidR="00D136BB" w:rsidRPr="00183EB9">
              <w:rPr>
                <w:bCs/>
                <w:sz w:val="20"/>
                <w:lang w:val="es-ES"/>
              </w:rPr>
              <w:t xml:space="preserve"> </w:t>
            </w:r>
            <w:r w:rsidRPr="00183EB9">
              <w:rPr>
                <w:bCs/>
                <w:sz w:val="20"/>
                <w:lang w:val="es-ES"/>
              </w:rPr>
              <w:t>un</w:t>
            </w:r>
            <w:r w:rsidR="00D136BB" w:rsidRPr="00183EB9">
              <w:rPr>
                <w:bCs/>
                <w:sz w:val="20"/>
                <w:lang w:val="es-ES"/>
              </w:rPr>
              <w:t xml:space="preserve"> </w:t>
            </w:r>
            <w:r w:rsidRPr="00183EB9">
              <w:rPr>
                <w:bCs/>
                <w:sz w:val="20"/>
                <w:lang w:val="es-ES"/>
              </w:rPr>
              <w:t>procedimiento</w:t>
            </w:r>
            <w:r w:rsidR="00D136BB" w:rsidRPr="00183EB9">
              <w:rPr>
                <w:bCs/>
                <w:sz w:val="20"/>
                <w:lang w:val="es-ES"/>
              </w:rPr>
              <w:t xml:space="preserve"> </w:t>
            </w:r>
            <w:r w:rsidRPr="00183EB9">
              <w:rPr>
                <w:bCs/>
                <w:sz w:val="20"/>
                <w:lang w:val="es-ES"/>
              </w:rPr>
              <w:t>estandarizado</w:t>
            </w:r>
            <w:r w:rsidR="00D136BB" w:rsidRPr="00183EB9">
              <w:rPr>
                <w:bCs/>
                <w:sz w:val="20"/>
                <w:lang w:val="es-ES"/>
              </w:rPr>
              <w:t xml:space="preserve"> </w:t>
            </w:r>
            <w:r w:rsidRPr="00183EB9">
              <w:rPr>
                <w:bCs/>
                <w:sz w:val="20"/>
                <w:lang w:val="es-ES"/>
              </w:rPr>
              <w:t>para</w:t>
            </w:r>
            <w:r w:rsidR="00D136BB" w:rsidRPr="00183EB9">
              <w:rPr>
                <w:bCs/>
                <w:sz w:val="20"/>
                <w:lang w:val="es-ES"/>
              </w:rPr>
              <w:t xml:space="preserve"> </w:t>
            </w:r>
            <w:r w:rsidRPr="00183EB9">
              <w:rPr>
                <w:bCs/>
                <w:sz w:val="20"/>
                <w:lang w:val="es-ES"/>
              </w:rPr>
              <w:t>la</w:t>
            </w:r>
            <w:r w:rsidR="00D136BB" w:rsidRPr="00183EB9">
              <w:rPr>
                <w:bCs/>
                <w:sz w:val="20"/>
                <w:lang w:val="es-ES"/>
              </w:rPr>
              <w:t xml:space="preserve"> </w:t>
            </w:r>
            <w:r w:rsidRPr="00183EB9">
              <w:rPr>
                <w:bCs/>
                <w:sz w:val="20"/>
                <w:lang w:val="es-ES"/>
              </w:rPr>
              <w:t>capacitación</w:t>
            </w:r>
            <w:r w:rsidR="00D136BB" w:rsidRPr="00183EB9">
              <w:rPr>
                <w:bCs/>
                <w:sz w:val="20"/>
                <w:lang w:val="es-ES"/>
              </w:rPr>
              <w:t xml:space="preserve"> </w:t>
            </w:r>
            <w:r w:rsidRPr="00183EB9">
              <w:rPr>
                <w:bCs/>
                <w:sz w:val="20"/>
                <w:lang w:val="es-ES"/>
              </w:rPr>
              <w:t>del</w:t>
            </w:r>
            <w:r w:rsidR="00D136BB" w:rsidRPr="00183EB9">
              <w:rPr>
                <w:bCs/>
                <w:sz w:val="20"/>
                <w:lang w:val="es-ES"/>
              </w:rPr>
              <w:t xml:space="preserve"> </w:t>
            </w:r>
            <w:r w:rsidRPr="00183EB9">
              <w:rPr>
                <w:bCs/>
                <w:sz w:val="20"/>
                <w:lang w:val="es-ES"/>
              </w:rPr>
              <w:t>personal</w:t>
            </w:r>
            <w:r w:rsidR="00D136BB" w:rsidRPr="00183EB9">
              <w:rPr>
                <w:bCs/>
                <w:sz w:val="20"/>
                <w:lang w:val="es-ES"/>
              </w:rPr>
              <w:t xml:space="preserve"> </w:t>
            </w:r>
            <w:r w:rsidRPr="00183EB9">
              <w:rPr>
                <w:bCs/>
                <w:sz w:val="20"/>
                <w:lang w:val="es-ES"/>
              </w:rPr>
              <w:t>en</w:t>
            </w:r>
            <w:r w:rsidR="00D136BB" w:rsidRPr="00183EB9">
              <w:rPr>
                <w:bCs/>
                <w:sz w:val="20"/>
                <w:lang w:val="es-ES"/>
              </w:rPr>
              <w:t xml:space="preserve"> </w:t>
            </w:r>
            <w:r w:rsidRPr="00183EB9">
              <w:rPr>
                <w:bCs/>
                <w:sz w:val="20"/>
                <w:lang w:val="es-ES"/>
              </w:rPr>
              <w:t>la</w:t>
            </w:r>
            <w:r w:rsidR="00D136BB" w:rsidRPr="00183EB9">
              <w:rPr>
                <w:bCs/>
                <w:sz w:val="20"/>
                <w:lang w:val="es-ES"/>
              </w:rPr>
              <w:t xml:space="preserve"> </w:t>
            </w:r>
            <w:r w:rsidRPr="00183EB9">
              <w:rPr>
                <w:bCs/>
                <w:sz w:val="20"/>
                <w:lang w:val="es-ES"/>
              </w:rPr>
              <w:t>región.</w:t>
            </w:r>
          </w:p>
        </w:tc>
        <w:tc>
          <w:tcPr>
            <w:tcW w:w="1560" w:type="dxa"/>
            <w:shd w:val="clear" w:color="auto" w:fill="auto"/>
            <w:vAlign w:val="center"/>
          </w:tcPr>
          <w:p w14:paraId="13CBF973" w14:textId="659795C3" w:rsidR="006D362C" w:rsidRPr="00183EB9" w:rsidRDefault="006D362C" w:rsidP="00183EB9">
            <w:pPr>
              <w:pStyle w:val="BodyText"/>
              <w:spacing w:after="0"/>
              <w:jc w:val="center"/>
              <w:rPr>
                <w:sz w:val="20"/>
                <w:lang w:val="es-ES"/>
              </w:rPr>
            </w:pPr>
            <w:r w:rsidRPr="00183EB9">
              <w:rPr>
                <w:sz w:val="20"/>
                <w:lang w:val="es-ES"/>
              </w:rPr>
              <w:t>En</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medida</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que</w:t>
            </w:r>
            <w:r w:rsidR="00D136BB" w:rsidRPr="00183EB9">
              <w:rPr>
                <w:sz w:val="20"/>
                <w:lang w:val="es-ES"/>
              </w:rPr>
              <w:t xml:space="preserve"> </w:t>
            </w:r>
            <w:r w:rsidRPr="00183EB9">
              <w:rPr>
                <w:sz w:val="20"/>
                <w:lang w:val="es-ES"/>
              </w:rPr>
              <w:t>se</w:t>
            </w:r>
            <w:r w:rsidR="00D136BB" w:rsidRPr="00183EB9">
              <w:rPr>
                <w:sz w:val="20"/>
                <w:lang w:val="es-ES"/>
              </w:rPr>
              <w:t xml:space="preserve"> </w:t>
            </w:r>
            <w:r w:rsidRPr="00183EB9">
              <w:rPr>
                <w:sz w:val="20"/>
                <w:lang w:val="es-ES"/>
              </w:rPr>
              <w:t>cuente</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personal</w:t>
            </w:r>
            <w:r w:rsidR="00D136BB" w:rsidRPr="00183EB9">
              <w:rPr>
                <w:sz w:val="20"/>
                <w:lang w:val="es-ES"/>
              </w:rPr>
              <w:t xml:space="preserve"> </w:t>
            </w:r>
            <w:r w:rsidRPr="00183EB9">
              <w:rPr>
                <w:sz w:val="20"/>
                <w:lang w:val="es-ES"/>
              </w:rPr>
              <w:t>calificado,</w:t>
            </w:r>
            <w:r w:rsidR="00D136BB" w:rsidRPr="00183EB9">
              <w:rPr>
                <w:sz w:val="20"/>
                <w:lang w:val="es-ES"/>
              </w:rPr>
              <w:t xml:space="preserve"> </w:t>
            </w:r>
            <w:r w:rsidRPr="00183EB9">
              <w:rPr>
                <w:sz w:val="20"/>
                <w:lang w:val="es-ES"/>
              </w:rPr>
              <w:t>se</w:t>
            </w:r>
            <w:r w:rsidR="00D136BB" w:rsidRPr="00183EB9">
              <w:rPr>
                <w:sz w:val="20"/>
                <w:lang w:val="es-ES"/>
              </w:rPr>
              <w:t xml:space="preserve"> </w:t>
            </w:r>
            <w:r w:rsidRPr="00183EB9">
              <w:rPr>
                <w:sz w:val="20"/>
                <w:lang w:val="es-ES"/>
              </w:rPr>
              <w:t>mejorará</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eficiencia</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los</w:t>
            </w:r>
            <w:r w:rsidR="00D136BB" w:rsidRPr="00183EB9">
              <w:rPr>
                <w:sz w:val="20"/>
                <w:lang w:val="es-ES"/>
              </w:rPr>
              <w:t xml:space="preserve"> </w:t>
            </w:r>
            <w:r w:rsidRPr="00183EB9">
              <w:rPr>
                <w:sz w:val="20"/>
                <w:lang w:val="es-ES"/>
              </w:rPr>
              <w:t>beneficios</w:t>
            </w:r>
            <w:r w:rsidR="00D136BB" w:rsidRPr="00183EB9">
              <w:rPr>
                <w:sz w:val="20"/>
                <w:lang w:val="es-ES"/>
              </w:rPr>
              <w:t xml:space="preserve"> </w:t>
            </w:r>
            <w:r w:rsidRPr="00183EB9">
              <w:rPr>
                <w:sz w:val="20"/>
                <w:lang w:val="es-ES"/>
              </w:rPr>
              <w:t>del</w:t>
            </w:r>
            <w:r w:rsidR="00D136BB" w:rsidRPr="00183EB9">
              <w:rPr>
                <w:sz w:val="20"/>
                <w:lang w:val="es-ES"/>
              </w:rPr>
              <w:t xml:space="preserve"> </w:t>
            </w:r>
            <w:r w:rsidRPr="00183EB9">
              <w:rPr>
                <w:sz w:val="20"/>
                <w:lang w:val="es-ES"/>
              </w:rPr>
              <w:t>uso</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las</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radiación.</w:t>
            </w:r>
          </w:p>
        </w:tc>
        <w:tc>
          <w:tcPr>
            <w:tcW w:w="1984" w:type="dxa"/>
            <w:shd w:val="clear" w:color="auto" w:fill="auto"/>
            <w:vAlign w:val="center"/>
          </w:tcPr>
          <w:p w14:paraId="132D5B91" w14:textId="4C6AD736" w:rsidR="006D362C" w:rsidRPr="00183EB9" w:rsidRDefault="006D362C" w:rsidP="00183EB9">
            <w:pPr>
              <w:pStyle w:val="BodyText"/>
              <w:spacing w:after="0"/>
              <w:jc w:val="center"/>
              <w:rPr>
                <w:sz w:val="20"/>
                <w:lang w:val="es-ES"/>
              </w:rPr>
            </w:pPr>
            <w:r w:rsidRPr="00183EB9">
              <w:rPr>
                <w:sz w:val="20"/>
                <w:lang w:val="es-ES"/>
              </w:rPr>
              <w:t>Afecta</w:t>
            </w:r>
            <w:r w:rsidR="00D136BB" w:rsidRPr="00183EB9">
              <w:rPr>
                <w:sz w:val="20"/>
                <w:lang w:val="es-ES"/>
              </w:rPr>
              <w:t xml:space="preserve"> </w:t>
            </w:r>
            <w:r w:rsidRPr="00183EB9">
              <w:rPr>
                <w:sz w:val="20"/>
                <w:lang w:val="es-ES"/>
              </w:rPr>
              <w:t>a</w:t>
            </w:r>
            <w:r w:rsidR="00D136BB" w:rsidRPr="00183EB9">
              <w:rPr>
                <w:sz w:val="20"/>
                <w:lang w:val="es-ES"/>
              </w:rPr>
              <w:t xml:space="preserve"> </w:t>
            </w:r>
            <w:r w:rsidRPr="00183EB9">
              <w:rPr>
                <w:sz w:val="20"/>
                <w:lang w:val="es-ES"/>
              </w:rPr>
              <w:t>toda</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r w:rsidR="00D136BB" w:rsidRPr="00183EB9">
              <w:rPr>
                <w:sz w:val="20"/>
                <w:lang w:val="es-ES"/>
              </w:rPr>
              <w:t xml:space="preserve"> </w:t>
            </w:r>
            <w:r w:rsidRPr="00183EB9">
              <w:rPr>
                <w:sz w:val="20"/>
                <w:lang w:val="es-ES"/>
              </w:rPr>
              <w:t>se</w:t>
            </w:r>
            <w:r w:rsidR="00D136BB" w:rsidRPr="00183EB9">
              <w:rPr>
                <w:sz w:val="20"/>
                <w:lang w:val="es-ES"/>
              </w:rPr>
              <w:t xml:space="preserve"> </w:t>
            </w:r>
            <w:r w:rsidRPr="00183EB9">
              <w:rPr>
                <w:sz w:val="20"/>
                <w:lang w:val="es-ES"/>
              </w:rPr>
              <w:t>requiere</w:t>
            </w:r>
            <w:r w:rsidR="00D136BB" w:rsidRPr="00183EB9">
              <w:rPr>
                <w:sz w:val="20"/>
                <w:lang w:val="es-ES"/>
              </w:rPr>
              <w:t xml:space="preserve"> </w:t>
            </w:r>
            <w:r w:rsidRPr="00183EB9">
              <w:rPr>
                <w:sz w:val="20"/>
                <w:lang w:val="es-ES"/>
              </w:rPr>
              <w:t>homologación</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procedimientos</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capacitación</w:t>
            </w:r>
            <w:r w:rsidR="00D136BB" w:rsidRPr="00183EB9">
              <w:rPr>
                <w:sz w:val="20"/>
                <w:lang w:val="es-ES"/>
              </w:rPr>
              <w:t xml:space="preserve"> </w:t>
            </w:r>
            <w:r w:rsidRPr="00183EB9">
              <w:rPr>
                <w:sz w:val="20"/>
                <w:lang w:val="es-ES"/>
              </w:rPr>
              <w:t>del</w:t>
            </w:r>
            <w:r w:rsidR="00D136BB" w:rsidRPr="00183EB9">
              <w:rPr>
                <w:sz w:val="20"/>
                <w:lang w:val="es-ES"/>
              </w:rPr>
              <w:t xml:space="preserve"> </w:t>
            </w:r>
            <w:r w:rsidRPr="00183EB9">
              <w:rPr>
                <w:sz w:val="20"/>
                <w:lang w:val="es-ES"/>
              </w:rPr>
              <w:t>personal.</w:t>
            </w:r>
          </w:p>
        </w:tc>
        <w:tc>
          <w:tcPr>
            <w:tcW w:w="1843" w:type="dxa"/>
            <w:shd w:val="clear" w:color="auto" w:fill="auto"/>
            <w:vAlign w:val="center"/>
          </w:tcPr>
          <w:p w14:paraId="4E1E7249" w14:textId="04459CAB" w:rsidR="006D362C" w:rsidRPr="00183EB9" w:rsidRDefault="006D362C" w:rsidP="00183EB9">
            <w:pPr>
              <w:pStyle w:val="BodyText"/>
              <w:spacing w:after="0"/>
              <w:jc w:val="center"/>
              <w:rPr>
                <w:sz w:val="20"/>
                <w:lang w:val="es-ES"/>
              </w:rPr>
            </w:pPr>
            <w:r w:rsidRPr="00183EB9">
              <w:rPr>
                <w:sz w:val="20"/>
                <w:lang w:val="es-ES"/>
              </w:rPr>
              <w:t>En</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medida</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que</w:t>
            </w:r>
            <w:r w:rsidR="00D136BB" w:rsidRPr="00183EB9">
              <w:rPr>
                <w:sz w:val="20"/>
                <w:lang w:val="es-ES"/>
              </w:rPr>
              <w:t xml:space="preserve"> </w:t>
            </w:r>
            <w:r w:rsidRPr="00183EB9">
              <w:rPr>
                <w:sz w:val="20"/>
                <w:lang w:val="es-ES"/>
              </w:rPr>
              <w:t>se</w:t>
            </w:r>
            <w:r w:rsidR="00D136BB" w:rsidRPr="00183EB9">
              <w:rPr>
                <w:sz w:val="20"/>
                <w:lang w:val="es-ES"/>
              </w:rPr>
              <w:t xml:space="preserve"> </w:t>
            </w:r>
            <w:r w:rsidRPr="00183EB9">
              <w:rPr>
                <w:sz w:val="20"/>
                <w:lang w:val="es-ES"/>
              </w:rPr>
              <w:t>cuente</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personal</w:t>
            </w:r>
            <w:r w:rsidR="00D136BB" w:rsidRPr="00183EB9">
              <w:rPr>
                <w:sz w:val="20"/>
                <w:lang w:val="es-ES"/>
              </w:rPr>
              <w:t xml:space="preserve"> </w:t>
            </w:r>
            <w:r w:rsidRPr="00183EB9">
              <w:rPr>
                <w:sz w:val="20"/>
                <w:lang w:val="es-ES"/>
              </w:rPr>
              <w:t>calificado,</w:t>
            </w:r>
            <w:r w:rsidR="00D136BB" w:rsidRPr="00183EB9">
              <w:rPr>
                <w:sz w:val="20"/>
                <w:lang w:val="es-ES"/>
              </w:rPr>
              <w:t xml:space="preserve"> </w:t>
            </w:r>
            <w:r w:rsidRPr="00183EB9">
              <w:rPr>
                <w:sz w:val="20"/>
                <w:lang w:val="es-ES"/>
              </w:rPr>
              <w:t>se</w:t>
            </w:r>
            <w:r w:rsidR="00D136BB" w:rsidRPr="00183EB9">
              <w:rPr>
                <w:sz w:val="20"/>
                <w:lang w:val="es-ES"/>
              </w:rPr>
              <w:t xml:space="preserve"> </w:t>
            </w:r>
            <w:r w:rsidRPr="00183EB9">
              <w:rPr>
                <w:sz w:val="20"/>
                <w:lang w:val="es-ES"/>
              </w:rPr>
              <w:t>mejorará</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eficiencia</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los</w:t>
            </w:r>
            <w:r w:rsidR="00D136BB" w:rsidRPr="00183EB9">
              <w:rPr>
                <w:sz w:val="20"/>
                <w:lang w:val="es-ES"/>
              </w:rPr>
              <w:t xml:space="preserve"> </w:t>
            </w:r>
            <w:r w:rsidRPr="00183EB9">
              <w:rPr>
                <w:sz w:val="20"/>
                <w:lang w:val="es-ES"/>
              </w:rPr>
              <w:t>beneficios</w:t>
            </w:r>
            <w:r w:rsidR="00D136BB" w:rsidRPr="00183EB9">
              <w:rPr>
                <w:sz w:val="20"/>
                <w:lang w:val="es-ES"/>
              </w:rPr>
              <w:t xml:space="preserve"> </w:t>
            </w:r>
            <w:r w:rsidRPr="00183EB9">
              <w:rPr>
                <w:sz w:val="20"/>
                <w:lang w:val="es-ES"/>
              </w:rPr>
              <w:t>del</w:t>
            </w:r>
            <w:r w:rsidR="00D136BB" w:rsidRPr="00183EB9">
              <w:rPr>
                <w:sz w:val="20"/>
                <w:lang w:val="es-ES"/>
              </w:rPr>
              <w:t xml:space="preserve"> </w:t>
            </w:r>
            <w:r w:rsidRPr="00183EB9">
              <w:rPr>
                <w:sz w:val="20"/>
                <w:lang w:val="es-ES"/>
              </w:rPr>
              <w:t>uso</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las</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radiación.</w:t>
            </w:r>
          </w:p>
        </w:tc>
        <w:tc>
          <w:tcPr>
            <w:tcW w:w="1134" w:type="dxa"/>
            <w:shd w:val="clear" w:color="auto" w:fill="auto"/>
            <w:vAlign w:val="center"/>
          </w:tcPr>
          <w:p w14:paraId="01134599" w14:textId="77777777" w:rsidR="006D362C" w:rsidRPr="00183EB9" w:rsidRDefault="006D362C" w:rsidP="00183EB9">
            <w:pPr>
              <w:pStyle w:val="BodyText"/>
              <w:spacing w:after="0"/>
              <w:jc w:val="center"/>
              <w:rPr>
                <w:b/>
                <w:bCs/>
                <w:sz w:val="20"/>
                <w:lang w:val="es-ES"/>
              </w:rPr>
            </w:pPr>
          </w:p>
        </w:tc>
        <w:tc>
          <w:tcPr>
            <w:tcW w:w="1700" w:type="dxa"/>
            <w:shd w:val="clear" w:color="auto" w:fill="auto"/>
            <w:vAlign w:val="center"/>
          </w:tcPr>
          <w:p w14:paraId="5B61A159" w14:textId="4FCB3F2C" w:rsidR="006D362C" w:rsidRPr="00183EB9" w:rsidRDefault="006D362C" w:rsidP="00183EB9">
            <w:pPr>
              <w:pStyle w:val="BodyText"/>
              <w:spacing w:after="0"/>
              <w:jc w:val="center"/>
              <w:rPr>
                <w:sz w:val="20"/>
                <w:lang w:val="es-ES"/>
              </w:rPr>
            </w:pPr>
            <w:r w:rsidRPr="00183EB9">
              <w:rPr>
                <w:sz w:val="20"/>
                <w:lang w:val="es-ES"/>
              </w:rPr>
              <w:t>Necesidad</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dar</w:t>
            </w:r>
            <w:r w:rsidR="00D136BB" w:rsidRPr="00183EB9">
              <w:rPr>
                <w:sz w:val="20"/>
                <w:lang w:val="es-ES"/>
              </w:rPr>
              <w:t xml:space="preserve"> </w:t>
            </w:r>
            <w:r w:rsidRPr="00183EB9">
              <w:rPr>
                <w:sz w:val="20"/>
                <w:lang w:val="es-ES"/>
              </w:rPr>
              <w:t>mayor</w:t>
            </w:r>
            <w:r w:rsidR="00D136BB" w:rsidRPr="00183EB9">
              <w:rPr>
                <w:sz w:val="20"/>
                <w:lang w:val="es-ES"/>
              </w:rPr>
              <w:t xml:space="preserve"> </w:t>
            </w:r>
            <w:r w:rsidRPr="00183EB9">
              <w:rPr>
                <w:sz w:val="20"/>
                <w:lang w:val="es-ES"/>
              </w:rPr>
              <w:t>difusión</w:t>
            </w:r>
            <w:r w:rsidR="00D136BB" w:rsidRPr="00183EB9">
              <w:rPr>
                <w:sz w:val="20"/>
                <w:lang w:val="es-ES"/>
              </w:rPr>
              <w:t xml:space="preserve"> </w:t>
            </w:r>
            <w:r w:rsidRPr="00183EB9">
              <w:rPr>
                <w:sz w:val="20"/>
                <w:lang w:val="es-ES"/>
              </w:rPr>
              <w:t>del</w:t>
            </w:r>
            <w:r w:rsidR="00D136BB" w:rsidRPr="00183EB9">
              <w:rPr>
                <w:sz w:val="20"/>
                <w:lang w:val="es-ES"/>
              </w:rPr>
              <w:t xml:space="preserve"> </w:t>
            </w:r>
            <w:r w:rsidRPr="00183EB9">
              <w:rPr>
                <w:sz w:val="20"/>
                <w:lang w:val="es-ES"/>
              </w:rPr>
              <w:t>nuevo</w:t>
            </w:r>
            <w:r w:rsidR="00D136BB" w:rsidRPr="00183EB9">
              <w:rPr>
                <w:sz w:val="20"/>
                <w:lang w:val="es-ES"/>
              </w:rPr>
              <w:t xml:space="preserve"> </w:t>
            </w:r>
            <w:r w:rsidRPr="00183EB9">
              <w:rPr>
                <w:sz w:val="20"/>
                <w:lang w:val="es-ES"/>
              </w:rPr>
              <w:t>estándar</w:t>
            </w:r>
            <w:r w:rsidR="00D136BB" w:rsidRPr="00183EB9">
              <w:rPr>
                <w:sz w:val="20"/>
                <w:lang w:val="es-ES"/>
              </w:rPr>
              <w:t xml:space="preserve"> </w:t>
            </w:r>
            <w:r w:rsidRPr="00183EB9">
              <w:rPr>
                <w:sz w:val="20"/>
                <w:lang w:val="es-ES"/>
              </w:rPr>
              <w:t>para</w:t>
            </w:r>
            <w:r w:rsidR="00D136BB" w:rsidRPr="00183EB9">
              <w:rPr>
                <w:sz w:val="20"/>
                <w:lang w:val="es-ES"/>
              </w:rPr>
              <w:t xml:space="preserve"> </w:t>
            </w:r>
            <w:r w:rsidRPr="00183EB9">
              <w:rPr>
                <w:sz w:val="20"/>
                <w:lang w:val="es-ES"/>
              </w:rPr>
              <w:t>capacitación</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personal</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p>
        </w:tc>
        <w:tc>
          <w:tcPr>
            <w:tcW w:w="699" w:type="dxa"/>
            <w:shd w:val="clear" w:color="auto" w:fill="auto"/>
            <w:vAlign w:val="center"/>
          </w:tcPr>
          <w:p w14:paraId="4B77B7F6" w14:textId="77777777" w:rsidR="006D362C" w:rsidRPr="00183EB9" w:rsidRDefault="006D362C" w:rsidP="00183EB9">
            <w:pPr>
              <w:pStyle w:val="BodyText"/>
              <w:spacing w:after="0"/>
              <w:jc w:val="center"/>
              <w:rPr>
                <w:bCs/>
                <w:sz w:val="20"/>
                <w:lang w:val="es-ES"/>
              </w:rPr>
            </w:pPr>
          </w:p>
        </w:tc>
        <w:tc>
          <w:tcPr>
            <w:tcW w:w="992" w:type="dxa"/>
            <w:shd w:val="clear" w:color="auto" w:fill="auto"/>
            <w:vAlign w:val="center"/>
          </w:tcPr>
          <w:p w14:paraId="4AD93B7F" w14:textId="77777777" w:rsidR="006D362C" w:rsidRPr="00183EB9" w:rsidRDefault="006D362C" w:rsidP="00183EB9">
            <w:pPr>
              <w:pStyle w:val="BodyText"/>
              <w:spacing w:after="0"/>
              <w:jc w:val="center"/>
              <w:rPr>
                <w:b/>
                <w:bCs/>
                <w:sz w:val="20"/>
                <w:lang w:val="es-ES"/>
              </w:rPr>
            </w:pPr>
          </w:p>
        </w:tc>
      </w:tr>
      <w:tr w:rsidR="006D362C" w:rsidRPr="003618E2" w14:paraId="44BCCDBE" w14:textId="77777777" w:rsidTr="00183EB9">
        <w:trPr>
          <w:jc w:val="center"/>
        </w:trPr>
        <w:tc>
          <w:tcPr>
            <w:tcW w:w="562" w:type="dxa"/>
            <w:vMerge w:val="restart"/>
            <w:shd w:val="clear" w:color="auto" w:fill="FF81AB"/>
            <w:vAlign w:val="center"/>
          </w:tcPr>
          <w:p w14:paraId="5D1463EE" w14:textId="393121B1" w:rsidR="006D362C" w:rsidRPr="00183EB9" w:rsidRDefault="00325887" w:rsidP="00325887">
            <w:pPr>
              <w:pStyle w:val="BodyText"/>
              <w:spacing w:after="0"/>
              <w:jc w:val="center"/>
              <w:rPr>
                <w:b/>
                <w:sz w:val="20"/>
                <w:lang w:val="es-ES"/>
              </w:rPr>
            </w:pPr>
            <w:r>
              <w:rPr>
                <w:b/>
                <w:sz w:val="20"/>
                <w:lang w:val="es-ES"/>
              </w:rPr>
              <w:t>7</w:t>
            </w:r>
          </w:p>
        </w:tc>
        <w:tc>
          <w:tcPr>
            <w:tcW w:w="2137" w:type="dxa"/>
            <w:vMerge w:val="restart"/>
            <w:shd w:val="clear" w:color="auto" w:fill="auto"/>
            <w:vAlign w:val="center"/>
          </w:tcPr>
          <w:p w14:paraId="376B8624" w14:textId="43FFFC4D" w:rsidR="00183EB9" w:rsidRPr="00183EB9" w:rsidRDefault="00183EB9" w:rsidP="00183EB9">
            <w:pPr>
              <w:pStyle w:val="BodyText"/>
              <w:spacing w:after="0"/>
              <w:jc w:val="center"/>
              <w:rPr>
                <w:iCs/>
                <w:sz w:val="20"/>
                <w:lang w:val="es-PE"/>
              </w:rPr>
            </w:pPr>
            <w:r w:rsidRPr="00183EB9">
              <w:rPr>
                <w:iCs/>
                <w:sz w:val="20"/>
                <w:lang w:val="es-PE"/>
              </w:rPr>
              <w:t>T5</w:t>
            </w:r>
          </w:p>
          <w:p w14:paraId="724A77C7" w14:textId="3305EFEA" w:rsidR="006D362C" w:rsidRPr="00183EB9" w:rsidRDefault="006D362C" w:rsidP="00183EB9">
            <w:pPr>
              <w:pStyle w:val="BodyText"/>
              <w:spacing w:after="0"/>
              <w:jc w:val="center"/>
              <w:rPr>
                <w:iCs/>
                <w:sz w:val="20"/>
                <w:lang w:val="es-PE"/>
              </w:rPr>
            </w:pPr>
            <w:r w:rsidRPr="00183EB9">
              <w:rPr>
                <w:iCs/>
                <w:sz w:val="20"/>
                <w:lang w:val="es-PE"/>
              </w:rPr>
              <w:lastRenderedPageBreak/>
              <w:t>Aumento</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la</w:t>
            </w:r>
            <w:r w:rsidR="00D136BB" w:rsidRPr="00183EB9">
              <w:rPr>
                <w:iCs/>
                <w:sz w:val="20"/>
                <w:lang w:val="es-PE"/>
              </w:rPr>
              <w:t xml:space="preserve"> </w:t>
            </w:r>
            <w:r w:rsidRPr="00183EB9">
              <w:rPr>
                <w:iCs/>
                <w:sz w:val="20"/>
                <w:lang w:val="es-PE"/>
              </w:rPr>
              <w:t>competitividad</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la</w:t>
            </w:r>
            <w:r w:rsidR="00D136BB" w:rsidRPr="00183EB9">
              <w:rPr>
                <w:iCs/>
                <w:sz w:val="20"/>
                <w:lang w:val="es-PE"/>
              </w:rPr>
              <w:t xml:space="preserve"> </w:t>
            </w:r>
            <w:r w:rsidRPr="00183EB9">
              <w:rPr>
                <w:iCs/>
                <w:sz w:val="20"/>
                <w:lang w:val="es-PE"/>
              </w:rPr>
              <w:t>industria</w:t>
            </w:r>
            <w:r w:rsidR="00D136BB" w:rsidRPr="00183EB9">
              <w:rPr>
                <w:iCs/>
                <w:sz w:val="20"/>
                <w:lang w:val="es-PE"/>
              </w:rPr>
              <w:t xml:space="preserve"> </w:t>
            </w:r>
            <w:r w:rsidRPr="00183EB9">
              <w:rPr>
                <w:iCs/>
                <w:sz w:val="20"/>
                <w:lang w:val="es-PE"/>
              </w:rPr>
              <w:t>por</w:t>
            </w:r>
            <w:r w:rsidR="00D136BB" w:rsidRPr="00183EB9">
              <w:rPr>
                <w:iCs/>
                <w:sz w:val="20"/>
                <w:lang w:val="es-PE"/>
              </w:rPr>
              <w:t xml:space="preserve"> </w:t>
            </w:r>
            <w:r w:rsidRPr="00183EB9">
              <w:rPr>
                <w:iCs/>
                <w:sz w:val="20"/>
                <w:lang w:val="es-PE"/>
              </w:rPr>
              <w:t>medio</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la</w:t>
            </w:r>
            <w:r w:rsidR="00D136BB" w:rsidRPr="00183EB9">
              <w:rPr>
                <w:iCs/>
                <w:sz w:val="20"/>
                <w:lang w:val="es-PE"/>
              </w:rPr>
              <w:t xml:space="preserve"> </w:t>
            </w:r>
            <w:r w:rsidRPr="00183EB9">
              <w:rPr>
                <w:iCs/>
                <w:sz w:val="20"/>
                <w:lang w:val="es-PE"/>
              </w:rPr>
              <w:t>optimización</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procesos</w:t>
            </w:r>
            <w:r w:rsidR="00D136BB" w:rsidRPr="00183EB9">
              <w:rPr>
                <w:iCs/>
                <w:sz w:val="20"/>
                <w:lang w:val="es-PE"/>
              </w:rPr>
              <w:t xml:space="preserve"> </w:t>
            </w:r>
            <w:r w:rsidRPr="00183EB9">
              <w:rPr>
                <w:iCs/>
                <w:sz w:val="20"/>
                <w:lang w:val="es-PE"/>
              </w:rPr>
              <w:t>y</w:t>
            </w:r>
            <w:r w:rsidR="00D136BB" w:rsidRPr="00183EB9">
              <w:rPr>
                <w:iCs/>
                <w:sz w:val="20"/>
                <w:lang w:val="es-PE"/>
              </w:rPr>
              <w:t xml:space="preserve"> </w:t>
            </w:r>
            <w:r w:rsidRPr="00183EB9">
              <w:rPr>
                <w:iCs/>
                <w:sz w:val="20"/>
                <w:lang w:val="es-PE"/>
              </w:rPr>
              <w:t>disminución</w:t>
            </w:r>
            <w:r w:rsidR="00D136BB" w:rsidRPr="00183EB9">
              <w:rPr>
                <w:iCs/>
                <w:sz w:val="20"/>
                <w:lang w:val="es-PE"/>
              </w:rPr>
              <w:t xml:space="preserve"> </w:t>
            </w:r>
            <w:r w:rsidRPr="00183EB9">
              <w:rPr>
                <w:iCs/>
                <w:sz w:val="20"/>
                <w:lang w:val="es-PE"/>
              </w:rPr>
              <w:t>del</w:t>
            </w:r>
            <w:r w:rsidR="00D136BB" w:rsidRPr="00183EB9">
              <w:rPr>
                <w:iCs/>
                <w:sz w:val="20"/>
                <w:lang w:val="es-PE"/>
              </w:rPr>
              <w:t xml:space="preserve"> </w:t>
            </w:r>
            <w:r w:rsidRPr="00183EB9">
              <w:rPr>
                <w:iCs/>
                <w:sz w:val="20"/>
                <w:lang w:val="es-PE"/>
              </w:rPr>
              <w:t>impacto</w:t>
            </w:r>
            <w:r w:rsidR="00D136BB" w:rsidRPr="00183EB9">
              <w:rPr>
                <w:iCs/>
                <w:sz w:val="20"/>
                <w:lang w:val="es-PE"/>
              </w:rPr>
              <w:t xml:space="preserve"> </w:t>
            </w:r>
            <w:r w:rsidRPr="00183EB9">
              <w:rPr>
                <w:iCs/>
                <w:sz w:val="20"/>
                <w:lang w:val="es-PE"/>
              </w:rPr>
              <w:t>ambiental,</w:t>
            </w:r>
            <w:r w:rsidR="00D136BB" w:rsidRPr="00183EB9">
              <w:rPr>
                <w:iCs/>
                <w:sz w:val="20"/>
                <w:lang w:val="es-PE"/>
              </w:rPr>
              <w:t xml:space="preserve"> </w:t>
            </w:r>
            <w:r w:rsidRPr="00183EB9">
              <w:rPr>
                <w:iCs/>
                <w:sz w:val="20"/>
                <w:lang w:val="es-PE"/>
              </w:rPr>
              <w:t>utilizando</w:t>
            </w:r>
            <w:r w:rsidR="00D136BB" w:rsidRPr="00183EB9">
              <w:rPr>
                <w:iCs/>
                <w:sz w:val="20"/>
                <w:lang w:val="es-PE"/>
              </w:rPr>
              <w:t xml:space="preserve"> </w:t>
            </w:r>
            <w:r w:rsidRPr="00183EB9">
              <w:rPr>
                <w:iCs/>
                <w:sz w:val="20"/>
                <w:lang w:val="es-PE"/>
              </w:rPr>
              <w:t>tecnologías</w:t>
            </w:r>
            <w:r w:rsidR="00D136BB" w:rsidRPr="00183EB9">
              <w:rPr>
                <w:iCs/>
                <w:sz w:val="20"/>
                <w:lang w:val="es-PE"/>
              </w:rPr>
              <w:t xml:space="preserve"> </w:t>
            </w:r>
            <w:r w:rsidRPr="00183EB9">
              <w:rPr>
                <w:iCs/>
                <w:sz w:val="20"/>
                <w:lang w:val="es-PE"/>
              </w:rPr>
              <w:t>con</w:t>
            </w:r>
            <w:r w:rsidR="00D136BB" w:rsidRPr="00183EB9">
              <w:rPr>
                <w:iCs/>
                <w:sz w:val="20"/>
                <w:lang w:val="es-PE"/>
              </w:rPr>
              <w:t xml:space="preserve"> </w:t>
            </w:r>
            <w:r w:rsidRPr="00183EB9">
              <w:rPr>
                <w:iCs/>
                <w:sz w:val="20"/>
                <w:lang w:val="es-PE"/>
              </w:rPr>
              <w:t>radiación</w:t>
            </w:r>
            <w:r w:rsidR="00D136BB" w:rsidRPr="00183EB9">
              <w:rPr>
                <w:iCs/>
                <w:sz w:val="20"/>
                <w:lang w:val="es-PE"/>
              </w:rPr>
              <w:t xml:space="preserve">  </w:t>
            </w:r>
            <w:r w:rsidRPr="00183EB9">
              <w:rPr>
                <w:iCs/>
                <w:sz w:val="20"/>
                <w:lang w:val="es-PE"/>
              </w:rPr>
              <w:t>(trazadores</w:t>
            </w:r>
            <w:r w:rsidR="00D136BB" w:rsidRPr="00183EB9">
              <w:rPr>
                <w:iCs/>
                <w:sz w:val="20"/>
                <w:lang w:val="es-PE"/>
              </w:rPr>
              <w:t xml:space="preserve"> </w:t>
            </w:r>
            <w:r w:rsidRPr="00183EB9">
              <w:rPr>
                <w:iCs/>
                <w:sz w:val="20"/>
                <w:lang w:val="es-PE"/>
              </w:rPr>
              <w:t>y</w:t>
            </w:r>
            <w:r w:rsidR="00D136BB" w:rsidRPr="00183EB9">
              <w:rPr>
                <w:iCs/>
                <w:sz w:val="20"/>
                <w:lang w:val="es-PE"/>
              </w:rPr>
              <w:t xml:space="preserve"> </w:t>
            </w:r>
            <w:r w:rsidRPr="00183EB9">
              <w:rPr>
                <w:iCs/>
                <w:sz w:val="20"/>
                <w:lang w:val="es-PE"/>
              </w:rPr>
              <w:t>aplicaciones</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fuentes</w:t>
            </w:r>
            <w:r w:rsidR="00D136BB" w:rsidRPr="00183EB9">
              <w:rPr>
                <w:iCs/>
                <w:sz w:val="20"/>
                <w:lang w:val="es-PE"/>
              </w:rPr>
              <w:t xml:space="preserve"> </w:t>
            </w:r>
            <w:r w:rsidRPr="00183EB9">
              <w:rPr>
                <w:iCs/>
                <w:sz w:val="20"/>
                <w:lang w:val="es-PE"/>
              </w:rPr>
              <w:t>selladas)</w:t>
            </w:r>
          </w:p>
        </w:tc>
        <w:tc>
          <w:tcPr>
            <w:tcW w:w="1559" w:type="dxa"/>
            <w:shd w:val="clear" w:color="auto" w:fill="auto"/>
            <w:vAlign w:val="center"/>
          </w:tcPr>
          <w:p w14:paraId="2DE1F0B9" w14:textId="77777777" w:rsidR="006D362C" w:rsidRPr="00183EB9" w:rsidRDefault="006D362C" w:rsidP="00183EB9">
            <w:pPr>
              <w:pStyle w:val="BodyText"/>
              <w:spacing w:after="0"/>
              <w:jc w:val="center"/>
              <w:rPr>
                <w:bCs/>
                <w:sz w:val="20"/>
                <w:lang w:val="es-ES"/>
              </w:rPr>
            </w:pPr>
            <w:r w:rsidRPr="00183EB9">
              <w:rPr>
                <w:bCs/>
                <w:sz w:val="20"/>
                <w:lang w:val="es-ES"/>
              </w:rPr>
              <w:lastRenderedPageBreak/>
              <w:t>3,5</w:t>
            </w:r>
          </w:p>
        </w:tc>
        <w:tc>
          <w:tcPr>
            <w:tcW w:w="1560" w:type="dxa"/>
            <w:shd w:val="clear" w:color="auto" w:fill="auto"/>
            <w:vAlign w:val="center"/>
          </w:tcPr>
          <w:p w14:paraId="4FDCC48B" w14:textId="77777777" w:rsidR="006D362C" w:rsidRPr="00183EB9" w:rsidRDefault="006D362C" w:rsidP="00183EB9">
            <w:pPr>
              <w:pStyle w:val="BodyText"/>
              <w:spacing w:after="0"/>
              <w:jc w:val="center"/>
              <w:rPr>
                <w:sz w:val="20"/>
                <w:lang w:val="es-ES"/>
              </w:rPr>
            </w:pPr>
            <w:r w:rsidRPr="00183EB9">
              <w:rPr>
                <w:sz w:val="20"/>
                <w:lang w:val="es-ES"/>
              </w:rPr>
              <w:t>4,0</w:t>
            </w:r>
          </w:p>
        </w:tc>
        <w:tc>
          <w:tcPr>
            <w:tcW w:w="1984" w:type="dxa"/>
            <w:shd w:val="clear" w:color="auto" w:fill="auto"/>
            <w:vAlign w:val="center"/>
          </w:tcPr>
          <w:p w14:paraId="636CF271" w14:textId="77777777" w:rsidR="006D362C" w:rsidRPr="00183EB9" w:rsidRDefault="006D362C" w:rsidP="00183EB9">
            <w:pPr>
              <w:pStyle w:val="BodyText"/>
              <w:spacing w:after="0"/>
              <w:jc w:val="center"/>
              <w:rPr>
                <w:sz w:val="20"/>
                <w:lang w:val="es-ES"/>
              </w:rPr>
            </w:pPr>
            <w:r w:rsidRPr="00183EB9">
              <w:rPr>
                <w:sz w:val="20"/>
                <w:lang w:val="es-ES"/>
              </w:rPr>
              <w:t>4,0</w:t>
            </w:r>
          </w:p>
        </w:tc>
        <w:tc>
          <w:tcPr>
            <w:tcW w:w="1843" w:type="dxa"/>
            <w:shd w:val="clear" w:color="auto" w:fill="auto"/>
            <w:vAlign w:val="center"/>
          </w:tcPr>
          <w:p w14:paraId="659DD31B" w14:textId="77777777" w:rsidR="006D362C" w:rsidRPr="00183EB9" w:rsidRDefault="006D362C" w:rsidP="00183EB9">
            <w:pPr>
              <w:pStyle w:val="BodyText"/>
              <w:spacing w:after="0"/>
              <w:jc w:val="center"/>
              <w:rPr>
                <w:sz w:val="20"/>
                <w:lang w:val="es-ES"/>
              </w:rPr>
            </w:pPr>
            <w:r w:rsidRPr="00183EB9">
              <w:rPr>
                <w:sz w:val="20"/>
                <w:lang w:val="es-ES"/>
              </w:rPr>
              <w:t>3,5</w:t>
            </w:r>
          </w:p>
        </w:tc>
        <w:tc>
          <w:tcPr>
            <w:tcW w:w="1134" w:type="dxa"/>
            <w:shd w:val="clear" w:color="auto" w:fill="auto"/>
            <w:vAlign w:val="center"/>
          </w:tcPr>
          <w:p w14:paraId="72B8AEE3" w14:textId="77777777" w:rsidR="006D362C" w:rsidRPr="00183EB9" w:rsidRDefault="006D362C" w:rsidP="00183EB9">
            <w:pPr>
              <w:pStyle w:val="BodyText"/>
              <w:spacing w:after="0"/>
              <w:jc w:val="center"/>
              <w:rPr>
                <w:sz w:val="20"/>
                <w:lang w:val="es-ES_tradnl"/>
              </w:rPr>
            </w:pPr>
            <w:r w:rsidRPr="00183EB9">
              <w:rPr>
                <w:sz w:val="20"/>
                <w:lang w:val="es-ES_tradnl"/>
              </w:rPr>
              <w:t>15,00</w:t>
            </w:r>
          </w:p>
        </w:tc>
        <w:tc>
          <w:tcPr>
            <w:tcW w:w="1700" w:type="dxa"/>
            <w:shd w:val="clear" w:color="auto" w:fill="auto"/>
            <w:vAlign w:val="center"/>
          </w:tcPr>
          <w:p w14:paraId="321A32E0" w14:textId="77777777" w:rsidR="006D362C" w:rsidRPr="00183EB9" w:rsidRDefault="006D362C" w:rsidP="00183EB9">
            <w:pPr>
              <w:pStyle w:val="BodyText"/>
              <w:spacing w:after="0"/>
              <w:jc w:val="center"/>
              <w:rPr>
                <w:sz w:val="20"/>
                <w:lang w:val="es-ES"/>
              </w:rPr>
            </w:pPr>
            <w:r w:rsidRPr="00183EB9">
              <w:rPr>
                <w:sz w:val="20"/>
                <w:lang w:val="es-ES"/>
              </w:rPr>
              <w:t>3,0</w:t>
            </w:r>
          </w:p>
        </w:tc>
        <w:tc>
          <w:tcPr>
            <w:tcW w:w="699" w:type="dxa"/>
            <w:shd w:val="clear" w:color="auto" w:fill="auto"/>
            <w:vAlign w:val="center"/>
          </w:tcPr>
          <w:p w14:paraId="321E9152" w14:textId="77777777" w:rsidR="006D362C" w:rsidRPr="00183EB9" w:rsidRDefault="006D362C" w:rsidP="00183EB9">
            <w:pPr>
              <w:pStyle w:val="BodyText"/>
              <w:spacing w:after="0"/>
              <w:jc w:val="center"/>
              <w:rPr>
                <w:sz w:val="20"/>
                <w:lang w:val="es-ES_tradnl"/>
              </w:rPr>
            </w:pPr>
            <w:r w:rsidRPr="00183EB9">
              <w:rPr>
                <w:sz w:val="20"/>
                <w:lang w:val="es-ES_tradnl"/>
              </w:rPr>
              <w:t>1,17</w:t>
            </w:r>
          </w:p>
        </w:tc>
        <w:tc>
          <w:tcPr>
            <w:tcW w:w="992" w:type="dxa"/>
            <w:shd w:val="clear" w:color="auto" w:fill="auto"/>
            <w:vAlign w:val="center"/>
          </w:tcPr>
          <w:p w14:paraId="59B9B760" w14:textId="77777777" w:rsidR="006D362C" w:rsidRPr="00183EB9" w:rsidRDefault="006D362C" w:rsidP="00183EB9">
            <w:pPr>
              <w:pStyle w:val="BodyText"/>
              <w:spacing w:after="0"/>
              <w:jc w:val="center"/>
              <w:rPr>
                <w:sz w:val="20"/>
                <w:lang w:val="es-ES_tradnl"/>
              </w:rPr>
            </w:pPr>
            <w:r w:rsidRPr="00183EB9">
              <w:rPr>
                <w:sz w:val="20"/>
                <w:lang w:val="es-ES_tradnl"/>
              </w:rPr>
              <w:t>17,50</w:t>
            </w:r>
          </w:p>
        </w:tc>
      </w:tr>
      <w:tr w:rsidR="006D362C" w:rsidRPr="003618E2" w14:paraId="08C082BE" w14:textId="77777777" w:rsidTr="00183EB9">
        <w:trPr>
          <w:jc w:val="center"/>
        </w:trPr>
        <w:tc>
          <w:tcPr>
            <w:tcW w:w="562" w:type="dxa"/>
            <w:vMerge/>
            <w:shd w:val="clear" w:color="auto" w:fill="FF81AB"/>
            <w:vAlign w:val="center"/>
          </w:tcPr>
          <w:p w14:paraId="1A2DD322" w14:textId="77777777" w:rsidR="006D362C" w:rsidRPr="00183EB9" w:rsidRDefault="006D362C" w:rsidP="00325887">
            <w:pPr>
              <w:pStyle w:val="BodyText"/>
              <w:spacing w:after="0"/>
              <w:jc w:val="center"/>
              <w:rPr>
                <w:b/>
                <w:sz w:val="20"/>
                <w:lang w:val="es-ES"/>
              </w:rPr>
            </w:pPr>
          </w:p>
        </w:tc>
        <w:tc>
          <w:tcPr>
            <w:tcW w:w="2137" w:type="dxa"/>
            <w:vMerge/>
            <w:shd w:val="clear" w:color="auto" w:fill="auto"/>
            <w:vAlign w:val="center"/>
          </w:tcPr>
          <w:p w14:paraId="6B098269" w14:textId="77777777" w:rsidR="006D362C" w:rsidRPr="00183EB9" w:rsidRDefault="006D362C" w:rsidP="00183EB9">
            <w:pPr>
              <w:pStyle w:val="BodyText"/>
              <w:spacing w:after="0"/>
              <w:jc w:val="center"/>
              <w:rPr>
                <w:bCs/>
                <w:sz w:val="20"/>
                <w:lang w:val="es-ES"/>
              </w:rPr>
            </w:pPr>
          </w:p>
        </w:tc>
        <w:tc>
          <w:tcPr>
            <w:tcW w:w="1559" w:type="dxa"/>
            <w:shd w:val="clear" w:color="auto" w:fill="auto"/>
            <w:vAlign w:val="center"/>
          </w:tcPr>
          <w:p w14:paraId="66DCE5C9" w14:textId="610A2EAC" w:rsidR="006D362C" w:rsidRPr="00183EB9" w:rsidRDefault="006D362C" w:rsidP="00183EB9">
            <w:pPr>
              <w:pStyle w:val="BodyText"/>
              <w:spacing w:after="0"/>
              <w:jc w:val="center"/>
              <w:rPr>
                <w:bCs/>
                <w:sz w:val="20"/>
                <w:lang w:val="es-ES"/>
              </w:rPr>
            </w:pPr>
            <w:r w:rsidRPr="00183EB9">
              <w:rPr>
                <w:bCs/>
                <w:sz w:val="20"/>
                <w:lang w:val="es-ES"/>
              </w:rPr>
              <w:t>Es</w:t>
            </w:r>
            <w:r w:rsidR="00D136BB" w:rsidRPr="00183EB9">
              <w:rPr>
                <w:bCs/>
                <w:sz w:val="20"/>
                <w:lang w:val="es-ES"/>
              </w:rPr>
              <w:t xml:space="preserve"> </w:t>
            </w:r>
            <w:r w:rsidRPr="00183EB9">
              <w:rPr>
                <w:bCs/>
                <w:sz w:val="20"/>
                <w:lang w:val="es-ES"/>
              </w:rPr>
              <w:t>urgente</w:t>
            </w:r>
            <w:r w:rsidR="00D136BB" w:rsidRPr="00183EB9">
              <w:rPr>
                <w:bCs/>
                <w:sz w:val="20"/>
                <w:lang w:val="es-ES"/>
              </w:rPr>
              <w:t xml:space="preserve"> </w:t>
            </w:r>
            <w:r w:rsidRPr="00183EB9">
              <w:rPr>
                <w:bCs/>
                <w:sz w:val="20"/>
                <w:lang w:val="es-ES"/>
              </w:rPr>
              <w:t>el</w:t>
            </w:r>
            <w:r w:rsidR="00D136BB" w:rsidRPr="00183EB9">
              <w:rPr>
                <w:bCs/>
                <w:sz w:val="20"/>
                <w:lang w:val="es-ES"/>
              </w:rPr>
              <w:t xml:space="preserve"> </w:t>
            </w:r>
            <w:r w:rsidRPr="00183EB9">
              <w:rPr>
                <w:bCs/>
                <w:sz w:val="20"/>
                <w:lang w:val="es-ES"/>
              </w:rPr>
              <w:t>uso</w:t>
            </w:r>
            <w:r w:rsidR="00D136BB" w:rsidRPr="00183EB9">
              <w:rPr>
                <w:bCs/>
                <w:sz w:val="20"/>
                <w:lang w:val="es-ES"/>
              </w:rPr>
              <w:t xml:space="preserve"> </w:t>
            </w:r>
            <w:r w:rsidRPr="00183EB9">
              <w:rPr>
                <w:bCs/>
                <w:sz w:val="20"/>
                <w:lang w:val="es-ES"/>
              </w:rPr>
              <w:t>de</w:t>
            </w:r>
            <w:r w:rsidR="00D136BB" w:rsidRPr="00183EB9">
              <w:rPr>
                <w:bCs/>
                <w:sz w:val="20"/>
                <w:lang w:val="es-ES"/>
              </w:rPr>
              <w:t xml:space="preserve"> </w:t>
            </w:r>
            <w:r w:rsidRPr="00183EB9">
              <w:rPr>
                <w:bCs/>
                <w:sz w:val="20"/>
                <w:lang w:val="es-ES"/>
              </w:rPr>
              <w:t>recursos</w:t>
            </w:r>
            <w:r w:rsidR="00D136BB" w:rsidRPr="00183EB9">
              <w:rPr>
                <w:bCs/>
                <w:sz w:val="20"/>
                <w:lang w:val="es-ES"/>
              </w:rPr>
              <w:t xml:space="preserve"> </w:t>
            </w:r>
            <w:r w:rsidRPr="00183EB9">
              <w:rPr>
                <w:bCs/>
                <w:sz w:val="20"/>
                <w:lang w:val="es-ES"/>
              </w:rPr>
              <w:t>naturales</w:t>
            </w:r>
            <w:r w:rsidR="00D136BB" w:rsidRPr="00183EB9">
              <w:rPr>
                <w:bCs/>
                <w:sz w:val="20"/>
                <w:lang w:val="es-ES"/>
              </w:rPr>
              <w:t xml:space="preserve"> </w:t>
            </w:r>
            <w:r w:rsidRPr="00183EB9">
              <w:rPr>
                <w:bCs/>
                <w:sz w:val="20"/>
                <w:lang w:val="es-ES"/>
              </w:rPr>
              <w:t>renovables</w:t>
            </w:r>
            <w:r w:rsidR="00D136BB" w:rsidRPr="00183EB9">
              <w:rPr>
                <w:bCs/>
                <w:sz w:val="20"/>
                <w:lang w:val="es-ES"/>
              </w:rPr>
              <w:t xml:space="preserve"> </w:t>
            </w:r>
            <w:r w:rsidRPr="00183EB9">
              <w:rPr>
                <w:bCs/>
                <w:sz w:val="20"/>
                <w:lang w:val="es-ES"/>
              </w:rPr>
              <w:t>como</w:t>
            </w:r>
            <w:r w:rsidR="00D136BB" w:rsidRPr="00183EB9">
              <w:rPr>
                <w:bCs/>
                <w:sz w:val="20"/>
                <w:lang w:val="es-ES"/>
              </w:rPr>
              <w:t xml:space="preserve"> </w:t>
            </w:r>
            <w:r w:rsidRPr="00183EB9">
              <w:rPr>
                <w:bCs/>
                <w:sz w:val="20"/>
                <w:lang w:val="es-ES"/>
              </w:rPr>
              <w:t>los</w:t>
            </w:r>
            <w:r w:rsidR="00D136BB" w:rsidRPr="00183EB9">
              <w:rPr>
                <w:bCs/>
                <w:sz w:val="20"/>
                <w:lang w:val="es-ES"/>
              </w:rPr>
              <w:t xml:space="preserve"> </w:t>
            </w:r>
            <w:r w:rsidRPr="00183EB9">
              <w:rPr>
                <w:bCs/>
                <w:sz w:val="20"/>
                <w:lang w:val="es-ES"/>
              </w:rPr>
              <w:t>polímeros</w:t>
            </w:r>
            <w:r w:rsidR="00D136BB" w:rsidRPr="00183EB9">
              <w:rPr>
                <w:bCs/>
                <w:sz w:val="20"/>
                <w:lang w:val="es-ES"/>
              </w:rPr>
              <w:t xml:space="preserve"> </w:t>
            </w:r>
            <w:r w:rsidRPr="00183EB9">
              <w:rPr>
                <w:bCs/>
                <w:sz w:val="20"/>
                <w:lang w:val="es-ES"/>
              </w:rPr>
              <w:t>naturales</w:t>
            </w:r>
            <w:r w:rsidR="00D136BB" w:rsidRPr="00183EB9">
              <w:rPr>
                <w:bCs/>
                <w:sz w:val="20"/>
                <w:lang w:val="es-ES"/>
              </w:rPr>
              <w:t xml:space="preserve"> </w:t>
            </w:r>
            <w:r w:rsidRPr="00183EB9">
              <w:rPr>
                <w:bCs/>
                <w:sz w:val="20"/>
                <w:lang w:val="es-ES"/>
              </w:rPr>
              <w:t>no</w:t>
            </w:r>
            <w:r w:rsidR="00D136BB" w:rsidRPr="00183EB9">
              <w:rPr>
                <w:bCs/>
                <w:sz w:val="20"/>
                <w:lang w:val="es-ES"/>
              </w:rPr>
              <w:t xml:space="preserve"> </w:t>
            </w:r>
            <w:r w:rsidRPr="00183EB9">
              <w:rPr>
                <w:bCs/>
                <w:sz w:val="20"/>
                <w:lang w:val="es-ES"/>
              </w:rPr>
              <w:t>tóxicos</w:t>
            </w:r>
            <w:r w:rsidR="00D136BB" w:rsidRPr="00183EB9">
              <w:rPr>
                <w:bCs/>
                <w:sz w:val="20"/>
                <w:lang w:val="es-ES"/>
              </w:rPr>
              <w:t xml:space="preserve"> </w:t>
            </w:r>
            <w:r w:rsidRPr="00183EB9">
              <w:rPr>
                <w:bCs/>
                <w:sz w:val="20"/>
                <w:lang w:val="es-ES"/>
              </w:rPr>
              <w:t>para</w:t>
            </w:r>
            <w:r w:rsidR="00D136BB" w:rsidRPr="00183EB9">
              <w:rPr>
                <w:bCs/>
                <w:sz w:val="20"/>
                <w:lang w:val="es-ES"/>
              </w:rPr>
              <w:t xml:space="preserve"> </w:t>
            </w:r>
            <w:r w:rsidRPr="00183EB9">
              <w:rPr>
                <w:bCs/>
                <w:sz w:val="20"/>
                <w:lang w:val="es-ES"/>
              </w:rPr>
              <w:t>contribuir</w:t>
            </w:r>
            <w:r w:rsidR="00D136BB" w:rsidRPr="00183EB9">
              <w:rPr>
                <w:bCs/>
                <w:sz w:val="20"/>
                <w:lang w:val="es-ES"/>
              </w:rPr>
              <w:t xml:space="preserve"> </w:t>
            </w:r>
            <w:r w:rsidRPr="00183EB9">
              <w:rPr>
                <w:bCs/>
                <w:sz w:val="20"/>
                <w:lang w:val="es-ES"/>
              </w:rPr>
              <w:t>a</w:t>
            </w:r>
            <w:r w:rsidR="00D136BB" w:rsidRPr="00183EB9">
              <w:rPr>
                <w:bCs/>
                <w:sz w:val="20"/>
                <w:lang w:val="es-ES"/>
              </w:rPr>
              <w:t xml:space="preserve"> </w:t>
            </w:r>
            <w:r w:rsidRPr="00183EB9">
              <w:rPr>
                <w:bCs/>
                <w:sz w:val="20"/>
                <w:lang w:val="es-ES"/>
              </w:rPr>
              <w:t>disminuir</w:t>
            </w:r>
            <w:r w:rsidR="00D136BB" w:rsidRPr="00183EB9">
              <w:rPr>
                <w:bCs/>
                <w:sz w:val="20"/>
                <w:lang w:val="es-ES"/>
              </w:rPr>
              <w:t xml:space="preserve"> </w:t>
            </w:r>
            <w:r w:rsidRPr="00183EB9">
              <w:rPr>
                <w:bCs/>
                <w:sz w:val="20"/>
                <w:lang w:val="es-ES"/>
              </w:rPr>
              <w:t>la</w:t>
            </w:r>
            <w:r w:rsidR="00D136BB" w:rsidRPr="00183EB9">
              <w:rPr>
                <w:bCs/>
                <w:sz w:val="20"/>
                <w:lang w:val="es-ES"/>
              </w:rPr>
              <w:t xml:space="preserve"> </w:t>
            </w:r>
            <w:r w:rsidRPr="00183EB9">
              <w:rPr>
                <w:bCs/>
                <w:sz w:val="20"/>
                <w:lang w:val="es-ES"/>
              </w:rPr>
              <w:t>contaminación</w:t>
            </w:r>
            <w:r w:rsidR="00D136BB" w:rsidRPr="00183EB9">
              <w:rPr>
                <w:bCs/>
                <w:sz w:val="20"/>
                <w:lang w:val="es-ES"/>
              </w:rPr>
              <w:t xml:space="preserve"> </w:t>
            </w:r>
            <w:r w:rsidRPr="00183EB9">
              <w:rPr>
                <w:bCs/>
                <w:sz w:val="20"/>
                <w:lang w:val="es-ES"/>
              </w:rPr>
              <w:t>y</w:t>
            </w:r>
            <w:r w:rsidR="00D136BB" w:rsidRPr="00183EB9">
              <w:rPr>
                <w:bCs/>
                <w:sz w:val="20"/>
                <w:lang w:val="es-ES"/>
              </w:rPr>
              <w:t xml:space="preserve"> </w:t>
            </w:r>
            <w:r w:rsidRPr="00183EB9">
              <w:rPr>
                <w:bCs/>
                <w:sz w:val="20"/>
                <w:lang w:val="es-ES"/>
              </w:rPr>
              <w:t>mejorar</w:t>
            </w:r>
            <w:r w:rsidR="00D136BB" w:rsidRPr="00183EB9">
              <w:rPr>
                <w:bCs/>
                <w:sz w:val="20"/>
                <w:lang w:val="es-ES"/>
              </w:rPr>
              <w:t xml:space="preserve"> </w:t>
            </w:r>
            <w:r w:rsidRPr="00183EB9">
              <w:rPr>
                <w:bCs/>
                <w:sz w:val="20"/>
                <w:lang w:val="es-ES"/>
              </w:rPr>
              <w:t>la</w:t>
            </w:r>
            <w:r w:rsidR="00D136BB" w:rsidRPr="00183EB9">
              <w:rPr>
                <w:bCs/>
                <w:sz w:val="20"/>
                <w:lang w:val="es-ES"/>
              </w:rPr>
              <w:t xml:space="preserve"> </w:t>
            </w:r>
            <w:r w:rsidRPr="00183EB9">
              <w:rPr>
                <w:bCs/>
                <w:sz w:val="20"/>
                <w:lang w:val="es-ES"/>
              </w:rPr>
              <w:t>competitividad</w:t>
            </w:r>
            <w:r w:rsidR="00D136BB" w:rsidRPr="00183EB9">
              <w:rPr>
                <w:bCs/>
                <w:sz w:val="20"/>
                <w:lang w:val="es-ES"/>
              </w:rPr>
              <w:t xml:space="preserve"> </w:t>
            </w:r>
            <w:r w:rsidRPr="00183EB9">
              <w:rPr>
                <w:bCs/>
                <w:sz w:val="20"/>
                <w:lang w:val="es-ES"/>
              </w:rPr>
              <w:t>de</w:t>
            </w:r>
            <w:r w:rsidR="00D136BB" w:rsidRPr="00183EB9">
              <w:rPr>
                <w:bCs/>
                <w:sz w:val="20"/>
                <w:lang w:val="es-ES"/>
              </w:rPr>
              <w:t xml:space="preserve"> </w:t>
            </w:r>
            <w:r w:rsidRPr="00183EB9">
              <w:rPr>
                <w:bCs/>
                <w:sz w:val="20"/>
                <w:lang w:val="es-ES"/>
              </w:rPr>
              <w:t>la</w:t>
            </w:r>
            <w:r w:rsidR="00D136BB" w:rsidRPr="00183EB9">
              <w:rPr>
                <w:bCs/>
                <w:sz w:val="20"/>
                <w:lang w:val="es-ES"/>
              </w:rPr>
              <w:t xml:space="preserve"> </w:t>
            </w:r>
            <w:r w:rsidRPr="00183EB9">
              <w:rPr>
                <w:bCs/>
                <w:sz w:val="20"/>
                <w:lang w:val="es-ES"/>
              </w:rPr>
              <w:t>región.</w:t>
            </w:r>
          </w:p>
        </w:tc>
        <w:tc>
          <w:tcPr>
            <w:tcW w:w="1560" w:type="dxa"/>
            <w:shd w:val="clear" w:color="auto" w:fill="auto"/>
            <w:vAlign w:val="center"/>
          </w:tcPr>
          <w:p w14:paraId="436842BC" w14:textId="71D115A9" w:rsidR="006D362C" w:rsidRPr="00183EB9" w:rsidRDefault="006D362C" w:rsidP="00183EB9">
            <w:pPr>
              <w:pStyle w:val="BodyText"/>
              <w:spacing w:after="0"/>
              <w:jc w:val="center"/>
              <w:rPr>
                <w:sz w:val="20"/>
                <w:lang w:val="es-ES"/>
              </w:rPr>
            </w:pPr>
            <w:r w:rsidRPr="00183EB9">
              <w:rPr>
                <w:sz w:val="20"/>
                <w:lang w:val="es-ES"/>
              </w:rPr>
              <w:t>Es</w:t>
            </w:r>
            <w:r w:rsidR="00D136BB" w:rsidRPr="00183EB9">
              <w:rPr>
                <w:sz w:val="20"/>
                <w:lang w:val="es-ES"/>
              </w:rPr>
              <w:t xml:space="preserve"> </w:t>
            </w:r>
            <w:r w:rsidRPr="00183EB9">
              <w:rPr>
                <w:sz w:val="20"/>
                <w:lang w:val="es-ES"/>
              </w:rPr>
              <w:t>importante</w:t>
            </w:r>
            <w:r w:rsidR="00D136BB" w:rsidRPr="00183EB9">
              <w:rPr>
                <w:sz w:val="20"/>
                <w:lang w:val="es-ES"/>
              </w:rPr>
              <w:t xml:space="preserve"> </w:t>
            </w:r>
            <w:r w:rsidRPr="00183EB9">
              <w:rPr>
                <w:sz w:val="20"/>
                <w:lang w:val="es-ES"/>
              </w:rPr>
              <w:t>contar</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avanzadas</w:t>
            </w:r>
            <w:r w:rsidR="00D136BB" w:rsidRPr="00183EB9">
              <w:rPr>
                <w:sz w:val="20"/>
                <w:lang w:val="es-ES"/>
              </w:rPr>
              <w:t xml:space="preserve"> </w:t>
            </w:r>
            <w:r w:rsidRPr="00183EB9">
              <w:rPr>
                <w:sz w:val="20"/>
                <w:lang w:val="es-ES"/>
              </w:rPr>
              <w:t>para</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irradiación</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polímeros</w:t>
            </w:r>
            <w:r w:rsidR="00D136BB" w:rsidRPr="00183EB9">
              <w:rPr>
                <w:sz w:val="20"/>
                <w:lang w:val="es-ES"/>
              </w:rPr>
              <w:t xml:space="preserve"> </w:t>
            </w:r>
            <w:r w:rsidRPr="00183EB9">
              <w:rPr>
                <w:sz w:val="20"/>
                <w:lang w:val="es-ES"/>
              </w:rPr>
              <w:t>naturales</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aplicaciones</w:t>
            </w:r>
            <w:r w:rsidR="00D136BB" w:rsidRPr="00183EB9">
              <w:rPr>
                <w:sz w:val="20"/>
                <w:lang w:val="es-ES"/>
              </w:rPr>
              <w:t xml:space="preserve"> </w:t>
            </w:r>
            <w:r w:rsidRPr="00183EB9">
              <w:rPr>
                <w:sz w:val="20"/>
                <w:lang w:val="es-ES"/>
              </w:rPr>
              <w:t>rentables.</w:t>
            </w:r>
          </w:p>
        </w:tc>
        <w:tc>
          <w:tcPr>
            <w:tcW w:w="1984" w:type="dxa"/>
            <w:shd w:val="clear" w:color="auto" w:fill="auto"/>
            <w:vAlign w:val="center"/>
          </w:tcPr>
          <w:p w14:paraId="11D503A9" w14:textId="1141EB41" w:rsidR="006D362C" w:rsidRPr="00183EB9" w:rsidRDefault="006D362C" w:rsidP="00183EB9">
            <w:pPr>
              <w:pStyle w:val="BodyText"/>
              <w:spacing w:after="0"/>
              <w:jc w:val="center"/>
              <w:rPr>
                <w:sz w:val="20"/>
                <w:lang w:val="es-ES"/>
              </w:rPr>
            </w:pPr>
            <w:r w:rsidRPr="00183EB9">
              <w:rPr>
                <w:sz w:val="20"/>
                <w:lang w:val="es-ES"/>
              </w:rPr>
              <w:t>En</w:t>
            </w:r>
            <w:r w:rsidR="00D136BB" w:rsidRPr="00183EB9">
              <w:rPr>
                <w:sz w:val="20"/>
                <w:lang w:val="es-ES"/>
              </w:rPr>
              <w:t xml:space="preserve"> </w:t>
            </w:r>
            <w:r w:rsidRPr="00183EB9">
              <w:rPr>
                <w:sz w:val="20"/>
                <w:lang w:val="es-ES"/>
              </w:rPr>
              <w:t>casos</w:t>
            </w:r>
            <w:r w:rsidR="00D136BB" w:rsidRPr="00183EB9">
              <w:rPr>
                <w:sz w:val="20"/>
                <w:lang w:val="es-ES"/>
              </w:rPr>
              <w:t xml:space="preserve"> </w:t>
            </w:r>
            <w:r w:rsidRPr="00183EB9">
              <w:rPr>
                <w:sz w:val="20"/>
                <w:lang w:val="es-ES"/>
              </w:rPr>
              <w:t>aislados</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r w:rsidR="00D136BB" w:rsidRPr="00183EB9">
              <w:rPr>
                <w:sz w:val="20"/>
                <w:lang w:val="es-ES"/>
              </w:rPr>
              <w:t xml:space="preserve"> </w:t>
            </w:r>
            <w:r w:rsidRPr="00183EB9">
              <w:rPr>
                <w:sz w:val="20"/>
                <w:lang w:val="es-ES"/>
              </w:rPr>
              <w:t>se</w:t>
            </w:r>
            <w:r w:rsidR="00D136BB" w:rsidRPr="00183EB9">
              <w:rPr>
                <w:sz w:val="20"/>
                <w:lang w:val="es-ES"/>
              </w:rPr>
              <w:t xml:space="preserve"> </w:t>
            </w:r>
            <w:r w:rsidRPr="00183EB9">
              <w:rPr>
                <w:sz w:val="20"/>
                <w:lang w:val="es-ES"/>
              </w:rPr>
              <w:t>realiza</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irradiación</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polímeros</w:t>
            </w:r>
            <w:r w:rsidR="00D136BB" w:rsidRPr="00183EB9">
              <w:rPr>
                <w:sz w:val="20"/>
                <w:lang w:val="es-ES"/>
              </w:rPr>
              <w:t xml:space="preserve"> </w:t>
            </w:r>
            <w:r w:rsidRPr="00183EB9">
              <w:rPr>
                <w:sz w:val="20"/>
                <w:lang w:val="es-ES"/>
              </w:rPr>
              <w:t>naturales.</w:t>
            </w:r>
          </w:p>
        </w:tc>
        <w:tc>
          <w:tcPr>
            <w:tcW w:w="1843" w:type="dxa"/>
            <w:shd w:val="clear" w:color="auto" w:fill="auto"/>
            <w:vAlign w:val="center"/>
          </w:tcPr>
          <w:p w14:paraId="33FA2A4F" w14:textId="278E7B8B" w:rsidR="006D362C" w:rsidRPr="00183EB9" w:rsidRDefault="006D362C" w:rsidP="00183EB9">
            <w:pPr>
              <w:pStyle w:val="BodyText"/>
              <w:spacing w:after="0"/>
              <w:jc w:val="center"/>
              <w:rPr>
                <w:sz w:val="20"/>
                <w:lang w:val="es-ES"/>
              </w:rPr>
            </w:pPr>
            <w:r w:rsidRPr="00183EB9">
              <w:rPr>
                <w:sz w:val="20"/>
                <w:lang w:val="es-ES"/>
              </w:rPr>
              <w:t>Los</w:t>
            </w:r>
            <w:r w:rsidR="00D136BB" w:rsidRPr="00183EB9">
              <w:rPr>
                <w:sz w:val="20"/>
                <w:lang w:val="es-ES"/>
              </w:rPr>
              <w:t xml:space="preserve"> </w:t>
            </w:r>
            <w:r w:rsidRPr="00183EB9">
              <w:rPr>
                <w:sz w:val="20"/>
                <w:lang w:val="es-ES"/>
              </w:rPr>
              <w:t>polímeros</w:t>
            </w:r>
            <w:r w:rsidR="00D136BB" w:rsidRPr="00183EB9">
              <w:rPr>
                <w:sz w:val="20"/>
                <w:lang w:val="es-ES"/>
              </w:rPr>
              <w:t xml:space="preserve"> </w:t>
            </w:r>
            <w:r w:rsidRPr="00183EB9">
              <w:rPr>
                <w:sz w:val="20"/>
                <w:lang w:val="es-ES"/>
              </w:rPr>
              <w:t>naturales</w:t>
            </w:r>
            <w:r w:rsidR="00D136BB" w:rsidRPr="00183EB9">
              <w:rPr>
                <w:sz w:val="20"/>
                <w:lang w:val="es-ES"/>
              </w:rPr>
              <w:t xml:space="preserve"> </w:t>
            </w:r>
            <w:r w:rsidRPr="00183EB9">
              <w:rPr>
                <w:sz w:val="20"/>
                <w:lang w:val="es-ES"/>
              </w:rPr>
              <w:t>no</w:t>
            </w:r>
            <w:r w:rsidR="00D136BB" w:rsidRPr="00183EB9">
              <w:rPr>
                <w:sz w:val="20"/>
                <w:lang w:val="es-ES"/>
              </w:rPr>
              <w:t xml:space="preserve"> </w:t>
            </w:r>
            <w:r w:rsidRPr="00183EB9">
              <w:rPr>
                <w:sz w:val="20"/>
                <w:lang w:val="es-ES"/>
              </w:rPr>
              <w:t>tóxicos,</w:t>
            </w:r>
            <w:r w:rsidR="00D136BB" w:rsidRPr="00183EB9">
              <w:rPr>
                <w:sz w:val="20"/>
                <w:lang w:val="es-ES"/>
              </w:rPr>
              <w:t xml:space="preserve"> </w:t>
            </w:r>
            <w:r w:rsidRPr="00183EB9">
              <w:rPr>
                <w:sz w:val="20"/>
                <w:lang w:val="es-ES"/>
              </w:rPr>
              <w:t>pueden</w:t>
            </w:r>
            <w:r w:rsidR="00D136BB" w:rsidRPr="00183EB9">
              <w:rPr>
                <w:sz w:val="20"/>
                <w:lang w:val="es-ES"/>
              </w:rPr>
              <w:t xml:space="preserve"> </w:t>
            </w:r>
            <w:r w:rsidRPr="00183EB9">
              <w:rPr>
                <w:sz w:val="20"/>
                <w:lang w:val="es-ES"/>
              </w:rPr>
              <w:t>ser</w:t>
            </w:r>
            <w:r w:rsidR="00D136BB" w:rsidRPr="00183EB9">
              <w:rPr>
                <w:sz w:val="20"/>
                <w:lang w:val="es-ES"/>
              </w:rPr>
              <w:t xml:space="preserve"> </w:t>
            </w:r>
            <w:r w:rsidRPr="00183EB9">
              <w:rPr>
                <w:sz w:val="20"/>
                <w:lang w:val="es-ES"/>
              </w:rPr>
              <w:t>empleados</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el</w:t>
            </w:r>
            <w:r w:rsidR="00D136BB" w:rsidRPr="00183EB9">
              <w:rPr>
                <w:sz w:val="20"/>
                <w:lang w:val="es-ES"/>
              </w:rPr>
              <w:t xml:space="preserve"> </w:t>
            </w:r>
            <w:r w:rsidRPr="00183EB9">
              <w:rPr>
                <w:sz w:val="20"/>
                <w:lang w:val="es-ES"/>
              </w:rPr>
              <w:t>cuidado</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salud,</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agricultura</w:t>
            </w:r>
            <w:r w:rsidR="00D136BB" w:rsidRPr="00183EB9">
              <w:rPr>
                <w:sz w:val="20"/>
                <w:lang w:val="es-ES"/>
              </w:rPr>
              <w:t xml:space="preserve"> </w:t>
            </w:r>
            <w:r w:rsidRPr="00183EB9">
              <w:rPr>
                <w:sz w:val="20"/>
                <w:lang w:val="es-ES"/>
              </w:rPr>
              <w:t>y</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industria.</w:t>
            </w:r>
          </w:p>
        </w:tc>
        <w:tc>
          <w:tcPr>
            <w:tcW w:w="1134" w:type="dxa"/>
            <w:shd w:val="clear" w:color="auto" w:fill="auto"/>
            <w:vAlign w:val="center"/>
          </w:tcPr>
          <w:p w14:paraId="1F35F038" w14:textId="77777777" w:rsidR="006D362C" w:rsidRPr="00183EB9" w:rsidRDefault="006D362C" w:rsidP="00183EB9">
            <w:pPr>
              <w:pStyle w:val="BodyText"/>
              <w:spacing w:after="0"/>
              <w:jc w:val="center"/>
              <w:rPr>
                <w:b/>
                <w:bCs/>
                <w:sz w:val="20"/>
                <w:lang w:val="es-ES"/>
              </w:rPr>
            </w:pPr>
          </w:p>
        </w:tc>
        <w:tc>
          <w:tcPr>
            <w:tcW w:w="1700" w:type="dxa"/>
            <w:shd w:val="clear" w:color="auto" w:fill="auto"/>
            <w:vAlign w:val="center"/>
          </w:tcPr>
          <w:p w14:paraId="734D4DD0" w14:textId="2BCD231C" w:rsidR="006D362C" w:rsidRPr="00183EB9" w:rsidRDefault="006D362C" w:rsidP="00183EB9">
            <w:pPr>
              <w:pStyle w:val="BodyText"/>
              <w:spacing w:after="0"/>
              <w:jc w:val="center"/>
              <w:rPr>
                <w:sz w:val="20"/>
                <w:lang w:val="es-ES"/>
              </w:rPr>
            </w:pPr>
            <w:r w:rsidRPr="00183EB9">
              <w:rPr>
                <w:sz w:val="20"/>
                <w:lang w:val="es-ES"/>
              </w:rPr>
              <w:t>Falta</w:t>
            </w:r>
            <w:r w:rsidR="00D136BB" w:rsidRPr="00183EB9">
              <w:rPr>
                <w:sz w:val="20"/>
                <w:lang w:val="es-ES"/>
              </w:rPr>
              <w:t xml:space="preserve"> </w:t>
            </w:r>
            <w:r w:rsidRPr="00183EB9">
              <w:rPr>
                <w:sz w:val="20"/>
                <w:lang w:val="es-ES"/>
              </w:rPr>
              <w:t>difusión</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las</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infraestructura</w:t>
            </w:r>
            <w:r w:rsidR="00D136BB" w:rsidRPr="00183EB9">
              <w:rPr>
                <w:sz w:val="20"/>
                <w:lang w:val="es-ES"/>
              </w:rPr>
              <w:t xml:space="preserve"> </w:t>
            </w:r>
            <w:r w:rsidRPr="00183EB9">
              <w:rPr>
                <w:sz w:val="20"/>
                <w:lang w:val="es-ES"/>
              </w:rPr>
              <w:t>y</w:t>
            </w:r>
            <w:r w:rsidR="00D136BB" w:rsidRPr="00183EB9">
              <w:rPr>
                <w:sz w:val="20"/>
                <w:lang w:val="es-ES"/>
              </w:rPr>
              <w:t xml:space="preserve"> </w:t>
            </w:r>
            <w:r w:rsidRPr="00183EB9">
              <w:rPr>
                <w:sz w:val="20"/>
                <w:lang w:val="es-ES"/>
              </w:rPr>
              <w:t>capacitación</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recursos</w:t>
            </w:r>
            <w:r w:rsidR="00D136BB" w:rsidRPr="00183EB9">
              <w:rPr>
                <w:sz w:val="20"/>
                <w:lang w:val="es-ES"/>
              </w:rPr>
              <w:t xml:space="preserve"> </w:t>
            </w:r>
            <w:r w:rsidRPr="00183EB9">
              <w:rPr>
                <w:sz w:val="20"/>
                <w:lang w:val="es-ES"/>
              </w:rPr>
              <w:t>humanos.</w:t>
            </w:r>
          </w:p>
        </w:tc>
        <w:tc>
          <w:tcPr>
            <w:tcW w:w="699" w:type="dxa"/>
            <w:shd w:val="clear" w:color="auto" w:fill="auto"/>
            <w:vAlign w:val="center"/>
          </w:tcPr>
          <w:p w14:paraId="77AF0A9D" w14:textId="77777777" w:rsidR="006D362C" w:rsidRPr="00183EB9" w:rsidRDefault="006D362C" w:rsidP="00183EB9">
            <w:pPr>
              <w:pStyle w:val="BodyText"/>
              <w:spacing w:after="0"/>
              <w:jc w:val="center"/>
              <w:rPr>
                <w:bCs/>
                <w:sz w:val="20"/>
                <w:lang w:val="es-ES"/>
              </w:rPr>
            </w:pPr>
          </w:p>
        </w:tc>
        <w:tc>
          <w:tcPr>
            <w:tcW w:w="992" w:type="dxa"/>
            <w:shd w:val="clear" w:color="auto" w:fill="auto"/>
            <w:vAlign w:val="center"/>
          </w:tcPr>
          <w:p w14:paraId="1137122A" w14:textId="77777777" w:rsidR="006D362C" w:rsidRPr="00183EB9" w:rsidRDefault="006D362C" w:rsidP="00183EB9">
            <w:pPr>
              <w:pStyle w:val="BodyText"/>
              <w:spacing w:after="0"/>
              <w:jc w:val="center"/>
              <w:rPr>
                <w:b/>
                <w:bCs/>
                <w:sz w:val="20"/>
                <w:lang w:val="es-ES"/>
              </w:rPr>
            </w:pPr>
          </w:p>
        </w:tc>
      </w:tr>
      <w:tr w:rsidR="006D362C" w:rsidRPr="003618E2" w14:paraId="5FBEA2A0" w14:textId="77777777" w:rsidTr="00183EB9">
        <w:trPr>
          <w:jc w:val="center"/>
        </w:trPr>
        <w:tc>
          <w:tcPr>
            <w:tcW w:w="562" w:type="dxa"/>
            <w:vMerge w:val="restart"/>
            <w:shd w:val="clear" w:color="auto" w:fill="FF81AB"/>
            <w:vAlign w:val="center"/>
          </w:tcPr>
          <w:p w14:paraId="2A85F13D" w14:textId="1E254D84" w:rsidR="006D362C" w:rsidRPr="00183EB9" w:rsidRDefault="00325887" w:rsidP="00325887">
            <w:pPr>
              <w:pStyle w:val="BodyText"/>
              <w:spacing w:after="0"/>
              <w:jc w:val="center"/>
              <w:rPr>
                <w:b/>
                <w:bCs/>
                <w:sz w:val="20"/>
                <w:lang w:val="es-ES"/>
              </w:rPr>
            </w:pPr>
            <w:r>
              <w:rPr>
                <w:b/>
                <w:bCs/>
                <w:sz w:val="20"/>
                <w:lang w:val="es-ES"/>
              </w:rPr>
              <w:t>8</w:t>
            </w:r>
          </w:p>
        </w:tc>
        <w:tc>
          <w:tcPr>
            <w:tcW w:w="2137" w:type="dxa"/>
            <w:vMerge w:val="restart"/>
            <w:shd w:val="clear" w:color="auto" w:fill="auto"/>
            <w:vAlign w:val="center"/>
          </w:tcPr>
          <w:p w14:paraId="4E7EEE50" w14:textId="25E4D401" w:rsidR="00183EB9" w:rsidRPr="00183EB9" w:rsidRDefault="00183EB9" w:rsidP="00183EB9">
            <w:pPr>
              <w:pStyle w:val="BodyText"/>
              <w:spacing w:after="0"/>
              <w:jc w:val="center"/>
              <w:rPr>
                <w:iCs/>
                <w:sz w:val="20"/>
                <w:lang w:val="es-PE"/>
              </w:rPr>
            </w:pPr>
            <w:r w:rsidRPr="00183EB9">
              <w:rPr>
                <w:iCs/>
                <w:sz w:val="20"/>
                <w:lang w:val="es-PE"/>
              </w:rPr>
              <w:t>T8</w:t>
            </w:r>
          </w:p>
          <w:p w14:paraId="6F847B1D" w14:textId="768952D1" w:rsidR="006D362C" w:rsidRPr="00183EB9" w:rsidRDefault="006D362C" w:rsidP="00183EB9">
            <w:pPr>
              <w:pStyle w:val="BodyText"/>
              <w:spacing w:after="0"/>
              <w:jc w:val="center"/>
              <w:rPr>
                <w:iCs/>
                <w:sz w:val="20"/>
                <w:lang w:val="es-PE"/>
              </w:rPr>
            </w:pPr>
            <w:r w:rsidRPr="00183EB9">
              <w:rPr>
                <w:iCs/>
                <w:sz w:val="20"/>
                <w:lang w:val="es-PE"/>
              </w:rPr>
              <w:t>Transformación</w:t>
            </w:r>
            <w:r w:rsidR="00D136BB" w:rsidRPr="00183EB9">
              <w:rPr>
                <w:iCs/>
                <w:sz w:val="20"/>
                <w:lang w:val="es-PE"/>
              </w:rPr>
              <w:t xml:space="preserve"> </w:t>
            </w:r>
            <w:r w:rsidRPr="00183EB9">
              <w:rPr>
                <w:iCs/>
                <w:sz w:val="20"/>
                <w:lang w:val="es-PE"/>
              </w:rPr>
              <w:t>sustentable</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recursos</w:t>
            </w:r>
            <w:r w:rsidR="00D136BB" w:rsidRPr="00183EB9">
              <w:rPr>
                <w:iCs/>
                <w:sz w:val="20"/>
                <w:lang w:val="es-PE"/>
              </w:rPr>
              <w:t xml:space="preserve"> </w:t>
            </w:r>
            <w:r w:rsidRPr="00183EB9">
              <w:rPr>
                <w:iCs/>
                <w:sz w:val="20"/>
                <w:lang w:val="es-PE"/>
              </w:rPr>
              <w:t>naturales</w:t>
            </w:r>
            <w:r w:rsidR="00D136BB" w:rsidRPr="00183EB9">
              <w:rPr>
                <w:iCs/>
                <w:sz w:val="20"/>
                <w:lang w:val="es-PE"/>
              </w:rPr>
              <w:t xml:space="preserve"> </w:t>
            </w:r>
            <w:r w:rsidRPr="00183EB9">
              <w:rPr>
                <w:iCs/>
                <w:sz w:val="20"/>
                <w:lang w:val="es-PE"/>
              </w:rPr>
              <w:t>no</w:t>
            </w:r>
            <w:r w:rsidR="00D136BB" w:rsidRPr="00183EB9">
              <w:rPr>
                <w:iCs/>
                <w:sz w:val="20"/>
                <w:lang w:val="es-PE"/>
              </w:rPr>
              <w:t xml:space="preserve"> </w:t>
            </w:r>
            <w:r w:rsidRPr="00183EB9">
              <w:rPr>
                <w:iCs/>
                <w:sz w:val="20"/>
                <w:lang w:val="es-PE"/>
              </w:rPr>
              <w:t>tóxicos</w:t>
            </w:r>
            <w:r w:rsidR="00D136BB" w:rsidRPr="00183EB9">
              <w:rPr>
                <w:iCs/>
                <w:sz w:val="20"/>
                <w:lang w:val="es-PE"/>
              </w:rPr>
              <w:t xml:space="preserve"> </w:t>
            </w:r>
            <w:r w:rsidRPr="00183EB9">
              <w:rPr>
                <w:iCs/>
                <w:sz w:val="20"/>
                <w:lang w:val="es-PE"/>
              </w:rPr>
              <w:t>renovables</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la</w:t>
            </w:r>
            <w:r w:rsidR="00D136BB" w:rsidRPr="00183EB9">
              <w:rPr>
                <w:iCs/>
                <w:sz w:val="20"/>
                <w:lang w:val="es-PE"/>
              </w:rPr>
              <w:t xml:space="preserve"> </w:t>
            </w:r>
            <w:r w:rsidRPr="00183EB9">
              <w:rPr>
                <w:iCs/>
                <w:sz w:val="20"/>
                <w:lang w:val="es-PE"/>
              </w:rPr>
              <w:t>región</w:t>
            </w:r>
            <w:r w:rsidR="00D136BB" w:rsidRPr="00183EB9">
              <w:rPr>
                <w:iCs/>
                <w:sz w:val="20"/>
                <w:lang w:val="es-PE"/>
              </w:rPr>
              <w:t xml:space="preserve"> </w:t>
            </w:r>
            <w:r w:rsidRPr="00183EB9">
              <w:rPr>
                <w:iCs/>
                <w:sz w:val="20"/>
                <w:lang w:val="es-PE"/>
              </w:rPr>
              <w:t>(polímeros</w:t>
            </w:r>
            <w:r w:rsidR="00D136BB" w:rsidRPr="00183EB9">
              <w:rPr>
                <w:iCs/>
                <w:sz w:val="20"/>
                <w:lang w:val="es-PE"/>
              </w:rPr>
              <w:t xml:space="preserve"> </w:t>
            </w:r>
            <w:r w:rsidRPr="00183EB9">
              <w:rPr>
                <w:iCs/>
                <w:sz w:val="20"/>
                <w:lang w:val="es-PE"/>
              </w:rPr>
              <w:t>naturales)</w:t>
            </w:r>
            <w:r w:rsidR="00D136BB" w:rsidRPr="00183EB9">
              <w:rPr>
                <w:iCs/>
                <w:sz w:val="20"/>
                <w:lang w:val="es-PE"/>
              </w:rPr>
              <w:t xml:space="preserve"> </w:t>
            </w:r>
            <w:r w:rsidRPr="00183EB9">
              <w:rPr>
                <w:iCs/>
                <w:sz w:val="20"/>
                <w:lang w:val="es-PE"/>
              </w:rPr>
              <w:t>para</w:t>
            </w:r>
            <w:r w:rsidR="00D136BB" w:rsidRPr="00183EB9">
              <w:rPr>
                <w:iCs/>
                <w:sz w:val="20"/>
                <w:lang w:val="es-PE"/>
              </w:rPr>
              <w:t xml:space="preserve"> </w:t>
            </w:r>
            <w:r w:rsidRPr="00183EB9">
              <w:rPr>
                <w:iCs/>
                <w:sz w:val="20"/>
                <w:lang w:val="es-PE"/>
              </w:rPr>
              <w:t>el</w:t>
            </w:r>
            <w:r w:rsidR="00D136BB" w:rsidRPr="00183EB9">
              <w:rPr>
                <w:iCs/>
                <w:sz w:val="20"/>
                <w:lang w:val="es-PE"/>
              </w:rPr>
              <w:t xml:space="preserve"> </w:t>
            </w:r>
            <w:r w:rsidRPr="00183EB9">
              <w:rPr>
                <w:iCs/>
                <w:sz w:val="20"/>
                <w:lang w:val="es-PE"/>
              </w:rPr>
              <w:t>incremento</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la</w:t>
            </w:r>
            <w:r w:rsidR="00D136BB" w:rsidRPr="00183EB9">
              <w:rPr>
                <w:iCs/>
                <w:sz w:val="20"/>
                <w:lang w:val="es-PE"/>
              </w:rPr>
              <w:t xml:space="preserve"> </w:t>
            </w:r>
            <w:r w:rsidRPr="00183EB9">
              <w:rPr>
                <w:iCs/>
                <w:sz w:val="20"/>
                <w:lang w:val="es-PE"/>
              </w:rPr>
              <w:t>producción</w:t>
            </w:r>
            <w:r w:rsidR="00D136BB" w:rsidRPr="00183EB9">
              <w:rPr>
                <w:iCs/>
                <w:sz w:val="20"/>
                <w:lang w:val="es-PE"/>
              </w:rPr>
              <w:t xml:space="preserve"> </w:t>
            </w:r>
            <w:r w:rsidRPr="00183EB9">
              <w:rPr>
                <w:iCs/>
                <w:sz w:val="20"/>
                <w:lang w:val="es-PE"/>
              </w:rPr>
              <w:t>agrícola</w:t>
            </w:r>
            <w:r w:rsidR="00D136BB" w:rsidRPr="00183EB9">
              <w:rPr>
                <w:iCs/>
                <w:sz w:val="20"/>
                <w:lang w:val="es-PE"/>
              </w:rPr>
              <w:t xml:space="preserve"> </w:t>
            </w:r>
            <w:r w:rsidRPr="00183EB9">
              <w:rPr>
                <w:iCs/>
                <w:sz w:val="20"/>
                <w:lang w:val="es-PE"/>
              </w:rPr>
              <w:t>y</w:t>
            </w:r>
            <w:r w:rsidR="00D136BB" w:rsidRPr="00183EB9">
              <w:rPr>
                <w:iCs/>
                <w:sz w:val="20"/>
                <w:lang w:val="es-PE"/>
              </w:rPr>
              <w:t xml:space="preserve"> </w:t>
            </w:r>
            <w:r w:rsidRPr="00183EB9">
              <w:rPr>
                <w:iCs/>
                <w:sz w:val="20"/>
                <w:lang w:val="es-PE"/>
              </w:rPr>
              <w:t>disminución</w:t>
            </w:r>
            <w:r w:rsidR="00D136BB" w:rsidRPr="00183EB9">
              <w:rPr>
                <w:iCs/>
                <w:sz w:val="20"/>
                <w:lang w:val="es-PE"/>
              </w:rPr>
              <w:t xml:space="preserve"> </w:t>
            </w:r>
            <w:r w:rsidRPr="00183EB9">
              <w:rPr>
                <w:iCs/>
                <w:sz w:val="20"/>
                <w:lang w:val="es-PE"/>
              </w:rPr>
              <w:t>de</w:t>
            </w:r>
            <w:r w:rsidR="00D136BB" w:rsidRPr="00183EB9">
              <w:rPr>
                <w:iCs/>
                <w:sz w:val="20"/>
                <w:lang w:val="es-PE"/>
              </w:rPr>
              <w:t xml:space="preserve"> </w:t>
            </w:r>
            <w:r w:rsidRPr="00183EB9">
              <w:rPr>
                <w:iCs/>
                <w:sz w:val="20"/>
                <w:lang w:val="es-PE"/>
              </w:rPr>
              <w:t>los</w:t>
            </w:r>
            <w:r w:rsidR="00D136BB" w:rsidRPr="00183EB9">
              <w:rPr>
                <w:iCs/>
                <w:sz w:val="20"/>
                <w:lang w:val="es-PE"/>
              </w:rPr>
              <w:t xml:space="preserve"> </w:t>
            </w:r>
            <w:r w:rsidRPr="00183EB9">
              <w:rPr>
                <w:iCs/>
                <w:sz w:val="20"/>
                <w:lang w:val="es-PE"/>
              </w:rPr>
              <w:t>residuos</w:t>
            </w:r>
            <w:r w:rsidR="00D136BB" w:rsidRPr="00183EB9">
              <w:rPr>
                <w:iCs/>
                <w:sz w:val="20"/>
                <w:lang w:val="es-PE"/>
              </w:rPr>
              <w:t xml:space="preserve"> </w:t>
            </w:r>
            <w:r w:rsidRPr="00183EB9">
              <w:rPr>
                <w:iCs/>
                <w:sz w:val="20"/>
                <w:lang w:val="es-PE"/>
              </w:rPr>
              <w:t>y</w:t>
            </w:r>
            <w:r w:rsidR="00D136BB" w:rsidRPr="00183EB9">
              <w:rPr>
                <w:iCs/>
                <w:sz w:val="20"/>
                <w:lang w:val="es-PE"/>
              </w:rPr>
              <w:t xml:space="preserve"> </w:t>
            </w:r>
            <w:r w:rsidRPr="00183EB9">
              <w:rPr>
                <w:iCs/>
                <w:sz w:val="20"/>
                <w:lang w:val="es-PE"/>
              </w:rPr>
              <w:t>la</w:t>
            </w:r>
            <w:r w:rsidR="00D136BB" w:rsidRPr="00183EB9">
              <w:rPr>
                <w:iCs/>
                <w:sz w:val="20"/>
                <w:lang w:val="es-PE"/>
              </w:rPr>
              <w:t xml:space="preserve"> </w:t>
            </w:r>
            <w:r w:rsidRPr="00183EB9">
              <w:rPr>
                <w:iCs/>
                <w:sz w:val="20"/>
                <w:lang w:val="es-PE"/>
              </w:rPr>
              <w:t>contaminación.</w:t>
            </w:r>
          </w:p>
        </w:tc>
        <w:tc>
          <w:tcPr>
            <w:tcW w:w="1559" w:type="dxa"/>
            <w:shd w:val="clear" w:color="auto" w:fill="auto"/>
            <w:vAlign w:val="center"/>
          </w:tcPr>
          <w:p w14:paraId="4873EC17" w14:textId="77777777" w:rsidR="006D362C" w:rsidRPr="00183EB9" w:rsidRDefault="006D362C" w:rsidP="00183EB9">
            <w:pPr>
              <w:pStyle w:val="BodyText"/>
              <w:spacing w:after="0"/>
              <w:jc w:val="center"/>
              <w:rPr>
                <w:bCs/>
                <w:sz w:val="20"/>
                <w:lang w:val="es-ES"/>
              </w:rPr>
            </w:pPr>
            <w:r w:rsidRPr="00183EB9">
              <w:rPr>
                <w:bCs/>
                <w:sz w:val="20"/>
                <w:lang w:val="es-ES"/>
              </w:rPr>
              <w:t>3,5</w:t>
            </w:r>
          </w:p>
        </w:tc>
        <w:tc>
          <w:tcPr>
            <w:tcW w:w="1560" w:type="dxa"/>
            <w:shd w:val="clear" w:color="auto" w:fill="auto"/>
            <w:vAlign w:val="center"/>
          </w:tcPr>
          <w:p w14:paraId="2234FF35" w14:textId="77777777" w:rsidR="006D362C" w:rsidRPr="00183EB9" w:rsidRDefault="006D362C" w:rsidP="00183EB9">
            <w:pPr>
              <w:pStyle w:val="BodyText"/>
              <w:spacing w:after="0"/>
              <w:jc w:val="center"/>
              <w:rPr>
                <w:sz w:val="20"/>
                <w:lang w:val="es-ES"/>
              </w:rPr>
            </w:pPr>
            <w:r w:rsidRPr="00183EB9">
              <w:rPr>
                <w:sz w:val="20"/>
                <w:lang w:val="es-ES"/>
              </w:rPr>
              <w:t>4,0</w:t>
            </w:r>
          </w:p>
        </w:tc>
        <w:tc>
          <w:tcPr>
            <w:tcW w:w="1984" w:type="dxa"/>
            <w:shd w:val="clear" w:color="auto" w:fill="auto"/>
            <w:vAlign w:val="center"/>
          </w:tcPr>
          <w:p w14:paraId="662F475A" w14:textId="77777777" w:rsidR="006D362C" w:rsidRPr="00183EB9" w:rsidRDefault="006D362C" w:rsidP="00183EB9">
            <w:pPr>
              <w:pStyle w:val="BodyText"/>
              <w:spacing w:after="0"/>
              <w:jc w:val="center"/>
              <w:rPr>
                <w:sz w:val="20"/>
                <w:lang w:val="es-ES"/>
              </w:rPr>
            </w:pPr>
            <w:r w:rsidRPr="00183EB9">
              <w:rPr>
                <w:sz w:val="20"/>
                <w:lang w:val="es-ES"/>
              </w:rPr>
              <w:t>3,5</w:t>
            </w:r>
          </w:p>
        </w:tc>
        <w:tc>
          <w:tcPr>
            <w:tcW w:w="1843" w:type="dxa"/>
            <w:shd w:val="clear" w:color="auto" w:fill="auto"/>
            <w:vAlign w:val="center"/>
          </w:tcPr>
          <w:p w14:paraId="3ED14341" w14:textId="77777777" w:rsidR="006D362C" w:rsidRPr="00183EB9" w:rsidRDefault="006D362C" w:rsidP="00183EB9">
            <w:pPr>
              <w:pStyle w:val="BodyText"/>
              <w:spacing w:after="0"/>
              <w:jc w:val="center"/>
              <w:rPr>
                <w:sz w:val="20"/>
                <w:lang w:val="es-ES"/>
              </w:rPr>
            </w:pPr>
            <w:r w:rsidRPr="00183EB9">
              <w:rPr>
                <w:sz w:val="20"/>
                <w:lang w:val="es-ES"/>
              </w:rPr>
              <w:t>3,5</w:t>
            </w:r>
          </w:p>
        </w:tc>
        <w:tc>
          <w:tcPr>
            <w:tcW w:w="1134" w:type="dxa"/>
            <w:shd w:val="clear" w:color="auto" w:fill="auto"/>
            <w:vAlign w:val="center"/>
          </w:tcPr>
          <w:p w14:paraId="7D0DDC3E" w14:textId="77777777" w:rsidR="006D362C" w:rsidRPr="00183EB9" w:rsidRDefault="006D362C" w:rsidP="00183EB9">
            <w:pPr>
              <w:pStyle w:val="BodyText"/>
              <w:spacing w:after="0"/>
              <w:jc w:val="center"/>
              <w:rPr>
                <w:sz w:val="20"/>
                <w:lang w:val="es-ES_tradnl"/>
              </w:rPr>
            </w:pPr>
            <w:r w:rsidRPr="00183EB9">
              <w:rPr>
                <w:sz w:val="20"/>
                <w:lang w:val="es-ES_tradnl"/>
              </w:rPr>
              <w:t>14,50</w:t>
            </w:r>
          </w:p>
        </w:tc>
        <w:tc>
          <w:tcPr>
            <w:tcW w:w="1700" w:type="dxa"/>
            <w:shd w:val="clear" w:color="auto" w:fill="auto"/>
            <w:vAlign w:val="center"/>
          </w:tcPr>
          <w:p w14:paraId="17C7293E" w14:textId="77777777" w:rsidR="006D362C" w:rsidRPr="00183EB9" w:rsidRDefault="006D362C" w:rsidP="00183EB9">
            <w:pPr>
              <w:pStyle w:val="BodyText"/>
              <w:spacing w:after="0"/>
              <w:jc w:val="center"/>
              <w:rPr>
                <w:sz w:val="20"/>
                <w:lang w:val="es-ES"/>
              </w:rPr>
            </w:pPr>
            <w:r w:rsidRPr="00183EB9">
              <w:rPr>
                <w:sz w:val="20"/>
                <w:lang w:val="es-ES"/>
              </w:rPr>
              <w:t>3,00</w:t>
            </w:r>
          </w:p>
        </w:tc>
        <w:tc>
          <w:tcPr>
            <w:tcW w:w="699" w:type="dxa"/>
            <w:shd w:val="clear" w:color="auto" w:fill="auto"/>
            <w:vAlign w:val="center"/>
          </w:tcPr>
          <w:p w14:paraId="4E85E698" w14:textId="77777777" w:rsidR="006D362C" w:rsidRPr="00183EB9" w:rsidRDefault="006D362C" w:rsidP="00183EB9">
            <w:pPr>
              <w:pStyle w:val="BodyText"/>
              <w:spacing w:after="0"/>
              <w:jc w:val="center"/>
              <w:rPr>
                <w:sz w:val="20"/>
                <w:lang w:val="es-ES_tradnl"/>
              </w:rPr>
            </w:pPr>
            <w:r w:rsidRPr="00183EB9">
              <w:rPr>
                <w:sz w:val="20"/>
                <w:lang w:val="es-ES_tradnl"/>
              </w:rPr>
              <w:t>1,17</w:t>
            </w:r>
          </w:p>
        </w:tc>
        <w:tc>
          <w:tcPr>
            <w:tcW w:w="992" w:type="dxa"/>
            <w:shd w:val="clear" w:color="auto" w:fill="auto"/>
            <w:vAlign w:val="center"/>
          </w:tcPr>
          <w:p w14:paraId="01EC4278" w14:textId="77777777" w:rsidR="006D362C" w:rsidRPr="00183EB9" w:rsidRDefault="006D362C" w:rsidP="00183EB9">
            <w:pPr>
              <w:pStyle w:val="BodyText"/>
              <w:spacing w:after="0"/>
              <w:jc w:val="center"/>
              <w:rPr>
                <w:sz w:val="20"/>
                <w:lang w:val="es-ES_tradnl"/>
              </w:rPr>
            </w:pPr>
            <w:r w:rsidRPr="00183EB9">
              <w:rPr>
                <w:sz w:val="20"/>
                <w:lang w:val="es-ES_tradnl"/>
              </w:rPr>
              <w:t>16,92</w:t>
            </w:r>
          </w:p>
        </w:tc>
      </w:tr>
      <w:tr w:rsidR="006D362C" w:rsidRPr="003618E2" w14:paraId="1AAFDD9F" w14:textId="77777777" w:rsidTr="00183EB9">
        <w:trPr>
          <w:jc w:val="center"/>
        </w:trPr>
        <w:tc>
          <w:tcPr>
            <w:tcW w:w="562" w:type="dxa"/>
            <w:vMerge/>
            <w:shd w:val="clear" w:color="auto" w:fill="FF81AB"/>
            <w:vAlign w:val="center"/>
          </w:tcPr>
          <w:p w14:paraId="2F71B456" w14:textId="77777777" w:rsidR="006D362C" w:rsidRPr="00183EB9" w:rsidRDefault="006D362C" w:rsidP="00183EB9">
            <w:pPr>
              <w:pStyle w:val="BodyText"/>
              <w:spacing w:after="0"/>
              <w:rPr>
                <w:b/>
                <w:bCs/>
                <w:sz w:val="20"/>
                <w:lang w:val="es-ES"/>
              </w:rPr>
            </w:pPr>
          </w:p>
        </w:tc>
        <w:tc>
          <w:tcPr>
            <w:tcW w:w="2137" w:type="dxa"/>
            <w:vMerge/>
            <w:shd w:val="clear" w:color="auto" w:fill="auto"/>
            <w:vAlign w:val="center"/>
          </w:tcPr>
          <w:p w14:paraId="38201A6A" w14:textId="77777777" w:rsidR="006D362C" w:rsidRPr="00183EB9" w:rsidRDefault="006D362C" w:rsidP="00183EB9">
            <w:pPr>
              <w:pStyle w:val="BodyText"/>
              <w:spacing w:after="0"/>
              <w:rPr>
                <w:bCs/>
                <w:sz w:val="20"/>
                <w:lang w:val="es-ES"/>
              </w:rPr>
            </w:pPr>
          </w:p>
        </w:tc>
        <w:tc>
          <w:tcPr>
            <w:tcW w:w="1559" w:type="dxa"/>
            <w:shd w:val="clear" w:color="auto" w:fill="auto"/>
            <w:vAlign w:val="center"/>
          </w:tcPr>
          <w:p w14:paraId="42A21FD0" w14:textId="77777777" w:rsidR="006D362C" w:rsidRPr="00183EB9" w:rsidRDefault="006D362C" w:rsidP="00183EB9">
            <w:pPr>
              <w:pStyle w:val="BodyText"/>
              <w:spacing w:after="0"/>
              <w:jc w:val="center"/>
              <w:rPr>
                <w:bCs/>
                <w:sz w:val="20"/>
                <w:lang w:val="es-ES"/>
              </w:rPr>
            </w:pPr>
          </w:p>
        </w:tc>
        <w:tc>
          <w:tcPr>
            <w:tcW w:w="1560" w:type="dxa"/>
            <w:shd w:val="clear" w:color="auto" w:fill="auto"/>
            <w:vAlign w:val="center"/>
          </w:tcPr>
          <w:p w14:paraId="60AB3717" w14:textId="50A851D0" w:rsidR="006D362C" w:rsidRPr="00183EB9" w:rsidRDefault="006D362C" w:rsidP="00183EB9">
            <w:pPr>
              <w:pStyle w:val="BodyText"/>
              <w:spacing w:after="0"/>
              <w:jc w:val="center"/>
              <w:rPr>
                <w:sz w:val="20"/>
                <w:lang w:val="es-ES"/>
              </w:rPr>
            </w:pPr>
            <w:r w:rsidRPr="00183EB9">
              <w:rPr>
                <w:sz w:val="20"/>
                <w:lang w:val="es-ES"/>
              </w:rPr>
              <w:t>Es</w:t>
            </w:r>
            <w:r w:rsidR="00D136BB" w:rsidRPr="00183EB9">
              <w:rPr>
                <w:sz w:val="20"/>
                <w:lang w:val="es-ES"/>
              </w:rPr>
              <w:t xml:space="preserve"> </w:t>
            </w:r>
            <w:r w:rsidRPr="00183EB9">
              <w:rPr>
                <w:sz w:val="20"/>
                <w:lang w:val="es-ES"/>
              </w:rPr>
              <w:t>importante</w:t>
            </w:r>
            <w:r w:rsidR="00D136BB" w:rsidRPr="00183EB9">
              <w:rPr>
                <w:sz w:val="20"/>
                <w:lang w:val="es-ES"/>
              </w:rPr>
              <w:t xml:space="preserve"> </w:t>
            </w:r>
            <w:r w:rsidRPr="00183EB9">
              <w:rPr>
                <w:sz w:val="20"/>
                <w:lang w:val="es-ES"/>
              </w:rPr>
              <w:t>contar</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avanzadas</w:t>
            </w:r>
            <w:r w:rsidR="00D136BB" w:rsidRPr="00183EB9">
              <w:rPr>
                <w:sz w:val="20"/>
                <w:lang w:val="es-ES"/>
              </w:rPr>
              <w:t xml:space="preserve"> </w:t>
            </w:r>
            <w:r w:rsidRPr="00183EB9">
              <w:rPr>
                <w:sz w:val="20"/>
                <w:lang w:val="es-ES"/>
              </w:rPr>
              <w:t>y</w:t>
            </w:r>
            <w:r w:rsidR="00D136BB" w:rsidRPr="00183EB9">
              <w:rPr>
                <w:sz w:val="20"/>
                <w:lang w:val="es-ES"/>
              </w:rPr>
              <w:t xml:space="preserve"> </w:t>
            </w:r>
            <w:r w:rsidRPr="00183EB9">
              <w:rPr>
                <w:sz w:val="20"/>
                <w:lang w:val="es-ES"/>
              </w:rPr>
              <w:t>no</w:t>
            </w:r>
            <w:r w:rsidR="00D136BB" w:rsidRPr="00183EB9">
              <w:rPr>
                <w:sz w:val="20"/>
                <w:lang w:val="es-ES"/>
              </w:rPr>
              <w:t xml:space="preserve"> </w:t>
            </w:r>
            <w:r w:rsidRPr="00183EB9">
              <w:rPr>
                <w:sz w:val="20"/>
                <w:lang w:val="es-ES"/>
              </w:rPr>
              <w:t>destructivas.</w:t>
            </w:r>
          </w:p>
        </w:tc>
        <w:tc>
          <w:tcPr>
            <w:tcW w:w="1984" w:type="dxa"/>
            <w:shd w:val="clear" w:color="auto" w:fill="auto"/>
            <w:vAlign w:val="center"/>
          </w:tcPr>
          <w:p w14:paraId="236D66F7" w14:textId="0D05D388" w:rsidR="006D362C" w:rsidRPr="00183EB9" w:rsidRDefault="006D362C" w:rsidP="00183EB9">
            <w:pPr>
              <w:pStyle w:val="BodyText"/>
              <w:spacing w:after="0"/>
              <w:jc w:val="center"/>
              <w:rPr>
                <w:sz w:val="20"/>
                <w:lang w:val="es-ES"/>
              </w:rPr>
            </w:pPr>
            <w:r w:rsidRPr="00183EB9">
              <w:rPr>
                <w:sz w:val="20"/>
                <w:lang w:val="es-ES"/>
              </w:rPr>
              <w:t>En</w:t>
            </w:r>
            <w:r w:rsidR="00D136BB" w:rsidRPr="00183EB9">
              <w:rPr>
                <w:sz w:val="20"/>
                <w:lang w:val="es-ES"/>
              </w:rPr>
              <w:t xml:space="preserve"> </w:t>
            </w:r>
            <w:r w:rsidRPr="00183EB9">
              <w:rPr>
                <w:sz w:val="20"/>
                <w:lang w:val="es-ES"/>
              </w:rPr>
              <w:t>casos</w:t>
            </w:r>
            <w:r w:rsidR="00D136BB" w:rsidRPr="00183EB9">
              <w:rPr>
                <w:sz w:val="20"/>
                <w:lang w:val="es-ES"/>
              </w:rPr>
              <w:t xml:space="preserve"> </w:t>
            </w:r>
            <w:r w:rsidRPr="00183EB9">
              <w:rPr>
                <w:sz w:val="20"/>
                <w:lang w:val="es-ES"/>
              </w:rPr>
              <w:t>aislados</w:t>
            </w:r>
            <w:r w:rsidR="00D136BB" w:rsidRPr="00183EB9">
              <w:rPr>
                <w:sz w:val="20"/>
                <w:lang w:val="es-ES"/>
              </w:rPr>
              <w:t xml:space="preserve"> </w:t>
            </w:r>
            <w:r w:rsidRPr="00183EB9">
              <w:rPr>
                <w:sz w:val="20"/>
                <w:lang w:val="es-ES"/>
              </w:rPr>
              <w:t>en</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r w:rsidR="00D136BB" w:rsidRPr="00183EB9">
              <w:rPr>
                <w:sz w:val="20"/>
                <w:lang w:val="es-ES"/>
              </w:rPr>
              <w:t xml:space="preserve"> </w:t>
            </w:r>
            <w:r w:rsidRPr="00183EB9">
              <w:rPr>
                <w:sz w:val="20"/>
                <w:lang w:val="es-ES"/>
              </w:rPr>
              <w:t>se</w:t>
            </w:r>
            <w:r w:rsidR="00D136BB" w:rsidRPr="00183EB9">
              <w:rPr>
                <w:sz w:val="20"/>
                <w:lang w:val="es-ES"/>
              </w:rPr>
              <w:t xml:space="preserve"> </w:t>
            </w:r>
            <w:r w:rsidRPr="00183EB9">
              <w:rPr>
                <w:sz w:val="20"/>
                <w:lang w:val="es-ES"/>
              </w:rPr>
              <w:t>tienen</w:t>
            </w:r>
            <w:r w:rsidR="00D136BB" w:rsidRPr="00183EB9">
              <w:rPr>
                <w:sz w:val="20"/>
                <w:lang w:val="es-ES"/>
              </w:rPr>
              <w:t xml:space="preserve"> </w:t>
            </w:r>
            <w:r w:rsidRPr="00183EB9">
              <w:rPr>
                <w:sz w:val="20"/>
                <w:lang w:val="es-ES"/>
              </w:rPr>
              <w:t>implementadas</w:t>
            </w:r>
            <w:r w:rsidR="00D136BB" w:rsidRPr="00183EB9">
              <w:rPr>
                <w:sz w:val="20"/>
                <w:lang w:val="es-ES"/>
              </w:rPr>
              <w:t xml:space="preserve"> </w:t>
            </w:r>
            <w:r w:rsidRPr="00183EB9">
              <w:rPr>
                <w:sz w:val="20"/>
                <w:lang w:val="es-ES"/>
              </w:rPr>
              <w:t>algunas</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con</w:t>
            </w:r>
            <w:r w:rsidR="00D136BB" w:rsidRPr="00183EB9">
              <w:rPr>
                <w:sz w:val="20"/>
                <w:lang w:val="es-ES"/>
              </w:rPr>
              <w:t xml:space="preserve"> </w:t>
            </w:r>
            <w:r w:rsidRPr="00183EB9">
              <w:rPr>
                <w:sz w:val="20"/>
                <w:lang w:val="es-ES"/>
              </w:rPr>
              <w:t>radiación,</w:t>
            </w:r>
            <w:r w:rsidR="00D136BB" w:rsidRPr="00183EB9">
              <w:rPr>
                <w:sz w:val="20"/>
                <w:lang w:val="es-ES"/>
              </w:rPr>
              <w:t xml:space="preserve"> </w:t>
            </w:r>
            <w:r w:rsidRPr="00183EB9">
              <w:rPr>
                <w:sz w:val="20"/>
                <w:lang w:val="es-ES"/>
              </w:rPr>
              <w:t>aplicadas</w:t>
            </w:r>
            <w:r w:rsidR="00D136BB" w:rsidRPr="00183EB9">
              <w:rPr>
                <w:sz w:val="20"/>
                <w:lang w:val="es-ES"/>
              </w:rPr>
              <w:t xml:space="preserve"> </w:t>
            </w:r>
            <w:r w:rsidRPr="00183EB9">
              <w:rPr>
                <w:sz w:val="20"/>
                <w:lang w:val="es-ES"/>
              </w:rPr>
              <w:t>a</w:t>
            </w:r>
            <w:r w:rsidR="00D136BB" w:rsidRPr="00183EB9">
              <w:rPr>
                <w:sz w:val="20"/>
                <w:lang w:val="es-ES"/>
              </w:rPr>
              <w:t xml:space="preserve"> </w:t>
            </w:r>
            <w:r w:rsidRPr="00183EB9">
              <w:rPr>
                <w:sz w:val="20"/>
                <w:lang w:val="es-ES"/>
              </w:rPr>
              <w:t>caracterización</w:t>
            </w:r>
            <w:r w:rsidR="00D136BB" w:rsidRPr="00183EB9">
              <w:rPr>
                <w:sz w:val="20"/>
                <w:lang w:val="es-ES"/>
              </w:rPr>
              <w:t xml:space="preserve"> </w:t>
            </w:r>
            <w:r w:rsidRPr="00183EB9">
              <w:rPr>
                <w:sz w:val="20"/>
                <w:lang w:val="es-ES"/>
              </w:rPr>
              <w:t>o</w:t>
            </w:r>
            <w:r w:rsidR="00D136BB" w:rsidRPr="00183EB9">
              <w:rPr>
                <w:sz w:val="20"/>
                <w:lang w:val="es-ES"/>
              </w:rPr>
              <w:t xml:space="preserve"> </w:t>
            </w:r>
            <w:r w:rsidRPr="00183EB9">
              <w:rPr>
                <w:sz w:val="20"/>
                <w:lang w:val="es-ES"/>
              </w:rPr>
              <w:t>preservación.</w:t>
            </w:r>
          </w:p>
        </w:tc>
        <w:tc>
          <w:tcPr>
            <w:tcW w:w="1843" w:type="dxa"/>
            <w:shd w:val="clear" w:color="auto" w:fill="auto"/>
            <w:vAlign w:val="center"/>
          </w:tcPr>
          <w:p w14:paraId="3713E401" w14:textId="534F63A0" w:rsidR="006D362C" w:rsidRPr="00183EB9" w:rsidRDefault="006D362C" w:rsidP="00183EB9">
            <w:pPr>
              <w:pStyle w:val="BodyText"/>
              <w:spacing w:after="0"/>
              <w:jc w:val="center"/>
              <w:rPr>
                <w:sz w:val="20"/>
                <w:lang w:val="es-ES"/>
              </w:rPr>
            </w:pPr>
            <w:r w:rsidRPr="00183EB9">
              <w:rPr>
                <w:sz w:val="20"/>
                <w:lang w:val="es-ES"/>
              </w:rPr>
              <w:t>Es</w:t>
            </w:r>
            <w:r w:rsidR="00D136BB" w:rsidRPr="00183EB9">
              <w:rPr>
                <w:sz w:val="20"/>
                <w:lang w:val="es-ES"/>
              </w:rPr>
              <w:t xml:space="preserve"> </w:t>
            </w:r>
            <w:r w:rsidRPr="00183EB9">
              <w:rPr>
                <w:sz w:val="20"/>
                <w:lang w:val="es-ES"/>
              </w:rPr>
              <w:t>importante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preservación</w:t>
            </w:r>
            <w:r w:rsidR="00D136BB" w:rsidRPr="00183EB9">
              <w:rPr>
                <w:sz w:val="20"/>
                <w:lang w:val="es-ES"/>
              </w:rPr>
              <w:t xml:space="preserve"> </w:t>
            </w:r>
            <w:r w:rsidRPr="00183EB9">
              <w:rPr>
                <w:sz w:val="20"/>
                <w:lang w:val="es-ES"/>
              </w:rPr>
              <w:t>del</w:t>
            </w:r>
            <w:r w:rsidR="00D136BB" w:rsidRPr="00183EB9">
              <w:rPr>
                <w:sz w:val="20"/>
                <w:lang w:val="es-ES"/>
              </w:rPr>
              <w:t xml:space="preserve"> </w:t>
            </w:r>
            <w:r w:rsidRPr="00183EB9">
              <w:rPr>
                <w:sz w:val="20"/>
                <w:lang w:val="es-ES"/>
              </w:rPr>
              <w:t>rico</w:t>
            </w:r>
            <w:r w:rsidR="00D136BB" w:rsidRPr="00183EB9">
              <w:rPr>
                <w:sz w:val="20"/>
                <w:lang w:val="es-ES"/>
              </w:rPr>
              <w:t xml:space="preserve"> </w:t>
            </w:r>
            <w:r w:rsidRPr="00183EB9">
              <w:rPr>
                <w:sz w:val="20"/>
                <w:lang w:val="es-ES"/>
              </w:rPr>
              <w:t>y</w:t>
            </w:r>
            <w:r w:rsidR="00D136BB" w:rsidRPr="00183EB9">
              <w:rPr>
                <w:sz w:val="20"/>
                <w:lang w:val="es-ES"/>
              </w:rPr>
              <w:t xml:space="preserve"> </w:t>
            </w:r>
            <w:r w:rsidRPr="00183EB9">
              <w:rPr>
                <w:sz w:val="20"/>
                <w:lang w:val="es-ES"/>
              </w:rPr>
              <w:t>basto</w:t>
            </w:r>
            <w:r w:rsidR="00D136BB" w:rsidRPr="00183EB9">
              <w:rPr>
                <w:sz w:val="20"/>
                <w:lang w:val="es-ES"/>
              </w:rPr>
              <w:t xml:space="preserve"> </w:t>
            </w:r>
            <w:r w:rsidRPr="00183EB9">
              <w:rPr>
                <w:sz w:val="20"/>
                <w:lang w:val="es-ES"/>
              </w:rPr>
              <w:t>patrimonio</w:t>
            </w:r>
            <w:r w:rsidR="00D136BB" w:rsidRPr="00183EB9">
              <w:rPr>
                <w:sz w:val="20"/>
                <w:lang w:val="es-ES"/>
              </w:rPr>
              <w:t xml:space="preserve"> </w:t>
            </w:r>
            <w:r w:rsidRPr="00183EB9">
              <w:rPr>
                <w:sz w:val="20"/>
                <w:lang w:val="es-ES"/>
              </w:rPr>
              <w:t>cultural</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w:t>
            </w:r>
            <w:r w:rsidR="00D136BB" w:rsidRPr="00183EB9">
              <w:rPr>
                <w:sz w:val="20"/>
                <w:lang w:val="es-ES"/>
              </w:rPr>
              <w:t xml:space="preserve"> </w:t>
            </w:r>
            <w:r w:rsidRPr="00183EB9">
              <w:rPr>
                <w:sz w:val="20"/>
                <w:lang w:val="es-ES"/>
              </w:rPr>
              <w:t>región</w:t>
            </w:r>
            <w:r w:rsidR="00D136BB" w:rsidRPr="00183EB9">
              <w:rPr>
                <w:sz w:val="20"/>
                <w:lang w:val="es-ES"/>
              </w:rPr>
              <w:t xml:space="preserve"> </w:t>
            </w:r>
            <w:r w:rsidRPr="00183EB9">
              <w:rPr>
                <w:sz w:val="20"/>
                <w:lang w:val="es-ES"/>
              </w:rPr>
              <w:t>a</w:t>
            </w:r>
            <w:r w:rsidR="00D136BB" w:rsidRPr="00183EB9">
              <w:rPr>
                <w:sz w:val="20"/>
                <w:lang w:val="es-ES"/>
              </w:rPr>
              <w:t xml:space="preserve"> </w:t>
            </w:r>
            <w:r w:rsidRPr="00183EB9">
              <w:rPr>
                <w:sz w:val="20"/>
                <w:lang w:val="es-ES"/>
              </w:rPr>
              <w:t>costos</w:t>
            </w:r>
            <w:r w:rsidR="00D136BB" w:rsidRPr="00183EB9">
              <w:rPr>
                <w:sz w:val="20"/>
                <w:lang w:val="es-ES"/>
              </w:rPr>
              <w:t xml:space="preserve"> </w:t>
            </w:r>
            <w:r w:rsidRPr="00183EB9">
              <w:rPr>
                <w:sz w:val="20"/>
                <w:lang w:val="es-ES"/>
              </w:rPr>
              <w:t>competitivos.</w:t>
            </w:r>
          </w:p>
        </w:tc>
        <w:tc>
          <w:tcPr>
            <w:tcW w:w="1134" w:type="dxa"/>
            <w:shd w:val="clear" w:color="auto" w:fill="auto"/>
            <w:vAlign w:val="center"/>
          </w:tcPr>
          <w:p w14:paraId="111EBEC7" w14:textId="77777777" w:rsidR="006D362C" w:rsidRPr="00183EB9" w:rsidRDefault="006D362C" w:rsidP="00183EB9">
            <w:pPr>
              <w:pStyle w:val="BodyText"/>
              <w:spacing w:after="0"/>
              <w:jc w:val="center"/>
              <w:rPr>
                <w:b/>
                <w:bCs/>
                <w:sz w:val="20"/>
                <w:lang w:val="es-ES"/>
              </w:rPr>
            </w:pPr>
          </w:p>
        </w:tc>
        <w:tc>
          <w:tcPr>
            <w:tcW w:w="1700" w:type="dxa"/>
            <w:shd w:val="clear" w:color="auto" w:fill="auto"/>
            <w:vAlign w:val="center"/>
          </w:tcPr>
          <w:p w14:paraId="6389858C" w14:textId="259051AC" w:rsidR="006D362C" w:rsidRPr="00183EB9" w:rsidRDefault="006D362C" w:rsidP="00183EB9">
            <w:pPr>
              <w:pStyle w:val="BodyText"/>
              <w:spacing w:after="0"/>
              <w:jc w:val="center"/>
              <w:rPr>
                <w:sz w:val="20"/>
                <w:lang w:val="es-ES"/>
              </w:rPr>
            </w:pPr>
            <w:r w:rsidRPr="00183EB9">
              <w:rPr>
                <w:sz w:val="20"/>
                <w:lang w:val="es-ES"/>
              </w:rPr>
              <w:t>Falta</w:t>
            </w:r>
            <w:r w:rsidR="00D136BB" w:rsidRPr="00183EB9">
              <w:rPr>
                <w:sz w:val="20"/>
                <w:lang w:val="es-ES"/>
              </w:rPr>
              <w:t xml:space="preserve"> </w:t>
            </w:r>
            <w:r w:rsidRPr="00183EB9">
              <w:rPr>
                <w:sz w:val="20"/>
                <w:lang w:val="es-ES"/>
              </w:rPr>
              <w:t>difusión</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las</w:t>
            </w:r>
            <w:r w:rsidR="00D136BB" w:rsidRPr="00183EB9">
              <w:rPr>
                <w:sz w:val="20"/>
                <w:lang w:val="es-ES"/>
              </w:rPr>
              <w:t xml:space="preserve"> </w:t>
            </w:r>
            <w:r w:rsidRPr="00183EB9">
              <w:rPr>
                <w:sz w:val="20"/>
                <w:lang w:val="es-ES"/>
              </w:rPr>
              <w:t>tecnologías,</w:t>
            </w:r>
            <w:r w:rsidR="00D136BB" w:rsidRPr="00183EB9">
              <w:rPr>
                <w:sz w:val="20"/>
                <w:lang w:val="es-ES"/>
              </w:rPr>
              <w:t xml:space="preserve"> </w:t>
            </w:r>
            <w:r w:rsidRPr="00183EB9">
              <w:rPr>
                <w:sz w:val="20"/>
                <w:lang w:val="es-ES"/>
              </w:rPr>
              <w:t>infraestructura</w:t>
            </w:r>
            <w:r w:rsidR="00D136BB" w:rsidRPr="00183EB9">
              <w:rPr>
                <w:sz w:val="20"/>
                <w:lang w:val="es-ES"/>
              </w:rPr>
              <w:t xml:space="preserve"> </w:t>
            </w:r>
            <w:r w:rsidRPr="00183EB9">
              <w:rPr>
                <w:sz w:val="20"/>
                <w:lang w:val="es-ES"/>
              </w:rPr>
              <w:t>y</w:t>
            </w:r>
            <w:r w:rsidR="00D136BB" w:rsidRPr="00183EB9">
              <w:rPr>
                <w:sz w:val="20"/>
                <w:lang w:val="es-ES"/>
              </w:rPr>
              <w:t xml:space="preserve"> </w:t>
            </w:r>
            <w:r w:rsidRPr="00183EB9">
              <w:rPr>
                <w:sz w:val="20"/>
                <w:lang w:val="es-ES"/>
              </w:rPr>
              <w:t>capacitación</w:t>
            </w:r>
            <w:r w:rsidR="00D136BB" w:rsidRPr="00183EB9">
              <w:rPr>
                <w:sz w:val="20"/>
                <w:lang w:val="es-ES"/>
              </w:rPr>
              <w:t xml:space="preserve"> </w:t>
            </w:r>
            <w:r w:rsidRPr="00183EB9">
              <w:rPr>
                <w:sz w:val="20"/>
                <w:lang w:val="es-ES"/>
              </w:rPr>
              <w:t>de</w:t>
            </w:r>
            <w:r w:rsidR="00D136BB" w:rsidRPr="00183EB9">
              <w:rPr>
                <w:sz w:val="20"/>
                <w:lang w:val="es-ES"/>
              </w:rPr>
              <w:t xml:space="preserve"> </w:t>
            </w:r>
            <w:r w:rsidRPr="00183EB9">
              <w:rPr>
                <w:sz w:val="20"/>
                <w:lang w:val="es-ES"/>
              </w:rPr>
              <w:t>recursos</w:t>
            </w:r>
            <w:r w:rsidR="00D136BB" w:rsidRPr="00183EB9">
              <w:rPr>
                <w:sz w:val="20"/>
                <w:lang w:val="es-ES"/>
              </w:rPr>
              <w:t xml:space="preserve"> </w:t>
            </w:r>
            <w:r w:rsidRPr="00183EB9">
              <w:rPr>
                <w:sz w:val="20"/>
                <w:lang w:val="es-ES"/>
              </w:rPr>
              <w:t>humanos.</w:t>
            </w:r>
          </w:p>
        </w:tc>
        <w:tc>
          <w:tcPr>
            <w:tcW w:w="699" w:type="dxa"/>
            <w:shd w:val="clear" w:color="auto" w:fill="auto"/>
            <w:vAlign w:val="center"/>
          </w:tcPr>
          <w:p w14:paraId="2DD540F9" w14:textId="77777777" w:rsidR="006D362C" w:rsidRPr="00183EB9" w:rsidRDefault="006D362C" w:rsidP="00183EB9">
            <w:pPr>
              <w:pStyle w:val="BodyText"/>
              <w:spacing w:after="0"/>
              <w:jc w:val="center"/>
              <w:rPr>
                <w:bCs/>
                <w:sz w:val="20"/>
                <w:lang w:val="es-ES"/>
              </w:rPr>
            </w:pPr>
          </w:p>
        </w:tc>
        <w:tc>
          <w:tcPr>
            <w:tcW w:w="992" w:type="dxa"/>
            <w:shd w:val="clear" w:color="auto" w:fill="auto"/>
            <w:vAlign w:val="center"/>
          </w:tcPr>
          <w:p w14:paraId="692A669F" w14:textId="77777777" w:rsidR="006D362C" w:rsidRPr="00183EB9" w:rsidRDefault="006D362C" w:rsidP="00183EB9">
            <w:pPr>
              <w:pStyle w:val="BodyText"/>
              <w:spacing w:after="0"/>
              <w:jc w:val="center"/>
              <w:rPr>
                <w:b/>
                <w:bCs/>
                <w:sz w:val="20"/>
                <w:lang w:val="es-ES"/>
              </w:rPr>
            </w:pPr>
          </w:p>
        </w:tc>
      </w:tr>
    </w:tbl>
    <w:p w14:paraId="67D5D9E7" w14:textId="77777777" w:rsidR="006D362C" w:rsidRPr="003618E2" w:rsidRDefault="006D362C" w:rsidP="006D362C">
      <w:pPr>
        <w:pStyle w:val="BodyText"/>
        <w:rPr>
          <w:lang w:val="es-ES_tradnl"/>
        </w:rPr>
      </w:pPr>
    </w:p>
    <w:p w14:paraId="577071AA" w14:textId="56C9DE75" w:rsidR="006D362C" w:rsidRDefault="00012458" w:rsidP="007C7C0A">
      <w:pPr>
        <w:jc w:val="center"/>
        <w:rPr>
          <w:rFonts w:ascii="Times New Roman" w:hAnsi="Times New Roman" w:cs="Times New Roman"/>
          <w:sz w:val="24"/>
          <w:szCs w:val="24"/>
        </w:rPr>
      </w:pPr>
      <w:r>
        <w:rPr>
          <w:rFonts w:ascii="Times New Roman" w:hAnsi="Times New Roman" w:cs="Times New Roman"/>
          <w:noProof/>
          <w:sz w:val="24"/>
          <w:szCs w:val="24"/>
          <w:lang w:val="pt-BR" w:eastAsia="pt-BR"/>
        </w:rPr>
        <w:lastRenderedPageBreak/>
        <w:drawing>
          <wp:inline distT="0" distB="0" distL="0" distR="0" wp14:anchorId="0132084D" wp14:editId="557239F6">
            <wp:extent cx="5095875" cy="2548147"/>
            <wp:effectExtent l="0" t="0" r="0" b="508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106218" cy="2553319"/>
                    </a:xfrm>
                    <a:prstGeom prst="rect">
                      <a:avLst/>
                    </a:prstGeom>
                    <a:noFill/>
                  </pic:spPr>
                </pic:pic>
              </a:graphicData>
            </a:graphic>
          </wp:inline>
        </w:drawing>
      </w:r>
    </w:p>
    <w:p w14:paraId="0FC55EF4" w14:textId="77777777" w:rsidR="006D362C" w:rsidRPr="00C36E86" w:rsidRDefault="006D362C" w:rsidP="006D362C">
      <w:pPr>
        <w:pStyle w:val="BodyText"/>
        <w:rPr>
          <w:lang w:val="es-ES"/>
        </w:rPr>
        <w:sectPr w:rsidR="006D362C" w:rsidRPr="00C36E86" w:rsidSect="002C6BE7">
          <w:headerReference w:type="default" r:id="rId28"/>
          <w:pgSz w:w="15840" w:h="12240" w:orient="landscape"/>
          <w:pgMar w:top="1077" w:right="1440" w:bottom="1077" w:left="1440" w:header="709" w:footer="709" w:gutter="0"/>
          <w:cols w:space="720"/>
          <w:docGrid w:linePitch="360"/>
        </w:sectPr>
      </w:pPr>
    </w:p>
    <w:p w14:paraId="0E4391D7" w14:textId="65A640BE" w:rsidR="00577D7A" w:rsidRDefault="00577D7A" w:rsidP="00577D7A">
      <w:pPr>
        <w:spacing w:after="0"/>
        <w:jc w:val="both"/>
        <w:rPr>
          <w:rFonts w:ascii="Candara" w:hAnsi="Candara" w:cs="Arial"/>
          <w:color w:val="595959" w:themeColor="text1" w:themeTint="A6"/>
        </w:rPr>
      </w:pPr>
    </w:p>
    <w:p w14:paraId="2B95A223" w14:textId="40ACA33F" w:rsidR="00343454" w:rsidRDefault="00FD4974" w:rsidP="008A4588">
      <w:pPr>
        <w:widowControl w:val="0"/>
        <w:autoSpaceDE w:val="0"/>
        <w:autoSpaceDN w:val="0"/>
        <w:adjustRightInd w:val="0"/>
        <w:spacing w:after="0" w:line="240" w:lineRule="auto"/>
        <w:jc w:val="both"/>
        <w:rPr>
          <w:rFonts w:asciiTheme="majorHAnsi" w:hAnsiTheme="majorHAnsi"/>
          <w:color w:val="548DD4" w:themeColor="text2" w:themeTint="99"/>
          <w:sz w:val="32"/>
          <w:szCs w:val="32"/>
        </w:rPr>
      </w:pPr>
      <w:r>
        <w:rPr>
          <w:rFonts w:asciiTheme="majorHAnsi" w:hAnsiTheme="majorHAnsi"/>
          <w:color w:val="548DD4" w:themeColor="text2" w:themeTint="99"/>
          <w:sz w:val="32"/>
          <w:szCs w:val="32"/>
        </w:rPr>
        <w:t xml:space="preserve">8. </w:t>
      </w:r>
      <w:r w:rsidR="00343454">
        <w:rPr>
          <w:rFonts w:asciiTheme="majorHAnsi" w:hAnsiTheme="majorHAnsi"/>
          <w:color w:val="548DD4" w:themeColor="text2" w:themeTint="99"/>
          <w:sz w:val="32"/>
          <w:szCs w:val="32"/>
        </w:rPr>
        <w:t xml:space="preserve">Comentarios </w:t>
      </w:r>
      <w:r w:rsidR="002B2EE7">
        <w:rPr>
          <w:rFonts w:asciiTheme="majorHAnsi" w:hAnsiTheme="majorHAnsi"/>
          <w:color w:val="548DD4" w:themeColor="text2" w:themeTint="99"/>
          <w:sz w:val="32"/>
          <w:szCs w:val="32"/>
        </w:rPr>
        <w:t>F</w:t>
      </w:r>
      <w:r w:rsidR="00343454">
        <w:rPr>
          <w:rFonts w:asciiTheme="majorHAnsi" w:hAnsiTheme="majorHAnsi"/>
          <w:color w:val="548DD4" w:themeColor="text2" w:themeTint="99"/>
          <w:sz w:val="32"/>
          <w:szCs w:val="32"/>
        </w:rPr>
        <w:t>inales</w:t>
      </w:r>
    </w:p>
    <w:p w14:paraId="2CD6C11C" w14:textId="06E2C902" w:rsidR="00343454" w:rsidRPr="00FD4974" w:rsidRDefault="00343454" w:rsidP="008A4588">
      <w:pPr>
        <w:widowControl w:val="0"/>
        <w:autoSpaceDE w:val="0"/>
        <w:autoSpaceDN w:val="0"/>
        <w:adjustRightInd w:val="0"/>
        <w:spacing w:after="0" w:line="240" w:lineRule="auto"/>
        <w:jc w:val="both"/>
        <w:rPr>
          <w:rFonts w:asciiTheme="majorHAnsi" w:hAnsiTheme="majorHAnsi"/>
          <w:color w:val="548DD4" w:themeColor="text2" w:themeTint="99"/>
          <w:sz w:val="24"/>
          <w:szCs w:val="24"/>
        </w:rPr>
      </w:pPr>
    </w:p>
    <w:p w14:paraId="4546056D" w14:textId="003A1CC4" w:rsidR="00FD4974" w:rsidRPr="00C655DE" w:rsidRDefault="00FD4974" w:rsidP="008A4588">
      <w:pPr>
        <w:widowControl w:val="0"/>
        <w:autoSpaceDE w:val="0"/>
        <w:autoSpaceDN w:val="0"/>
        <w:adjustRightInd w:val="0"/>
        <w:spacing w:after="0" w:line="240" w:lineRule="auto"/>
        <w:jc w:val="both"/>
        <w:rPr>
          <w:rFonts w:asciiTheme="majorHAnsi" w:hAnsiTheme="majorHAnsi"/>
          <w:color w:val="FF0000"/>
          <w:sz w:val="24"/>
          <w:szCs w:val="24"/>
        </w:rPr>
      </w:pPr>
      <w:r w:rsidRPr="00C655DE">
        <w:rPr>
          <w:rFonts w:asciiTheme="majorHAnsi" w:hAnsiTheme="majorHAnsi"/>
          <w:color w:val="FF0000"/>
          <w:sz w:val="24"/>
          <w:szCs w:val="24"/>
        </w:rPr>
        <w:t xml:space="preserve">El PER </w:t>
      </w:r>
      <w:r w:rsidR="009B6E81" w:rsidRPr="00C655DE">
        <w:rPr>
          <w:rFonts w:asciiTheme="majorHAnsi" w:hAnsiTheme="majorHAnsi"/>
          <w:color w:val="FF0000"/>
          <w:sz w:val="24"/>
          <w:szCs w:val="24"/>
        </w:rPr>
        <w:t xml:space="preserve">es el documento </w:t>
      </w:r>
      <w:r w:rsidR="001462E1">
        <w:rPr>
          <w:rFonts w:asciiTheme="majorHAnsi" w:hAnsiTheme="majorHAnsi"/>
          <w:color w:val="FF0000"/>
          <w:sz w:val="24"/>
          <w:szCs w:val="24"/>
        </w:rPr>
        <w:t>en el cual</w:t>
      </w:r>
      <w:r w:rsidR="001462E1" w:rsidRPr="00C655DE">
        <w:rPr>
          <w:rFonts w:asciiTheme="majorHAnsi" w:hAnsiTheme="majorHAnsi"/>
          <w:color w:val="FF0000"/>
          <w:sz w:val="24"/>
          <w:szCs w:val="24"/>
        </w:rPr>
        <w:t xml:space="preserve"> </w:t>
      </w:r>
      <w:r w:rsidR="009B6E81" w:rsidRPr="00C655DE">
        <w:rPr>
          <w:rFonts w:asciiTheme="majorHAnsi" w:hAnsiTheme="majorHAnsi"/>
          <w:color w:val="FF0000"/>
          <w:sz w:val="24"/>
          <w:szCs w:val="24"/>
        </w:rPr>
        <w:t>se presenta un diagnóstico de la situación de la región de América Latina y el Caribe</w:t>
      </w:r>
      <w:r w:rsidR="004B0B93" w:rsidRPr="00C655DE">
        <w:rPr>
          <w:rFonts w:asciiTheme="majorHAnsi" w:hAnsiTheme="majorHAnsi"/>
          <w:color w:val="FF0000"/>
          <w:sz w:val="24"/>
          <w:szCs w:val="24"/>
        </w:rPr>
        <w:t>,</w:t>
      </w:r>
      <w:r w:rsidR="009B6E81" w:rsidRPr="00C655DE">
        <w:rPr>
          <w:rFonts w:asciiTheme="majorHAnsi" w:hAnsiTheme="majorHAnsi"/>
          <w:color w:val="FF0000"/>
          <w:sz w:val="24"/>
          <w:szCs w:val="24"/>
        </w:rPr>
        <w:t xml:space="preserve"> </w:t>
      </w:r>
      <w:r w:rsidR="001462E1" w:rsidRPr="00C655DE">
        <w:rPr>
          <w:rFonts w:asciiTheme="majorHAnsi" w:hAnsiTheme="majorHAnsi"/>
          <w:color w:val="FF0000"/>
          <w:sz w:val="24"/>
          <w:szCs w:val="24"/>
        </w:rPr>
        <w:t>tomando</w:t>
      </w:r>
      <w:r w:rsidR="009B6E81" w:rsidRPr="00C655DE">
        <w:rPr>
          <w:rFonts w:asciiTheme="majorHAnsi" w:hAnsiTheme="majorHAnsi"/>
          <w:color w:val="FF0000"/>
          <w:sz w:val="24"/>
          <w:szCs w:val="24"/>
        </w:rPr>
        <w:t xml:space="preserve"> como referencia las seis áreas </w:t>
      </w:r>
      <w:r w:rsidR="00810735" w:rsidRPr="00C655DE">
        <w:rPr>
          <w:rFonts w:asciiTheme="majorHAnsi" w:hAnsiTheme="majorHAnsi"/>
          <w:color w:val="FF0000"/>
          <w:sz w:val="24"/>
          <w:szCs w:val="24"/>
        </w:rPr>
        <w:t>temáticas</w:t>
      </w:r>
      <w:r w:rsidR="009B6E81" w:rsidRPr="00C655DE">
        <w:rPr>
          <w:rFonts w:asciiTheme="majorHAnsi" w:hAnsiTheme="majorHAnsi"/>
          <w:color w:val="FF0000"/>
          <w:sz w:val="24"/>
          <w:szCs w:val="24"/>
        </w:rPr>
        <w:t xml:space="preserve"> para la cuales la tecnología nuclear puede colaborar con la atención a necesidades o con la solución de problemas comunes a los países da la región.</w:t>
      </w:r>
    </w:p>
    <w:p w14:paraId="11CE0D74" w14:textId="28E6E3BF" w:rsidR="009B6E81" w:rsidRPr="00C655DE" w:rsidRDefault="009B6E81" w:rsidP="008A4588">
      <w:pPr>
        <w:widowControl w:val="0"/>
        <w:autoSpaceDE w:val="0"/>
        <w:autoSpaceDN w:val="0"/>
        <w:adjustRightInd w:val="0"/>
        <w:spacing w:after="0" w:line="240" w:lineRule="auto"/>
        <w:jc w:val="both"/>
        <w:rPr>
          <w:rFonts w:asciiTheme="majorHAnsi" w:hAnsiTheme="majorHAnsi"/>
          <w:color w:val="FF0000"/>
          <w:sz w:val="24"/>
          <w:szCs w:val="24"/>
        </w:rPr>
      </w:pPr>
    </w:p>
    <w:p w14:paraId="42E65C12" w14:textId="506E3ADB" w:rsidR="00810735" w:rsidRPr="00C655DE" w:rsidRDefault="009B6E81" w:rsidP="009B6E81">
      <w:pPr>
        <w:widowControl w:val="0"/>
        <w:autoSpaceDE w:val="0"/>
        <w:autoSpaceDN w:val="0"/>
        <w:adjustRightInd w:val="0"/>
        <w:spacing w:after="0" w:line="240" w:lineRule="auto"/>
        <w:jc w:val="both"/>
        <w:rPr>
          <w:rFonts w:asciiTheme="majorHAnsi" w:hAnsiTheme="majorHAnsi"/>
          <w:color w:val="FF0000"/>
          <w:sz w:val="24"/>
          <w:szCs w:val="24"/>
        </w:rPr>
      </w:pPr>
      <w:r w:rsidRPr="00C655DE">
        <w:rPr>
          <w:rFonts w:asciiTheme="majorHAnsi" w:hAnsiTheme="majorHAnsi"/>
          <w:color w:val="FF0000"/>
          <w:sz w:val="24"/>
          <w:szCs w:val="24"/>
        </w:rPr>
        <w:t xml:space="preserve">Con este enfoque el PER se constituye en un marco programático regional para la cooperación técnica entre los países de la región y el Organismo Internacional de Energía Nuclear, identificando y priorizando un conjunto de necesidades/problemas, por área temática, </w:t>
      </w:r>
      <w:r w:rsidR="00810735" w:rsidRPr="00C655DE">
        <w:rPr>
          <w:rFonts w:asciiTheme="majorHAnsi" w:hAnsiTheme="majorHAnsi"/>
          <w:color w:val="FF0000"/>
          <w:sz w:val="24"/>
          <w:szCs w:val="24"/>
        </w:rPr>
        <w:t xml:space="preserve">a fines de orientar la formulación de los proyectos de cooperación técnica regional, durante el período abarcado por </w:t>
      </w:r>
      <w:r w:rsidR="001462E1">
        <w:rPr>
          <w:rFonts w:asciiTheme="majorHAnsi" w:hAnsiTheme="majorHAnsi"/>
          <w:color w:val="FF0000"/>
          <w:sz w:val="24"/>
          <w:szCs w:val="24"/>
        </w:rPr>
        <w:t>e</w:t>
      </w:r>
      <w:r w:rsidR="00810735" w:rsidRPr="00C655DE">
        <w:rPr>
          <w:rFonts w:asciiTheme="majorHAnsi" w:hAnsiTheme="majorHAnsi"/>
          <w:color w:val="FF0000"/>
          <w:sz w:val="24"/>
          <w:szCs w:val="24"/>
        </w:rPr>
        <w:t>l PER.</w:t>
      </w:r>
    </w:p>
    <w:p w14:paraId="61E8ECDE" w14:textId="77777777" w:rsidR="00810735" w:rsidRPr="00C655DE" w:rsidRDefault="00810735" w:rsidP="009B6E81">
      <w:pPr>
        <w:widowControl w:val="0"/>
        <w:autoSpaceDE w:val="0"/>
        <w:autoSpaceDN w:val="0"/>
        <w:adjustRightInd w:val="0"/>
        <w:spacing w:after="0" w:line="240" w:lineRule="auto"/>
        <w:jc w:val="both"/>
        <w:rPr>
          <w:rFonts w:asciiTheme="majorHAnsi" w:hAnsiTheme="majorHAnsi"/>
          <w:color w:val="FF0000"/>
          <w:sz w:val="24"/>
          <w:szCs w:val="24"/>
        </w:rPr>
      </w:pPr>
    </w:p>
    <w:p w14:paraId="7D890664" w14:textId="59CF55D2" w:rsidR="004B0B93" w:rsidRPr="00C655DE" w:rsidRDefault="001462E1" w:rsidP="009B6E81">
      <w:pPr>
        <w:widowControl w:val="0"/>
        <w:autoSpaceDE w:val="0"/>
        <w:autoSpaceDN w:val="0"/>
        <w:adjustRightInd w:val="0"/>
        <w:spacing w:after="0" w:line="240" w:lineRule="auto"/>
        <w:jc w:val="both"/>
        <w:rPr>
          <w:rFonts w:asciiTheme="majorHAnsi" w:hAnsiTheme="majorHAnsi"/>
          <w:color w:val="FF0000"/>
          <w:sz w:val="24"/>
          <w:szCs w:val="24"/>
        </w:rPr>
      </w:pPr>
      <w:r>
        <w:rPr>
          <w:rFonts w:asciiTheme="majorHAnsi" w:hAnsiTheme="majorHAnsi"/>
          <w:color w:val="FF0000"/>
          <w:sz w:val="24"/>
          <w:szCs w:val="24"/>
        </w:rPr>
        <w:t>Sin embargo</w:t>
      </w:r>
      <w:r w:rsidR="00810735" w:rsidRPr="00C655DE">
        <w:rPr>
          <w:rFonts w:asciiTheme="majorHAnsi" w:hAnsiTheme="majorHAnsi"/>
          <w:color w:val="FF0000"/>
          <w:sz w:val="24"/>
          <w:szCs w:val="24"/>
        </w:rPr>
        <w:t>,</w:t>
      </w:r>
      <w:r>
        <w:rPr>
          <w:rFonts w:asciiTheme="majorHAnsi" w:hAnsiTheme="majorHAnsi"/>
          <w:color w:val="FF0000"/>
          <w:sz w:val="24"/>
          <w:szCs w:val="24"/>
        </w:rPr>
        <w:t xml:space="preserve"> es importante </w:t>
      </w:r>
      <w:r w:rsidR="00872874">
        <w:rPr>
          <w:rFonts w:asciiTheme="majorHAnsi" w:hAnsiTheme="majorHAnsi"/>
          <w:color w:val="FF0000"/>
          <w:sz w:val="24"/>
          <w:szCs w:val="24"/>
        </w:rPr>
        <w:t>tomar nota</w:t>
      </w:r>
      <w:r>
        <w:rPr>
          <w:rFonts w:asciiTheme="majorHAnsi" w:hAnsiTheme="majorHAnsi"/>
          <w:color w:val="FF0000"/>
          <w:sz w:val="24"/>
          <w:szCs w:val="24"/>
        </w:rPr>
        <w:t xml:space="preserve"> que</w:t>
      </w:r>
      <w:r w:rsidR="00810735" w:rsidRPr="00C655DE">
        <w:rPr>
          <w:rFonts w:asciiTheme="majorHAnsi" w:hAnsiTheme="majorHAnsi"/>
          <w:color w:val="FF0000"/>
          <w:sz w:val="24"/>
          <w:szCs w:val="24"/>
        </w:rPr>
        <w:t xml:space="preserve"> el PER es elaborado </w:t>
      </w:r>
      <w:r w:rsidR="00872874">
        <w:rPr>
          <w:rFonts w:asciiTheme="majorHAnsi" w:hAnsiTheme="majorHAnsi"/>
          <w:color w:val="FF0000"/>
          <w:sz w:val="24"/>
          <w:szCs w:val="24"/>
        </w:rPr>
        <w:t>a</w:t>
      </w:r>
      <w:r w:rsidR="00872874" w:rsidRPr="00C655DE">
        <w:rPr>
          <w:rFonts w:asciiTheme="majorHAnsi" w:hAnsiTheme="majorHAnsi"/>
          <w:color w:val="FF0000"/>
          <w:sz w:val="24"/>
          <w:szCs w:val="24"/>
        </w:rPr>
        <w:t xml:space="preserve"> </w:t>
      </w:r>
      <w:r w:rsidR="00810735" w:rsidRPr="00C655DE">
        <w:rPr>
          <w:rFonts w:asciiTheme="majorHAnsi" w:hAnsiTheme="majorHAnsi"/>
          <w:color w:val="FF0000"/>
          <w:sz w:val="24"/>
          <w:szCs w:val="24"/>
        </w:rPr>
        <w:t xml:space="preserve">un nivel </w:t>
      </w:r>
      <w:r w:rsidR="004B0B93" w:rsidRPr="00C655DE">
        <w:rPr>
          <w:rFonts w:asciiTheme="majorHAnsi" w:hAnsiTheme="majorHAnsi"/>
          <w:color w:val="FF0000"/>
          <w:sz w:val="24"/>
          <w:szCs w:val="24"/>
        </w:rPr>
        <w:t>macro</w:t>
      </w:r>
      <w:r w:rsidR="00810735" w:rsidRPr="00C655DE">
        <w:rPr>
          <w:rFonts w:asciiTheme="majorHAnsi" w:hAnsiTheme="majorHAnsi"/>
          <w:color w:val="FF0000"/>
          <w:sz w:val="24"/>
          <w:szCs w:val="24"/>
        </w:rPr>
        <w:t>, con objetivos de alcance</w:t>
      </w:r>
      <w:r w:rsidR="004B0B93" w:rsidRPr="00C655DE">
        <w:rPr>
          <w:rFonts w:asciiTheme="majorHAnsi" w:hAnsiTheme="majorHAnsi"/>
          <w:color w:val="FF0000"/>
          <w:sz w:val="24"/>
          <w:szCs w:val="24"/>
        </w:rPr>
        <w:t xml:space="preserve"> </w:t>
      </w:r>
      <w:r w:rsidR="00810735" w:rsidRPr="00C655DE">
        <w:rPr>
          <w:rFonts w:asciiTheme="majorHAnsi" w:hAnsiTheme="majorHAnsi"/>
          <w:color w:val="FF0000"/>
          <w:sz w:val="24"/>
          <w:szCs w:val="24"/>
        </w:rPr>
        <w:t xml:space="preserve">regional, </w:t>
      </w:r>
      <w:r>
        <w:rPr>
          <w:rFonts w:asciiTheme="majorHAnsi" w:hAnsiTheme="majorHAnsi"/>
          <w:color w:val="FF0000"/>
          <w:sz w:val="24"/>
          <w:szCs w:val="24"/>
        </w:rPr>
        <w:t>lo</w:t>
      </w:r>
      <w:r w:rsidRPr="00C655DE">
        <w:rPr>
          <w:rFonts w:asciiTheme="majorHAnsi" w:hAnsiTheme="majorHAnsi"/>
          <w:color w:val="FF0000"/>
          <w:sz w:val="24"/>
          <w:szCs w:val="24"/>
        </w:rPr>
        <w:t xml:space="preserve"> </w:t>
      </w:r>
      <w:r w:rsidR="00810735" w:rsidRPr="00C655DE">
        <w:rPr>
          <w:rFonts w:asciiTheme="majorHAnsi" w:hAnsiTheme="majorHAnsi"/>
          <w:color w:val="FF0000"/>
          <w:sz w:val="24"/>
          <w:szCs w:val="24"/>
        </w:rPr>
        <w:t xml:space="preserve">que </w:t>
      </w:r>
      <w:r w:rsidR="00872874">
        <w:rPr>
          <w:rFonts w:asciiTheme="majorHAnsi" w:hAnsiTheme="majorHAnsi"/>
          <w:color w:val="FF0000"/>
          <w:sz w:val="24"/>
          <w:szCs w:val="24"/>
        </w:rPr>
        <w:t>hace necesaria</w:t>
      </w:r>
      <w:r w:rsidR="00872874" w:rsidRPr="00C655DE">
        <w:rPr>
          <w:rFonts w:asciiTheme="majorHAnsi" w:hAnsiTheme="majorHAnsi"/>
          <w:color w:val="FF0000"/>
          <w:sz w:val="24"/>
          <w:szCs w:val="24"/>
        </w:rPr>
        <w:t xml:space="preserve"> </w:t>
      </w:r>
      <w:r w:rsidR="00810735" w:rsidRPr="00C655DE">
        <w:rPr>
          <w:rFonts w:asciiTheme="majorHAnsi" w:hAnsiTheme="majorHAnsi"/>
          <w:color w:val="FF0000"/>
          <w:sz w:val="24"/>
          <w:szCs w:val="24"/>
        </w:rPr>
        <w:t xml:space="preserve">la formulación de una estrategia para </w:t>
      </w:r>
      <w:r w:rsidR="00872874">
        <w:rPr>
          <w:rFonts w:asciiTheme="majorHAnsi" w:hAnsiTheme="majorHAnsi"/>
          <w:color w:val="FF0000"/>
          <w:sz w:val="24"/>
          <w:szCs w:val="24"/>
        </w:rPr>
        <w:t>su</w:t>
      </w:r>
      <w:r w:rsidR="00810735" w:rsidRPr="00C655DE">
        <w:rPr>
          <w:rFonts w:asciiTheme="majorHAnsi" w:hAnsiTheme="majorHAnsi"/>
          <w:color w:val="FF0000"/>
          <w:sz w:val="24"/>
          <w:szCs w:val="24"/>
        </w:rPr>
        <w:t xml:space="preserve"> implementación, con la identificación de resultados intermediar</w:t>
      </w:r>
      <w:r w:rsidR="004B0B93" w:rsidRPr="00C655DE">
        <w:rPr>
          <w:rFonts w:asciiTheme="majorHAnsi" w:hAnsiTheme="majorHAnsi"/>
          <w:color w:val="FF0000"/>
          <w:sz w:val="24"/>
          <w:szCs w:val="24"/>
        </w:rPr>
        <w:t xml:space="preserve">ios, metas </w:t>
      </w:r>
      <w:r>
        <w:rPr>
          <w:rFonts w:asciiTheme="majorHAnsi" w:hAnsiTheme="majorHAnsi"/>
          <w:color w:val="FF0000"/>
          <w:sz w:val="24"/>
          <w:szCs w:val="24"/>
        </w:rPr>
        <w:t>e</w:t>
      </w:r>
      <w:r w:rsidR="004B0B93" w:rsidRPr="00C655DE">
        <w:rPr>
          <w:rFonts w:asciiTheme="majorHAnsi" w:hAnsiTheme="majorHAnsi"/>
          <w:color w:val="FF0000"/>
          <w:sz w:val="24"/>
          <w:szCs w:val="24"/>
        </w:rPr>
        <w:t xml:space="preserve"> indicadores de </w:t>
      </w:r>
      <w:r w:rsidR="00872874">
        <w:rPr>
          <w:rFonts w:asciiTheme="majorHAnsi" w:hAnsiTheme="majorHAnsi"/>
          <w:color w:val="FF0000"/>
          <w:sz w:val="24"/>
          <w:szCs w:val="24"/>
        </w:rPr>
        <w:t>performance</w:t>
      </w:r>
      <w:r w:rsidR="004B0B93" w:rsidRPr="00C655DE">
        <w:rPr>
          <w:rFonts w:asciiTheme="majorHAnsi" w:hAnsiTheme="majorHAnsi"/>
          <w:color w:val="FF0000"/>
          <w:sz w:val="24"/>
          <w:szCs w:val="24"/>
        </w:rPr>
        <w:t>, necesarios para garantizar la efectividad de los proyectos de cooperación técnica regional.</w:t>
      </w:r>
    </w:p>
    <w:p w14:paraId="6B4F29D7" w14:textId="77777777" w:rsidR="004B0B93" w:rsidRPr="00C655DE" w:rsidRDefault="004B0B93" w:rsidP="009B6E81">
      <w:pPr>
        <w:widowControl w:val="0"/>
        <w:autoSpaceDE w:val="0"/>
        <w:autoSpaceDN w:val="0"/>
        <w:adjustRightInd w:val="0"/>
        <w:spacing w:after="0" w:line="240" w:lineRule="auto"/>
        <w:jc w:val="both"/>
        <w:rPr>
          <w:rFonts w:asciiTheme="majorHAnsi" w:hAnsiTheme="majorHAnsi"/>
          <w:color w:val="FF0000"/>
          <w:sz w:val="24"/>
          <w:szCs w:val="24"/>
        </w:rPr>
      </w:pPr>
    </w:p>
    <w:p w14:paraId="3C7F79A1" w14:textId="468F9F51" w:rsidR="00854273" w:rsidRDefault="004B0B93" w:rsidP="008A4588">
      <w:pPr>
        <w:widowControl w:val="0"/>
        <w:autoSpaceDE w:val="0"/>
        <w:autoSpaceDN w:val="0"/>
        <w:adjustRightInd w:val="0"/>
        <w:spacing w:after="0" w:line="240" w:lineRule="auto"/>
        <w:jc w:val="both"/>
        <w:rPr>
          <w:rFonts w:asciiTheme="majorHAnsi" w:hAnsiTheme="majorHAnsi"/>
          <w:color w:val="FF0000"/>
          <w:sz w:val="24"/>
          <w:szCs w:val="24"/>
        </w:rPr>
      </w:pPr>
      <w:r w:rsidRPr="00C655DE">
        <w:rPr>
          <w:rFonts w:asciiTheme="majorHAnsi" w:hAnsiTheme="majorHAnsi"/>
          <w:color w:val="FF0000"/>
          <w:sz w:val="24"/>
          <w:szCs w:val="24"/>
        </w:rPr>
        <w:t xml:space="preserve">En este sentido, una vez que se obtenga la aprobación del PER por parte del </w:t>
      </w:r>
      <w:r w:rsidR="00C655DE" w:rsidRPr="00C655DE">
        <w:rPr>
          <w:rFonts w:asciiTheme="majorHAnsi" w:hAnsiTheme="majorHAnsi"/>
          <w:color w:val="FF0000"/>
          <w:sz w:val="24"/>
          <w:szCs w:val="24"/>
        </w:rPr>
        <w:t xml:space="preserve">Órgano de Representantes del Acuerdo, </w:t>
      </w:r>
      <w:r w:rsidR="00565826">
        <w:rPr>
          <w:rFonts w:asciiTheme="majorHAnsi" w:hAnsiTheme="majorHAnsi"/>
          <w:color w:val="FF0000"/>
          <w:sz w:val="24"/>
          <w:szCs w:val="24"/>
        </w:rPr>
        <w:t xml:space="preserve">el </w:t>
      </w:r>
      <w:r w:rsidR="00C655DE" w:rsidRPr="00C655DE">
        <w:rPr>
          <w:rFonts w:asciiTheme="majorHAnsi" w:hAnsiTheme="majorHAnsi"/>
          <w:color w:val="FF0000"/>
          <w:sz w:val="24"/>
          <w:szCs w:val="24"/>
        </w:rPr>
        <w:t xml:space="preserve">ORA, los Coordinadores Nacionales, miembros del </w:t>
      </w:r>
      <w:r w:rsidR="00565826" w:rsidRPr="00C655DE">
        <w:rPr>
          <w:rFonts w:asciiTheme="majorHAnsi" w:hAnsiTheme="majorHAnsi"/>
          <w:color w:val="FF0000"/>
          <w:sz w:val="24"/>
          <w:szCs w:val="24"/>
        </w:rPr>
        <w:t>OCTA, se</w:t>
      </w:r>
      <w:r w:rsidR="00C655DE" w:rsidRPr="00C655DE">
        <w:rPr>
          <w:rFonts w:asciiTheme="majorHAnsi" w:hAnsiTheme="majorHAnsi"/>
          <w:color w:val="FF0000"/>
          <w:sz w:val="24"/>
          <w:szCs w:val="24"/>
        </w:rPr>
        <w:t xml:space="preserve"> reunirán para la elaboración del documento complementar</w:t>
      </w:r>
      <w:r w:rsidR="00832F68">
        <w:rPr>
          <w:rFonts w:asciiTheme="majorHAnsi" w:hAnsiTheme="majorHAnsi"/>
          <w:color w:val="FF0000"/>
          <w:sz w:val="24"/>
          <w:szCs w:val="24"/>
        </w:rPr>
        <w:t>io</w:t>
      </w:r>
      <w:r w:rsidR="00C655DE" w:rsidRPr="00C655DE">
        <w:rPr>
          <w:rFonts w:asciiTheme="majorHAnsi" w:hAnsiTheme="majorHAnsi"/>
          <w:color w:val="FF0000"/>
          <w:sz w:val="24"/>
          <w:szCs w:val="24"/>
        </w:rPr>
        <w:t xml:space="preserve"> </w:t>
      </w:r>
      <w:r w:rsidR="00832F68">
        <w:rPr>
          <w:rFonts w:asciiTheme="majorHAnsi" w:hAnsiTheme="majorHAnsi"/>
          <w:color w:val="FF0000"/>
          <w:sz w:val="24"/>
          <w:szCs w:val="24"/>
        </w:rPr>
        <w:t>“</w:t>
      </w:r>
      <w:r w:rsidR="00C655DE" w:rsidRPr="00C655DE">
        <w:rPr>
          <w:rFonts w:asciiTheme="majorHAnsi" w:hAnsiTheme="majorHAnsi"/>
          <w:color w:val="FF0000"/>
          <w:sz w:val="24"/>
          <w:szCs w:val="24"/>
        </w:rPr>
        <w:t xml:space="preserve">Guía para la </w:t>
      </w:r>
      <w:r w:rsidR="00832F68">
        <w:rPr>
          <w:rFonts w:asciiTheme="majorHAnsi" w:hAnsiTheme="majorHAnsi"/>
          <w:color w:val="FF0000"/>
          <w:sz w:val="24"/>
          <w:szCs w:val="24"/>
        </w:rPr>
        <w:t>I</w:t>
      </w:r>
      <w:r w:rsidR="00C655DE" w:rsidRPr="00C655DE">
        <w:rPr>
          <w:rFonts w:asciiTheme="majorHAnsi" w:hAnsiTheme="majorHAnsi"/>
          <w:color w:val="FF0000"/>
          <w:sz w:val="24"/>
          <w:szCs w:val="24"/>
        </w:rPr>
        <w:t>mplementación del PER</w:t>
      </w:r>
      <w:r w:rsidR="00565826">
        <w:rPr>
          <w:rFonts w:asciiTheme="majorHAnsi" w:hAnsiTheme="majorHAnsi"/>
          <w:color w:val="FF0000"/>
          <w:sz w:val="24"/>
          <w:szCs w:val="24"/>
        </w:rPr>
        <w:t>.</w:t>
      </w:r>
      <w:r w:rsidR="00832F68">
        <w:rPr>
          <w:rFonts w:asciiTheme="majorHAnsi" w:hAnsiTheme="majorHAnsi"/>
          <w:color w:val="FF0000"/>
          <w:sz w:val="24"/>
          <w:szCs w:val="24"/>
        </w:rPr>
        <w:t>”</w:t>
      </w:r>
    </w:p>
    <w:p w14:paraId="5709A6F4" w14:textId="77777777" w:rsidR="00854273" w:rsidRDefault="00854273" w:rsidP="008A4588">
      <w:pPr>
        <w:widowControl w:val="0"/>
        <w:autoSpaceDE w:val="0"/>
        <w:autoSpaceDN w:val="0"/>
        <w:adjustRightInd w:val="0"/>
        <w:spacing w:after="0" w:line="240" w:lineRule="auto"/>
        <w:jc w:val="both"/>
        <w:rPr>
          <w:rFonts w:asciiTheme="majorHAnsi" w:hAnsiTheme="majorHAnsi"/>
          <w:color w:val="FF0000"/>
          <w:sz w:val="24"/>
          <w:szCs w:val="24"/>
        </w:rPr>
      </w:pPr>
    </w:p>
    <w:p w14:paraId="28063119" w14:textId="4525E9DC" w:rsidR="00C655DE" w:rsidRPr="00C655DE" w:rsidRDefault="00C655DE" w:rsidP="008A4588">
      <w:pPr>
        <w:widowControl w:val="0"/>
        <w:autoSpaceDE w:val="0"/>
        <w:autoSpaceDN w:val="0"/>
        <w:adjustRightInd w:val="0"/>
        <w:spacing w:after="0" w:line="240" w:lineRule="auto"/>
        <w:jc w:val="both"/>
        <w:rPr>
          <w:rFonts w:asciiTheme="majorHAnsi" w:hAnsiTheme="majorHAnsi"/>
          <w:color w:val="FF0000"/>
          <w:sz w:val="24"/>
          <w:szCs w:val="24"/>
        </w:rPr>
      </w:pPr>
      <w:r>
        <w:rPr>
          <w:rFonts w:asciiTheme="majorHAnsi" w:hAnsiTheme="majorHAnsi"/>
          <w:color w:val="FF0000"/>
          <w:sz w:val="24"/>
          <w:szCs w:val="24"/>
        </w:rPr>
        <w:t>En esta guía, se completa el proceso de priorización de las Necesidades/Problemas</w:t>
      </w:r>
      <w:r w:rsidR="00854273">
        <w:rPr>
          <w:rFonts w:asciiTheme="majorHAnsi" w:hAnsiTheme="majorHAnsi"/>
          <w:color w:val="FF0000"/>
          <w:sz w:val="24"/>
          <w:szCs w:val="24"/>
        </w:rPr>
        <w:t xml:space="preserve">, </w:t>
      </w:r>
      <w:r w:rsidR="00EA72C0">
        <w:rPr>
          <w:rFonts w:asciiTheme="majorHAnsi" w:hAnsiTheme="majorHAnsi"/>
          <w:color w:val="FF0000"/>
          <w:sz w:val="24"/>
          <w:szCs w:val="24"/>
        </w:rPr>
        <w:t xml:space="preserve">de acuerdo al enfoque metodológico que se presenta en el Anexo 1, </w:t>
      </w:r>
      <w:r w:rsidR="00565826">
        <w:rPr>
          <w:rFonts w:asciiTheme="majorHAnsi" w:hAnsiTheme="majorHAnsi"/>
          <w:color w:val="FF0000"/>
          <w:sz w:val="24"/>
          <w:szCs w:val="24"/>
        </w:rPr>
        <w:t>añadiendo la etapa de</w:t>
      </w:r>
      <w:r w:rsidR="00854273">
        <w:rPr>
          <w:rFonts w:asciiTheme="majorHAnsi" w:hAnsiTheme="majorHAnsi"/>
          <w:color w:val="FF0000"/>
          <w:sz w:val="24"/>
          <w:szCs w:val="24"/>
        </w:rPr>
        <w:t xml:space="preserve"> priorización entre sectores, </w:t>
      </w:r>
      <w:r w:rsidR="00565826">
        <w:rPr>
          <w:rFonts w:asciiTheme="majorHAnsi" w:hAnsiTheme="majorHAnsi"/>
          <w:color w:val="FF0000"/>
          <w:sz w:val="24"/>
          <w:szCs w:val="24"/>
        </w:rPr>
        <w:t>el que contribuye</w:t>
      </w:r>
      <w:r w:rsidR="00854273">
        <w:rPr>
          <w:rFonts w:asciiTheme="majorHAnsi" w:hAnsiTheme="majorHAnsi"/>
          <w:color w:val="FF0000"/>
          <w:sz w:val="24"/>
          <w:szCs w:val="24"/>
        </w:rPr>
        <w:t xml:space="preserve"> </w:t>
      </w:r>
      <w:r w:rsidR="00565826">
        <w:rPr>
          <w:rFonts w:asciiTheme="majorHAnsi" w:hAnsiTheme="majorHAnsi"/>
          <w:color w:val="FF0000"/>
          <w:sz w:val="24"/>
          <w:szCs w:val="24"/>
        </w:rPr>
        <w:t xml:space="preserve">para la </w:t>
      </w:r>
      <w:r w:rsidR="00854273">
        <w:rPr>
          <w:rFonts w:asciiTheme="majorHAnsi" w:hAnsiTheme="majorHAnsi"/>
          <w:color w:val="FF0000"/>
          <w:sz w:val="24"/>
          <w:szCs w:val="24"/>
        </w:rPr>
        <w:t xml:space="preserve">optimización </w:t>
      </w:r>
      <w:r w:rsidR="00565826">
        <w:rPr>
          <w:rFonts w:asciiTheme="majorHAnsi" w:hAnsiTheme="majorHAnsi"/>
          <w:color w:val="FF0000"/>
          <w:sz w:val="24"/>
          <w:szCs w:val="24"/>
        </w:rPr>
        <w:t>en</w:t>
      </w:r>
      <w:r w:rsidR="00854273">
        <w:rPr>
          <w:rFonts w:asciiTheme="majorHAnsi" w:hAnsiTheme="majorHAnsi"/>
          <w:color w:val="FF0000"/>
          <w:sz w:val="24"/>
          <w:szCs w:val="24"/>
        </w:rPr>
        <w:t xml:space="preserve"> </w:t>
      </w:r>
      <w:r w:rsidR="00565826">
        <w:rPr>
          <w:rFonts w:asciiTheme="majorHAnsi" w:hAnsiTheme="majorHAnsi"/>
          <w:color w:val="FF0000"/>
          <w:sz w:val="24"/>
          <w:szCs w:val="24"/>
        </w:rPr>
        <w:t xml:space="preserve">la utilización de </w:t>
      </w:r>
      <w:r w:rsidR="00854273">
        <w:rPr>
          <w:rFonts w:asciiTheme="majorHAnsi" w:hAnsiTheme="majorHAnsi"/>
          <w:color w:val="FF0000"/>
          <w:sz w:val="24"/>
          <w:szCs w:val="24"/>
        </w:rPr>
        <w:t>los recursos presupuestarios que se aportan a cada un</w:t>
      </w:r>
      <w:r w:rsidR="00565826">
        <w:rPr>
          <w:rFonts w:asciiTheme="majorHAnsi" w:hAnsiTheme="majorHAnsi"/>
          <w:color w:val="FF0000"/>
          <w:sz w:val="24"/>
          <w:szCs w:val="24"/>
        </w:rPr>
        <w:t>o</w:t>
      </w:r>
      <w:r w:rsidR="00854273">
        <w:rPr>
          <w:rFonts w:asciiTheme="majorHAnsi" w:hAnsiTheme="majorHAnsi"/>
          <w:color w:val="FF0000"/>
          <w:sz w:val="24"/>
          <w:szCs w:val="24"/>
        </w:rPr>
        <w:t xml:space="preserve"> de los proyectos</w:t>
      </w:r>
      <w:r w:rsidR="00565826">
        <w:rPr>
          <w:rFonts w:asciiTheme="majorHAnsi" w:hAnsiTheme="majorHAnsi"/>
          <w:color w:val="FF0000"/>
          <w:sz w:val="24"/>
          <w:szCs w:val="24"/>
        </w:rPr>
        <w:t>, así como para el alcance de los resultados pretendidos.</w:t>
      </w:r>
    </w:p>
    <w:p w14:paraId="26541141" w14:textId="77777777" w:rsidR="00854273" w:rsidRDefault="00854273" w:rsidP="008A4588">
      <w:pPr>
        <w:widowControl w:val="0"/>
        <w:autoSpaceDE w:val="0"/>
        <w:autoSpaceDN w:val="0"/>
        <w:adjustRightInd w:val="0"/>
        <w:spacing w:after="0" w:line="240" w:lineRule="auto"/>
        <w:jc w:val="both"/>
        <w:rPr>
          <w:rFonts w:asciiTheme="majorHAnsi" w:hAnsiTheme="majorHAnsi"/>
          <w:color w:val="FF0000"/>
          <w:sz w:val="32"/>
          <w:szCs w:val="32"/>
        </w:rPr>
      </w:pPr>
    </w:p>
    <w:p w14:paraId="2303B68F" w14:textId="5A8968E6" w:rsidR="00EA72C0" w:rsidRDefault="00EA72C0">
      <w:pPr>
        <w:rPr>
          <w:rFonts w:asciiTheme="majorHAnsi" w:hAnsiTheme="majorHAnsi"/>
          <w:color w:val="FF0000"/>
          <w:sz w:val="32"/>
          <w:szCs w:val="32"/>
        </w:rPr>
      </w:pPr>
      <w:r>
        <w:rPr>
          <w:rFonts w:asciiTheme="majorHAnsi" w:hAnsiTheme="majorHAnsi"/>
          <w:color w:val="FF0000"/>
          <w:sz w:val="32"/>
          <w:szCs w:val="32"/>
        </w:rPr>
        <w:br w:type="page"/>
      </w:r>
    </w:p>
    <w:p w14:paraId="648A206F" w14:textId="77777777" w:rsidR="00854273" w:rsidRDefault="00854273" w:rsidP="008A4588">
      <w:pPr>
        <w:widowControl w:val="0"/>
        <w:autoSpaceDE w:val="0"/>
        <w:autoSpaceDN w:val="0"/>
        <w:adjustRightInd w:val="0"/>
        <w:spacing w:after="0" w:line="240" w:lineRule="auto"/>
        <w:jc w:val="both"/>
        <w:rPr>
          <w:rFonts w:asciiTheme="majorHAnsi" w:hAnsiTheme="majorHAnsi"/>
          <w:color w:val="FF0000"/>
          <w:sz w:val="32"/>
          <w:szCs w:val="32"/>
        </w:rPr>
      </w:pPr>
    </w:p>
    <w:p w14:paraId="73B4FB85" w14:textId="40BCF1D0" w:rsidR="008A4588" w:rsidRDefault="008A4588" w:rsidP="008A4588">
      <w:pPr>
        <w:widowControl w:val="0"/>
        <w:autoSpaceDE w:val="0"/>
        <w:autoSpaceDN w:val="0"/>
        <w:adjustRightInd w:val="0"/>
        <w:spacing w:after="0" w:line="240" w:lineRule="auto"/>
        <w:jc w:val="both"/>
        <w:rPr>
          <w:rFonts w:asciiTheme="majorHAnsi" w:hAnsiTheme="majorHAnsi"/>
          <w:color w:val="548DD4" w:themeColor="text2" w:themeTint="99"/>
          <w:sz w:val="32"/>
          <w:szCs w:val="32"/>
        </w:rPr>
      </w:pPr>
      <w:r w:rsidRPr="00436D72">
        <w:rPr>
          <w:rFonts w:asciiTheme="majorHAnsi" w:hAnsiTheme="majorHAnsi"/>
          <w:color w:val="548DD4" w:themeColor="text2" w:themeTint="99"/>
          <w:sz w:val="32"/>
          <w:szCs w:val="32"/>
        </w:rPr>
        <w:t>BIBLIOGRAFÍA</w:t>
      </w:r>
    </w:p>
    <w:p w14:paraId="012213EF" w14:textId="77777777" w:rsidR="008A4588" w:rsidRDefault="008A4588" w:rsidP="008A4588">
      <w:pPr>
        <w:widowControl w:val="0"/>
        <w:autoSpaceDE w:val="0"/>
        <w:autoSpaceDN w:val="0"/>
        <w:adjustRightInd w:val="0"/>
        <w:spacing w:after="0" w:line="240" w:lineRule="auto"/>
        <w:jc w:val="both"/>
        <w:rPr>
          <w:rFonts w:asciiTheme="majorHAnsi" w:hAnsiTheme="majorHAnsi"/>
          <w:color w:val="548DD4" w:themeColor="text2" w:themeTint="99"/>
          <w:sz w:val="32"/>
          <w:szCs w:val="32"/>
        </w:rPr>
      </w:pPr>
    </w:p>
    <w:p w14:paraId="1363599F" w14:textId="63A356DB" w:rsidR="008A4588" w:rsidRPr="00436D72" w:rsidRDefault="00C41191" w:rsidP="008A4588">
      <w:pPr>
        <w:widowControl w:val="0"/>
        <w:autoSpaceDE w:val="0"/>
        <w:autoSpaceDN w:val="0"/>
        <w:adjustRightInd w:val="0"/>
        <w:spacing w:after="0" w:line="240" w:lineRule="auto"/>
        <w:jc w:val="both"/>
        <w:rPr>
          <w:rFonts w:asciiTheme="majorHAnsi" w:hAnsiTheme="majorHAnsi"/>
          <w:i/>
          <w:iCs/>
          <w:color w:val="548DD4" w:themeColor="text2" w:themeTint="99"/>
          <w:sz w:val="32"/>
          <w:szCs w:val="32"/>
        </w:rPr>
      </w:pPr>
      <w:r>
        <w:rPr>
          <w:rFonts w:asciiTheme="majorHAnsi" w:hAnsiTheme="majorHAnsi"/>
          <w:i/>
          <w:iCs/>
          <w:color w:val="548DD4" w:themeColor="text2" w:themeTint="99"/>
          <w:sz w:val="32"/>
          <w:szCs w:val="32"/>
        </w:rPr>
        <w:t>Alimentación y Agricultura</w:t>
      </w:r>
    </w:p>
    <w:p w14:paraId="6571D92A" w14:textId="77777777" w:rsidR="008A4588" w:rsidRPr="00436D72" w:rsidRDefault="008A4588" w:rsidP="008A4588">
      <w:pPr>
        <w:widowControl w:val="0"/>
        <w:autoSpaceDE w:val="0"/>
        <w:autoSpaceDN w:val="0"/>
        <w:adjustRightInd w:val="0"/>
        <w:spacing w:after="0" w:line="240" w:lineRule="auto"/>
        <w:jc w:val="both"/>
        <w:rPr>
          <w:bCs/>
          <w:color w:val="000000"/>
          <w:lang w:val="en-US"/>
        </w:rPr>
      </w:pPr>
    </w:p>
    <w:p w14:paraId="0DF3EF85"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pt-BR"/>
        </w:rPr>
      </w:pPr>
      <w:r w:rsidRPr="00594227">
        <w:rPr>
          <w:rFonts w:ascii="Times New Roman" w:hAnsi="Times New Roman" w:cs="Times New Roman"/>
          <w:sz w:val="24"/>
          <w:szCs w:val="24"/>
          <w:lang w:val="pt-BR"/>
        </w:rPr>
        <w:t>FAOSTAT, 2019. Organização das Nações Unidas para Alimentação e Agricultura – Divisão de Estatística. Dados de produção e cultivo.  http://faostat3.fao.org/download/Q/QC/E (Consulta: Febrero 15, 2019).</w:t>
      </w:r>
    </w:p>
    <w:p w14:paraId="62387F21"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pt-BR"/>
        </w:rPr>
      </w:pPr>
      <w:r w:rsidRPr="00594227">
        <w:rPr>
          <w:rFonts w:ascii="Times New Roman" w:hAnsi="Times New Roman" w:cs="Times New Roman"/>
          <w:sz w:val="24"/>
          <w:szCs w:val="24"/>
          <w:lang w:val="pt-BR"/>
        </w:rPr>
        <w:t>Cepal, 2018. Panorama Social de América Latina 2017. Santiago de Chile. Disponible en: https://repositorio.cepal.org/bitstream/ handle/11362/42716/7/S1800002_es.pdf. Acceso: 14 de abril de 2018.</w:t>
      </w:r>
    </w:p>
    <w:p w14:paraId="2C720F93"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rPr>
        <w:t xml:space="preserve">FAO, 2018a. Panorama de la pobreza rural en América Latina y el Caribe. Soluciones del siglo XXI para acabar con la pobreza en el campo. </w:t>
      </w:r>
      <w:r w:rsidRPr="00594227">
        <w:rPr>
          <w:rFonts w:ascii="Times New Roman" w:hAnsi="Times New Roman" w:cs="Times New Roman"/>
          <w:sz w:val="24"/>
          <w:szCs w:val="24"/>
          <w:lang w:val="en-US"/>
        </w:rPr>
        <w:t>Santiago, Chile. p.112. (http://www.fao.org/publications/es).</w:t>
      </w:r>
    </w:p>
    <w:p w14:paraId="2ECC342C"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rPr>
        <w:t xml:space="preserve">FAO, FIDA Y PMA, 2016. Seguimiento de la Seguridad Alimentaria y la nutrición en apoyo a la Agenda 2030 para el Desarrollo Sostenible. </w:t>
      </w:r>
      <w:r w:rsidRPr="00594227">
        <w:rPr>
          <w:rFonts w:ascii="Times New Roman" w:hAnsi="Times New Roman" w:cs="Times New Roman"/>
          <w:sz w:val="24"/>
          <w:szCs w:val="24"/>
          <w:lang w:val="en-US"/>
        </w:rPr>
        <w:t xml:space="preserve">Balance y perspectivas. Roma. </w:t>
      </w:r>
    </w:p>
    <w:p w14:paraId="6AFA578B"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rPr>
        <w:t xml:space="preserve">Naciones Unidas, 2018. La Agenda 2030 y los Objetivos de Desarrollo Sostenible: Una oportunidad para América Latina y el Caribe. </w:t>
      </w:r>
      <w:r w:rsidRPr="00594227">
        <w:rPr>
          <w:rFonts w:ascii="Times New Roman" w:hAnsi="Times New Roman" w:cs="Times New Roman"/>
          <w:sz w:val="24"/>
          <w:szCs w:val="24"/>
          <w:lang w:val="en-US"/>
        </w:rPr>
        <w:t>(LC/G.2681-P/Rev.3), Santiago.</w:t>
      </w:r>
    </w:p>
    <w:p w14:paraId="20FD6E5A" w14:textId="77777777" w:rsidR="00594227" w:rsidRPr="00594227" w:rsidRDefault="00594227" w:rsidP="00594227">
      <w:pPr>
        <w:pStyle w:val="ListParagraph"/>
        <w:numPr>
          <w:ilvl w:val="0"/>
          <w:numId w:val="14"/>
        </w:numPr>
        <w:jc w:val="both"/>
        <w:rPr>
          <w:rFonts w:ascii="Times New Roman" w:hAnsi="Times New Roman" w:cs="Times New Roman"/>
          <w:sz w:val="24"/>
          <w:szCs w:val="24"/>
        </w:rPr>
      </w:pPr>
      <w:r w:rsidRPr="00594227">
        <w:rPr>
          <w:rFonts w:ascii="Times New Roman" w:hAnsi="Times New Roman" w:cs="Times New Roman"/>
          <w:sz w:val="24"/>
          <w:szCs w:val="24"/>
        </w:rPr>
        <w:t>FAO, 2018b. El estado mundial de la pesca y la acuicultura 2018. Cumplir los objetivos de desarrollo sostenible. Roma. Licencia: CC BY-NC-SA 3.0 IGO.</w:t>
      </w:r>
    </w:p>
    <w:p w14:paraId="357F3A1A"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FAO, 2009. How to Feed the World in 2050. Insights from an expert meeting at FAO, [s.l.], v. 2050, no 1, p. 1–35, 2009. ISBN: 3465034295, ISSN: 00987921, DOI: 10.1111/j.1728-4457.2009.00312.x.</w:t>
      </w:r>
    </w:p>
    <w:p w14:paraId="6CE4D541"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FAO, 2012. World Agriculture Towards 2030/2050, 2012. The 2012 revision. Roma, 2012. ESA Working Paper. 12-03. Nikos Alexandratos and Jelle Bruinsma. Global Perspective Studies Team. &lt; http://www.fao.org/docrep/016/ap106e/ap106e.pdf&gt;</w:t>
      </w:r>
    </w:p>
    <w:p w14:paraId="21D60857"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 xml:space="preserve">Guareschi, R.F., Boddey, R.M., Alves, B.J.R., Sarkis, L.F., Martins, M.R., Jantalia, C.P., Cabriales, J.J.P., Núñez, J.A.V., Urquiaga, S., 2019. </w:t>
      </w:r>
      <w:r w:rsidRPr="00594227">
        <w:rPr>
          <w:rFonts w:ascii="Times New Roman" w:hAnsi="Times New Roman" w:cs="Times New Roman"/>
          <w:sz w:val="24"/>
          <w:szCs w:val="24"/>
          <w:lang w:val="pt-BR"/>
        </w:rPr>
        <w:t xml:space="preserve">Balanço de nitrogênio, fósforo e potássio na agricultura da América Latina e o Caribe. </w:t>
      </w:r>
      <w:r w:rsidRPr="00594227">
        <w:rPr>
          <w:rFonts w:ascii="Times New Roman" w:hAnsi="Times New Roman" w:cs="Times New Roman"/>
          <w:sz w:val="24"/>
          <w:szCs w:val="24"/>
          <w:lang w:val="en-US"/>
        </w:rPr>
        <w:t>Revista Terra Latinoamericana, v. 37, p. 105.</w:t>
      </w:r>
    </w:p>
    <w:p w14:paraId="2B0AB079"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rPr>
        <w:t xml:space="preserve">FAO y OPS, 2017. Panorama de la Seguridad Alimentaria y Nutricional en América Latina y el Caribe.  </w:t>
      </w:r>
      <w:r w:rsidRPr="00594227">
        <w:rPr>
          <w:rFonts w:ascii="Times New Roman" w:hAnsi="Times New Roman" w:cs="Times New Roman"/>
          <w:sz w:val="24"/>
          <w:szCs w:val="24"/>
          <w:lang w:val="en-US"/>
        </w:rPr>
        <w:t>Santiago de Chile. p. 108.  (www.fao.org/publications/es).</w:t>
      </w:r>
    </w:p>
    <w:p w14:paraId="5420D4A4"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 xml:space="preserve">Inter-American Network of Academies of Sciences (IANAS), 2017. Challenges and opportunities for food and nutrition security in the Americas the view of the academies of sciences. Regional Report, p.108. (www.ianas.org). </w:t>
      </w:r>
    </w:p>
    <w:p w14:paraId="0A8A8ABF" w14:textId="77777777" w:rsidR="00594227" w:rsidRPr="00594227" w:rsidRDefault="00594227" w:rsidP="00594227">
      <w:pPr>
        <w:pStyle w:val="ListParagraph"/>
        <w:numPr>
          <w:ilvl w:val="0"/>
          <w:numId w:val="14"/>
        </w:numPr>
        <w:jc w:val="both"/>
        <w:rPr>
          <w:rFonts w:ascii="Times New Roman" w:hAnsi="Times New Roman" w:cs="Times New Roman"/>
          <w:sz w:val="24"/>
          <w:szCs w:val="24"/>
        </w:rPr>
      </w:pPr>
      <w:r w:rsidRPr="00594227">
        <w:rPr>
          <w:rFonts w:ascii="Times New Roman" w:hAnsi="Times New Roman" w:cs="Times New Roman"/>
          <w:sz w:val="24"/>
          <w:szCs w:val="24"/>
        </w:rPr>
        <w:t>OCDE/FAO, 2019. OCDE-FAO Perspectivas Agrícolas 2019-2028, OECD Publishing, París/Organización de las Naciones Unidas para la Alimentación y la Agricultura (FAO), Roma https://doi.org/10.1787/7b2e8ba3-es.</w:t>
      </w:r>
    </w:p>
    <w:p w14:paraId="7FF97BD4"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OECD, 2011. Organisation for economic co-operation and development. 2011. Fostering productivity and competitiveness in agriculture. Paris. Disponible en http://dx.doi.org/10.1787/9789264166820-en.</w:t>
      </w:r>
    </w:p>
    <w:p w14:paraId="211067EF"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lastRenderedPageBreak/>
        <w:t>Araujo, K.E.C., Vergara, C., Guimarães, A.P., Rouws, J.R.C., Jantalia, C.P., Urquiaga, S., Alves, B.J.R., Boddey, R.M, 2018. Changes in 15N natural abundance of biologically fixed N2 in soybean due to shading, rhizobium strain and plant growth stage. Plant and Soil, v. 423, p. 1-16.</w:t>
      </w:r>
    </w:p>
    <w:p w14:paraId="0D6FEF4E"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pt-BR"/>
        </w:rPr>
        <w:t xml:space="preserve">Colino, D.J., Salvagiotti, F., Perticari, A., Piccinetti, C., Ovando, G., Urquiaga, S., Racca, R.W., 2015. </w:t>
      </w:r>
      <w:r w:rsidRPr="00594227">
        <w:rPr>
          <w:rFonts w:ascii="Times New Roman" w:hAnsi="Times New Roman" w:cs="Times New Roman"/>
          <w:sz w:val="24"/>
          <w:szCs w:val="24"/>
          <w:lang w:val="en-US"/>
        </w:rPr>
        <w:t>Biological nitrogen fixation in soybean in Argentina: relationships with crop, soil, and meteorological factors. Plant and Soil (Print), v. 392, p. 239-252.</w:t>
      </w:r>
    </w:p>
    <w:p w14:paraId="1A3C2EA6"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pt-BR"/>
        </w:rPr>
        <w:t xml:space="preserve">Alves, G.C., Videira, S.S., Urquiaga, S., Reis, V.M., 2015. </w:t>
      </w:r>
      <w:r w:rsidRPr="00594227">
        <w:rPr>
          <w:rFonts w:ascii="Times New Roman" w:hAnsi="Times New Roman" w:cs="Times New Roman"/>
          <w:sz w:val="24"/>
          <w:szCs w:val="24"/>
          <w:lang w:val="en-US"/>
        </w:rPr>
        <w:t>Differential plant growth promotion and nitrogen fixation in two genotypes of maize by several Herbaspirillum inoculants. Plant and Soil (Dordrecht. Online), v. 387, p. 307-321.</w:t>
      </w:r>
    </w:p>
    <w:p w14:paraId="11D64956"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pt-BR"/>
        </w:rPr>
        <w:t xml:space="preserve">Schultz, N., Pereira, W., Reis, V.M., Urquiaga, S., 2016. Produtividade e diluição isotópica de 15N em cana de açúcar inoculada com bactérias diazotróficas. </w:t>
      </w:r>
      <w:r w:rsidRPr="00594227">
        <w:rPr>
          <w:rFonts w:ascii="Times New Roman" w:hAnsi="Times New Roman" w:cs="Times New Roman"/>
          <w:sz w:val="24"/>
          <w:szCs w:val="24"/>
          <w:lang w:val="en-US"/>
        </w:rPr>
        <w:t xml:space="preserve">Pesquisa Agropecuária Brasileira (1977. Impressa), v. 51, p. 1594-1601. </w:t>
      </w:r>
    </w:p>
    <w:p w14:paraId="64C8101A"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pt-BR"/>
        </w:rPr>
        <w:t xml:space="preserve">Fernandes, de S.F., Lopes do C. D., Souza, J.E. de S.C., Urquiaga, S., Santos, R.H.S., 2016. </w:t>
      </w:r>
      <w:r w:rsidRPr="00594227">
        <w:rPr>
          <w:rFonts w:ascii="Times New Roman" w:hAnsi="Times New Roman" w:cs="Times New Roman"/>
          <w:sz w:val="24"/>
          <w:szCs w:val="24"/>
          <w:lang w:val="en-US"/>
        </w:rPr>
        <w:t>Legumes as green manure for common bean cultivated in two growing seasons at southeast Brazil. African Journal of Agricultural Research, v. 11, p. 4953-4958.</w:t>
      </w:r>
    </w:p>
    <w:p w14:paraId="6A1EA78F"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Sant'anna, S.A.C., Martins, M.R., Goulart, J.M.,Araújo, S.N., Araújo, E.S., Zaman, M., Jantalia, C.P., Alves, B.J.R., Boddey, R.M., Urquiaga, S., 2018. Biological nitrogen fixation and soil N2O emissions from legume residues in an Acrisol in SE Brazil. Geoderma Regional, v. 15, p. e00196.</w:t>
      </w:r>
    </w:p>
    <w:p w14:paraId="350F0B4A"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Alves, B.J.R., Zotarelli, L., Boddey, R.M., Urquiaga, S., 2002. Soybean benefit to a subsequent wheat cropping system under zero tillage. In: Nuclear Techniques in Integrated Plant nutrient, Water and Soil Management, IAEA, Vienna, Austria, pp. 83-93.</w:t>
      </w:r>
    </w:p>
    <w:p w14:paraId="1D30F6C4"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pt-BR"/>
        </w:rPr>
        <w:t xml:space="preserve">Cardoso, A.S., Berndt, A., Leytem, A., Alves, B.J.R., De Carvalho, I.D.N.O., Soares. </w:t>
      </w:r>
      <w:r w:rsidRPr="00594227">
        <w:rPr>
          <w:rFonts w:ascii="Times New Roman" w:hAnsi="Times New Roman" w:cs="Times New Roman"/>
          <w:sz w:val="24"/>
          <w:szCs w:val="24"/>
          <w:lang w:val="en-US"/>
        </w:rPr>
        <w:t>L.H. de B., Urquiaga, S., Boddey, R.M., 2016. Impact of the intensification of beef production in Brazil on greenhouse gas emissions and land use. Agricultural Systems, v. 143, p. 86-96.</w:t>
      </w:r>
    </w:p>
    <w:p w14:paraId="7A7791B8"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pt-BR"/>
        </w:rPr>
        <w:t xml:space="preserve">Santos, C.A. dos, Rezende, C. de P., Machado É.F.P., Pereira, J.M., Alves, B.J.R., Urquiaga, S., Boddey, R.M., 2019. </w:t>
      </w:r>
      <w:r w:rsidRPr="00594227">
        <w:rPr>
          <w:rFonts w:ascii="Times New Roman" w:hAnsi="Times New Roman" w:cs="Times New Roman"/>
          <w:sz w:val="24"/>
          <w:szCs w:val="24"/>
          <w:lang w:val="en-US"/>
        </w:rPr>
        <w:t xml:space="preserve">Changes in soil carbon stocks after land-use change from native vegetation to pastures in the Atlantic forest region of Brazil. Geoderma, v. 337, p. 394-401. </w:t>
      </w:r>
    </w:p>
    <w:p w14:paraId="581E3BD9"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Sant’anna, S.A.C., Jantalia, C.P., Sá, J.M., Vilela, L., Marchão, R.L., Alves, B.J.R., Urquiaga, S., Boddey, R.M., 2017. Changes in soil organic carbon during 22 years of pastures, cropping or integrated crop/livestock systems in the Brazilian Cerrado. Nutrient Cycling in Agroecosystems, v. 108, p. 101-120.</w:t>
      </w:r>
    </w:p>
    <w:p w14:paraId="1AEAE55A"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Baptista, R.B., Morais, R.F. de, Leite, J.M., Schultz, N., Alves, B.J.R., Boddey, R.M., Urquiaga, S., 2014. Variations in the 15N natural abundance of plant-available N with soil depth: Their influence on estimates of contributions of biological N2 fixation to sugar cane. Applied Soil Ecology (Print) , v. 73, p. 124-129.</w:t>
      </w:r>
    </w:p>
    <w:p w14:paraId="406D684A"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Martins, M.R., Jantalia, C.P., Reis,V.M., Döwich, I., Polidoro, J.C. Alves, B.J.R., Boddey, R.M., Urquiaga, S., 2017. Impact of plant growth-promoting bacteria on grain yield, protein content, and urea-15 N recovery by maize in a Cerrado Oxisol. Plant and Soil, v. 422, p. 239-250.</w:t>
      </w:r>
    </w:p>
    <w:p w14:paraId="4046BA5F" w14:textId="77777777" w:rsidR="00594227" w:rsidRPr="00594227" w:rsidRDefault="00594227" w:rsidP="00594227">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Martins, M.R., Sant’anna, S.A.C., Zaman, M., Santos, R.C., Monteiro, R.C., Alves, B. J. R., Jantalia, C.P., Boddey, R.M., Urquiaga, S., 2017. Strategies for the use of urease and nitrification inhibitors with urea: Impact on N2 O and NH3 emissions, fertilizer- 15 N recovery and maize yield in a tropical soil. Agriculture Ecosystems &amp; Environment, v. 247, p. 54-62.</w:t>
      </w:r>
    </w:p>
    <w:p w14:paraId="7468A008"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pt-BR"/>
        </w:rPr>
        <w:lastRenderedPageBreak/>
        <w:t xml:space="preserve">Boddey, R. M., Jantalia, C. P., Conceição, P. C., Zanatta, J. A., Bayer, C., Mielniczuk, J., Dieckow, J., Dos Santos, H. P., Denardin, J. E., Aita, C., Giacomini, S. J., Urquiaga, S., Alves, B. J. R., 2010. </w:t>
      </w:r>
      <w:r w:rsidRPr="00594227">
        <w:rPr>
          <w:rFonts w:ascii="Times New Roman" w:hAnsi="Times New Roman" w:cs="Times New Roman"/>
          <w:sz w:val="24"/>
          <w:szCs w:val="24"/>
          <w:lang w:val="en-US"/>
        </w:rPr>
        <w:t>Carbon accumulation at depth in Ferralsols under zero-till subtropical agriculture. Global Change Biology. , v.16, p.784 – 795.</w:t>
      </w:r>
    </w:p>
    <w:p w14:paraId="6CD044B8"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Alewell, C., Pitois, A., Meusburger, K., Ketterer, M., Mabit, L. (2017). 239+240Pu from “contaminant” to soil erosion tracer: Where do we stand? Earth-Science Reviews, 172, 107–123. https://doi.org/10.1016/j.earscirev.2017.07.009</w:t>
      </w:r>
    </w:p>
    <w:p w14:paraId="0CE943C1"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pt-BR"/>
        </w:rPr>
      </w:pPr>
      <w:r w:rsidRPr="00594227">
        <w:rPr>
          <w:rFonts w:ascii="Times New Roman" w:hAnsi="Times New Roman" w:cs="Times New Roman"/>
          <w:sz w:val="24"/>
          <w:szCs w:val="24"/>
          <w:lang w:val="de-DE"/>
        </w:rPr>
        <w:t xml:space="preserve">Fulajtar, E., Mabit, L., Renschler, C.S., Lee Zhi Yi, A., 2017. </w:t>
      </w:r>
      <w:r w:rsidRPr="00594227">
        <w:rPr>
          <w:rFonts w:ascii="Times New Roman" w:hAnsi="Times New Roman" w:cs="Times New Roman"/>
          <w:sz w:val="24"/>
          <w:szCs w:val="24"/>
          <w:lang w:val="en-US"/>
        </w:rPr>
        <w:t xml:space="preserve">Use of 137Cs for soil erosion assessment. </w:t>
      </w:r>
      <w:r w:rsidRPr="00594227">
        <w:rPr>
          <w:rFonts w:ascii="Times New Roman" w:hAnsi="Times New Roman" w:cs="Times New Roman"/>
          <w:sz w:val="24"/>
          <w:szCs w:val="24"/>
          <w:lang w:val="pt-BR"/>
        </w:rPr>
        <w:t>FAO/IAEA. Rome, 64p. http://www.fao.org/3/i8211en/I8211EN.pdf</w:t>
      </w:r>
    </w:p>
    <w:p w14:paraId="6BD8EECB"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IAEA (2014). Guidelines for Using Fallout Radionuclides to Assess Erosion and Effectiveness of Soil Conservation Strategies, IAEA-TECDOC-1741. 224 pp.</w:t>
      </w:r>
    </w:p>
    <w:p w14:paraId="7C4DDDF9"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IAEA (2019). Guidelines for Sediment Tracing Using the Compound Specific Carbon Stable Isotope Technique, IAEA-TECDOC-1881. 66 pp.</w:t>
      </w:r>
    </w:p>
    <w:p w14:paraId="52499FF4"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Mabit, L., Benmansour, M., Abril, J.M., Walling, D.E., Meusburger, K., Iurian, A.R., Bernard, C., Tarján, S., Owens, P.N., Blake, W.H., Alewell, C. 2014. Fallout 210Pb as a soil and sediment tracer in catchment sediment budget investigations: A review. Earth-Science Reviews DOI: 10.1016/j.earscirev.2014.06.007</w:t>
      </w:r>
    </w:p>
    <w:p w14:paraId="6D8A2F47"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Mabit, L., Blake, W. (Eds). (2019). Assessing Recent Soil Erosion Rates through the Use of Beryllium-7 (Be-7), Springer Open, Cham. 69 pp.</w:t>
      </w:r>
    </w:p>
    <w:p w14:paraId="69449640" w14:textId="77777777" w:rsidR="00594227" w:rsidRPr="00594227" w:rsidRDefault="00594227" w:rsidP="00594227">
      <w:pPr>
        <w:pStyle w:val="ListParagraph"/>
        <w:numPr>
          <w:ilvl w:val="0"/>
          <w:numId w:val="14"/>
        </w:numPr>
        <w:rPr>
          <w:rFonts w:ascii="Times New Roman" w:hAnsi="Times New Roman" w:cs="Times New Roman"/>
          <w:sz w:val="24"/>
          <w:szCs w:val="24"/>
          <w:lang w:val="en-US"/>
        </w:rPr>
      </w:pPr>
      <w:r w:rsidRPr="00594227">
        <w:rPr>
          <w:rFonts w:ascii="Times New Roman" w:hAnsi="Times New Roman" w:cs="Times New Roman"/>
          <w:sz w:val="24"/>
          <w:szCs w:val="24"/>
          <w:lang w:val="en-US"/>
        </w:rPr>
        <w:t>Zapata F. (Ed.) (2002). Handbook for the Assessment of Soil Erosion and Sedimentation Using Environmental Radionuclides. Kluwer Ac. Publ. The Netherlands. 219 pp.</w:t>
      </w:r>
    </w:p>
    <w:p w14:paraId="0744FEFA"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Gonzales, M. C., 2016. Cuban Rice Variety Bred for Tolerance to Salinity and Rice Mites Stays Relevant in Cuba’s Fields and its Cuisine for almost 20 years. https://www.iaea.org/newscenter/news/cuban-rice-variety-bred-for-tolerance-to-salinity-and-rice-mites-stays-relevant-in-cubas-fields-and-its-cuisine-for-almost-20-years</w:t>
      </w:r>
    </w:p>
    <w:p w14:paraId="7CF67B9B"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pt-BR"/>
        </w:rPr>
        <w:t xml:space="preserve">Andrade, A., Tulmann-Neto, A., Tcacenco, F. A., Marschalek, R., Pereira, A., De-Oliveira-Neto, A. M., Scheuermann, K. K., Wickert, E., Noldin, J. A., 2018. </w:t>
      </w:r>
      <w:r w:rsidRPr="00594227">
        <w:rPr>
          <w:rFonts w:ascii="Times New Roman" w:hAnsi="Times New Roman" w:cs="Times New Roman"/>
          <w:sz w:val="24"/>
          <w:szCs w:val="24"/>
          <w:lang w:val="en-US"/>
        </w:rPr>
        <w:t xml:space="preserve">Development of rice (Oryza sativa) lines resistant to aryloxyphenoxypropionate herbicides through induced mutation with gamma rays. Plant Breeding, v. 137, p. 364-369. </w:t>
      </w:r>
    </w:p>
    <w:p w14:paraId="16F0F1C1"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Avelino, J., Cristancho, M., Georgiou, S., Imbach, P., Aguilar, L., Bornemann, G., Läderach, P., Anzueto, F., Hruska, A. J., Morales, C., 2015. The coffee rust crises in Colombia and Central America (2008–2013): impacts, plausible causes and proposed solutions. Food Sec. 7:303–321.  DOI 10.1007/s12571-015-0446-9</w:t>
      </w:r>
    </w:p>
    <w:p w14:paraId="34774A1D" w14:textId="77777777" w:rsidR="00594227" w:rsidRPr="00594227" w:rsidRDefault="00594227" w:rsidP="00594227">
      <w:pPr>
        <w:pStyle w:val="ListParagraph"/>
        <w:numPr>
          <w:ilvl w:val="0"/>
          <w:numId w:val="14"/>
        </w:numPr>
        <w:rPr>
          <w:rFonts w:ascii="Times New Roman" w:hAnsi="Times New Roman" w:cs="Times New Roman"/>
          <w:sz w:val="24"/>
          <w:szCs w:val="24"/>
          <w:lang w:val="en-US"/>
        </w:rPr>
      </w:pPr>
      <w:r w:rsidRPr="00594227">
        <w:rPr>
          <w:rFonts w:ascii="Times New Roman" w:hAnsi="Times New Roman" w:cs="Times New Roman"/>
          <w:sz w:val="24"/>
          <w:szCs w:val="24"/>
          <w:lang w:val="en-US"/>
        </w:rPr>
        <w:t xml:space="preserve">Ingelbrecht, I., 2019. IAEA, FAO Help Develop Bananas Resistant to Major Fungal Disease, https://www.iaea.org/newscenter/news/iaea-fao-help-develop-bananas-resistant-to-major-fungal-disease  </w:t>
      </w:r>
    </w:p>
    <w:p w14:paraId="5F62FB92" w14:textId="77777777" w:rsidR="00594227" w:rsidRPr="00594227" w:rsidRDefault="00594227" w:rsidP="00594227">
      <w:pPr>
        <w:pStyle w:val="ListParagraph"/>
        <w:numPr>
          <w:ilvl w:val="0"/>
          <w:numId w:val="14"/>
        </w:numPr>
        <w:rPr>
          <w:rFonts w:ascii="Times New Roman" w:hAnsi="Times New Roman" w:cs="Times New Roman"/>
          <w:sz w:val="24"/>
          <w:szCs w:val="24"/>
          <w:lang w:val="en-US"/>
        </w:rPr>
      </w:pPr>
      <w:r w:rsidRPr="00594227">
        <w:rPr>
          <w:rFonts w:ascii="Times New Roman" w:hAnsi="Times New Roman" w:cs="Times New Roman"/>
          <w:sz w:val="24"/>
          <w:szCs w:val="24"/>
          <w:lang w:val="en-US"/>
        </w:rPr>
        <w:t>FAO, 2006. Livestock Report. Animal Production and Health Division, FAO, Rome, 83pp.</w:t>
      </w:r>
    </w:p>
    <w:p w14:paraId="735A035A"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rPr>
        <w:t xml:space="preserve">Vargas-Terán, M., 2018. Hoja de Ruta para la Supresión y Erradicación Progresiva del Gusano Barrenador del Ganado (GBG) Cochliomyia hominivorax del Continente Americano. </w:t>
      </w:r>
      <w:r w:rsidRPr="00594227">
        <w:rPr>
          <w:rFonts w:ascii="Times New Roman" w:hAnsi="Times New Roman" w:cs="Times New Roman"/>
          <w:sz w:val="24"/>
          <w:szCs w:val="24"/>
          <w:lang w:val="en-US"/>
        </w:rPr>
        <w:t>Organismo Internacional de Energía Atómica, ONU, Viena, Austria.</w:t>
      </w:r>
    </w:p>
    <w:p w14:paraId="5F3F8270"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de-DE"/>
        </w:rPr>
        <w:t xml:space="preserve">Peter, R.J., Van den Bossche, P., Penzhorn, B.L., Sharp, B., 2005. </w:t>
      </w:r>
      <w:r w:rsidRPr="00594227">
        <w:rPr>
          <w:rFonts w:ascii="Times New Roman" w:hAnsi="Times New Roman" w:cs="Times New Roman"/>
          <w:sz w:val="24"/>
          <w:szCs w:val="24"/>
          <w:lang w:val="en-US"/>
        </w:rPr>
        <w:t xml:space="preserve">Tick, fly and mosquito control-lessons from the past, solutions for the future. Vet. Parasitol. 132, 205–215. </w:t>
      </w:r>
    </w:p>
    <w:p w14:paraId="227BEE83"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lastRenderedPageBreak/>
        <w:t xml:space="preserve">Nari Henrioud, A., 2011. Towards sustainable parasite control practices in livestock production with emphasis in Latin America, Veterinary Parasitology. 180, 2-11. </w:t>
      </w:r>
    </w:p>
    <w:p w14:paraId="0779D9AE" w14:textId="77777777" w:rsidR="00594227" w:rsidRPr="00594227" w:rsidRDefault="00594227" w:rsidP="00594227">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ORGANISMO INTERNACIONAL DE ENERGÍA ATOMICA, “Principios fundamentales de seguridad”, Colección de Normas de Seguridad del OIEA, SF-1, OIEA, Viena (2007).</w:t>
      </w:r>
    </w:p>
    <w:p w14:paraId="68A0A3A0" w14:textId="77777777" w:rsidR="00594227" w:rsidRPr="00594227" w:rsidRDefault="00594227" w:rsidP="00594227">
      <w:pPr>
        <w:pStyle w:val="ListParagraph"/>
        <w:numPr>
          <w:ilvl w:val="0"/>
          <w:numId w:val="14"/>
        </w:numPr>
        <w:rPr>
          <w:rFonts w:ascii="Times New Roman" w:hAnsi="Times New Roman" w:cs="Times New Roman"/>
          <w:sz w:val="24"/>
          <w:szCs w:val="24"/>
          <w:lang w:val="en-US"/>
        </w:rPr>
      </w:pPr>
      <w:r w:rsidRPr="00594227">
        <w:rPr>
          <w:rFonts w:ascii="Times New Roman" w:hAnsi="Times New Roman" w:cs="Times New Roman"/>
          <w:sz w:val="24"/>
          <w:szCs w:val="24"/>
          <w:lang w:val="en-US"/>
        </w:rPr>
        <w:t>FAO, 2011. Road Map for the New World Screwworm (NWS) Cochliomyia hominivorax Suppression and Progressive Eradication in the Western Hemispheric Endemic Zones.</w:t>
      </w:r>
    </w:p>
    <w:p w14:paraId="75B232E6"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Viljoen G.J. &amp; Luckins A.G., 2012. The role of nuclear technologies in the diagnosis and control of livestock diseases—a review; Trop. Anim. Health Prod, 44:1341-1366.</w:t>
      </w:r>
    </w:p>
    <w:p w14:paraId="50579279"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World bank, 2013, Future looks bright for food production in Latin America and Caribbean, October 16, 2013.</w:t>
      </w:r>
    </w:p>
    <w:p w14:paraId="4A9AFB9B"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Codex Alimentarius Commission. 2019 http://www.fao.org/fao-who-codexalimentarius/news-and-events/news-details/en/c/1239396/, accessed Nov 4th 2019)</w:t>
      </w:r>
    </w:p>
    <w:p w14:paraId="36B3465F" w14:textId="77777777" w:rsidR="00594227" w:rsidRPr="00594227" w:rsidRDefault="00594227" w:rsidP="00594227">
      <w:pPr>
        <w:pStyle w:val="ListParagraph"/>
        <w:numPr>
          <w:ilvl w:val="0"/>
          <w:numId w:val="14"/>
        </w:numPr>
        <w:rPr>
          <w:rFonts w:ascii="Times New Roman" w:hAnsi="Times New Roman" w:cs="Times New Roman"/>
          <w:sz w:val="24"/>
          <w:szCs w:val="24"/>
          <w:lang w:val="en-US"/>
        </w:rPr>
      </w:pPr>
      <w:r w:rsidRPr="00594227">
        <w:rPr>
          <w:rFonts w:ascii="Times New Roman" w:hAnsi="Times New Roman" w:cs="Times New Roman"/>
          <w:sz w:val="24"/>
          <w:szCs w:val="24"/>
          <w:lang w:val="en-US"/>
        </w:rPr>
        <w:t>Thomas P. Van Boeckel, Charles Brower, Marius Gilbert, Bryan T. Grenfell, Simon A. Levin, Timothy P. Robinson, Aude Teillant, Ramanan Laxminarayan. 2015. Global trends in antimicrobial use in food animals; Proceedings of the National Academy of Sciences May 2015, 112 (18) 5649-5654; DOI: 10.1073/pnas.1503141112.</w:t>
      </w:r>
    </w:p>
    <w:p w14:paraId="169F74EB"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European Public Health Alliance. 2018. Unhealthy Trades. https://ec.europa.eu/transparency/regexpert/index.cfm?do=groupDetail.groupMeetingDoc&amp;docid=14678</w:t>
      </w:r>
    </w:p>
    <w:p w14:paraId="7E551D01"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de-DE"/>
        </w:rPr>
        <w:t xml:space="preserve">Gruber-Dorninger, C; Jenkins, T, and Gerd Schatzmayr. </w:t>
      </w:r>
      <w:r w:rsidRPr="00594227">
        <w:rPr>
          <w:rFonts w:ascii="Times New Roman" w:hAnsi="Times New Roman" w:cs="Times New Roman"/>
          <w:sz w:val="24"/>
          <w:szCs w:val="24"/>
          <w:lang w:val="en-US"/>
        </w:rPr>
        <w:t xml:space="preserve">G. 2019. Global Mycotoxin Occurrence in Feed: A Ten-Year Survey. Toxins 2019, 11(7), 375; https://doi.org/10.3390/toxins11070375 </w:t>
      </w:r>
    </w:p>
    <w:p w14:paraId="2246B410"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Wild CP, Miller JD, Groopman JD, editors. Mycotoxin control in low- and middle-income countries. Lyon (FR): International Agency for Research on Cancer; 2015. (IARC Working Group Reports, No. 9.) Available from: https://www.ncbi.nlm.nih.gov/books/NBK350558/</w:t>
      </w:r>
    </w:p>
    <w:p w14:paraId="0D7697AB"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Kumarathilaka, P; Saman, S; Ok, Y.S; Meharg, A; Bundschuh, J. 2019. Arsenic in cooked rice foods: Assessing health risks and mitigation options, Environment International, Vol 127, (584-591).</w:t>
      </w:r>
    </w:p>
    <w:p w14:paraId="19A52409"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 xml:space="preserve">Meter, A.; Atkinson, R.J.; Laliberte, B. (2019) Cadmium in cacao from Latin America and the Caribbean: A review of research and potential mitigation solutions. Rome (Italy): Bioversity International 73 p. ISBN: 978-92-9255-135-3;  https://hdl.handle.net/10568/102353 </w:t>
      </w:r>
    </w:p>
    <w:p w14:paraId="6F64277C" w14:textId="77777777" w:rsidR="00594227" w:rsidRPr="00594227" w:rsidRDefault="00594227" w:rsidP="00594227">
      <w:pPr>
        <w:pStyle w:val="ListParagraph"/>
        <w:numPr>
          <w:ilvl w:val="0"/>
          <w:numId w:val="14"/>
        </w:numPr>
        <w:jc w:val="both"/>
        <w:rPr>
          <w:rFonts w:ascii="Times New Roman" w:hAnsi="Times New Roman" w:cs="Times New Roman"/>
          <w:sz w:val="24"/>
          <w:szCs w:val="24"/>
          <w:lang w:val="en-US"/>
        </w:rPr>
      </w:pPr>
      <w:r w:rsidRPr="00594227">
        <w:rPr>
          <w:rFonts w:ascii="Times New Roman" w:hAnsi="Times New Roman" w:cs="Times New Roman"/>
          <w:sz w:val="24"/>
          <w:szCs w:val="24"/>
          <w:lang w:val="de-DE"/>
        </w:rPr>
        <w:t xml:space="preserve">McClintock TR, Chen Y, Bundschuh J, et al. </w:t>
      </w:r>
      <w:r w:rsidRPr="00594227">
        <w:rPr>
          <w:rFonts w:ascii="Times New Roman" w:hAnsi="Times New Roman" w:cs="Times New Roman"/>
          <w:sz w:val="24"/>
          <w:szCs w:val="24"/>
          <w:lang w:val="en-US"/>
        </w:rPr>
        <w:t>Arsenic exposure in Latin America: biomarkers, risk assessments and related health effects. Sci Total Environ. 2012;429:76–91. doi:10.1016/j.scitotenv.2011.08.051.</w:t>
      </w:r>
    </w:p>
    <w:p w14:paraId="704BC56B" w14:textId="77777777" w:rsidR="00594227" w:rsidRPr="00594227" w:rsidRDefault="00594227" w:rsidP="00594227">
      <w:pPr>
        <w:rPr>
          <w:rFonts w:ascii="Times New Roman" w:hAnsi="Times New Roman" w:cs="Times New Roman"/>
          <w:sz w:val="24"/>
          <w:szCs w:val="24"/>
          <w:lang w:val="en-US"/>
        </w:rPr>
      </w:pPr>
    </w:p>
    <w:p w14:paraId="464339DF" w14:textId="692E411A" w:rsidR="00921043" w:rsidRPr="00594227" w:rsidRDefault="00600090" w:rsidP="004B48B3">
      <w:pPr>
        <w:widowControl w:val="0"/>
        <w:autoSpaceDE w:val="0"/>
        <w:autoSpaceDN w:val="0"/>
        <w:adjustRightInd w:val="0"/>
        <w:spacing w:after="0" w:line="240" w:lineRule="auto"/>
        <w:jc w:val="both"/>
        <w:rPr>
          <w:rFonts w:ascii="Times New Roman" w:hAnsi="Times New Roman" w:cs="Times New Roman"/>
          <w:i/>
          <w:iCs/>
          <w:color w:val="548DD4" w:themeColor="text2" w:themeTint="99"/>
          <w:sz w:val="24"/>
          <w:szCs w:val="24"/>
        </w:rPr>
      </w:pPr>
      <w:r w:rsidRPr="00594227">
        <w:rPr>
          <w:rFonts w:ascii="Times New Roman" w:hAnsi="Times New Roman" w:cs="Times New Roman"/>
          <w:i/>
          <w:iCs/>
          <w:color w:val="548DD4" w:themeColor="text2" w:themeTint="99"/>
          <w:sz w:val="24"/>
          <w:szCs w:val="24"/>
        </w:rPr>
        <w:t>Salud</w:t>
      </w:r>
      <w:r w:rsidR="00D136BB" w:rsidRPr="00594227">
        <w:rPr>
          <w:rFonts w:ascii="Times New Roman" w:hAnsi="Times New Roman" w:cs="Times New Roman"/>
          <w:i/>
          <w:iCs/>
          <w:color w:val="548DD4" w:themeColor="text2" w:themeTint="99"/>
          <w:sz w:val="24"/>
          <w:szCs w:val="24"/>
        </w:rPr>
        <w:t xml:space="preserve"> </w:t>
      </w:r>
      <w:r w:rsidRPr="00594227">
        <w:rPr>
          <w:rFonts w:ascii="Times New Roman" w:hAnsi="Times New Roman" w:cs="Times New Roman"/>
          <w:i/>
          <w:iCs/>
          <w:color w:val="548DD4" w:themeColor="text2" w:themeTint="99"/>
          <w:sz w:val="24"/>
          <w:szCs w:val="24"/>
        </w:rPr>
        <w:t>Humana</w:t>
      </w:r>
    </w:p>
    <w:p w14:paraId="102F14E8" w14:textId="77777777" w:rsidR="004B48B3" w:rsidRPr="00594227" w:rsidRDefault="004B48B3" w:rsidP="004B48B3">
      <w:pPr>
        <w:widowControl w:val="0"/>
        <w:autoSpaceDE w:val="0"/>
        <w:autoSpaceDN w:val="0"/>
        <w:adjustRightInd w:val="0"/>
        <w:spacing w:after="0" w:line="240" w:lineRule="auto"/>
        <w:jc w:val="both"/>
        <w:rPr>
          <w:rFonts w:ascii="Times New Roman" w:hAnsi="Times New Roman" w:cs="Times New Roman"/>
          <w:i/>
          <w:iCs/>
          <w:color w:val="548DD4" w:themeColor="text2" w:themeTint="99"/>
          <w:sz w:val="24"/>
          <w:szCs w:val="24"/>
        </w:rPr>
      </w:pPr>
    </w:p>
    <w:p w14:paraId="2E5AF610" w14:textId="3BD27305" w:rsidR="00921043" w:rsidRPr="00BE56A0" w:rsidRDefault="00921043" w:rsidP="00312CCF">
      <w:pPr>
        <w:shd w:val="clear" w:color="auto" w:fill="FFFFFF"/>
        <w:tabs>
          <w:tab w:val="left" w:pos="851"/>
        </w:tabs>
        <w:spacing w:after="0" w:line="240" w:lineRule="auto"/>
        <w:ind w:left="567" w:hanging="567"/>
        <w:jc w:val="both"/>
        <w:outlineLvl w:val="0"/>
        <w:rPr>
          <w:rFonts w:ascii="Times New Roman" w:hAnsi="Times New Roman" w:cs="Times New Roman"/>
          <w:color w:val="0000FF"/>
          <w:sz w:val="24"/>
          <w:szCs w:val="24"/>
          <w:u w:val="single"/>
        </w:rPr>
      </w:pPr>
      <w:r w:rsidRPr="00594227">
        <w:rPr>
          <w:rFonts w:ascii="Times New Roman" w:hAnsi="Times New Roman" w:cs="Times New Roman"/>
          <w:sz w:val="24"/>
          <w:szCs w:val="24"/>
        </w:rPr>
        <w:t>[1]</w:t>
      </w:r>
      <w:r w:rsidR="00D136BB" w:rsidRPr="00594227">
        <w:rPr>
          <w:rFonts w:ascii="Times New Roman" w:hAnsi="Times New Roman" w:cs="Times New Roman"/>
          <w:sz w:val="24"/>
          <w:szCs w:val="24"/>
        </w:rPr>
        <w:t xml:space="preserve"> </w:t>
      </w:r>
      <w:r w:rsidR="00312CCF">
        <w:rPr>
          <w:rFonts w:ascii="Times New Roman" w:hAnsi="Times New Roman" w:cs="Times New Roman"/>
          <w:sz w:val="24"/>
          <w:szCs w:val="24"/>
        </w:rPr>
        <w:t xml:space="preserve">   </w:t>
      </w:r>
      <w:r w:rsidRPr="00594227">
        <w:rPr>
          <w:rFonts w:ascii="Times New Roman" w:hAnsi="Times New Roman" w:cs="Times New Roman"/>
          <w:sz w:val="24"/>
          <w:szCs w:val="24"/>
        </w:rPr>
        <w:t>Salud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Perspectiva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Regional.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Disponible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hyperlink r:id="rId29" w:history="1">
        <w:r w:rsidRPr="00594227">
          <w:rPr>
            <w:rStyle w:val="Hyperlink"/>
            <w:rFonts w:ascii="Times New Roman" w:hAnsi="Times New Roman" w:cs="Times New Roman"/>
            <w:sz w:val="24"/>
            <w:szCs w:val="24"/>
          </w:rPr>
          <w:t>https://www.paho.org/salud-en-las-americas-2017/</w:t>
        </w:r>
      </w:hyperlink>
    </w:p>
    <w:p w14:paraId="729E9987" w14:textId="4BC7CE08" w:rsidR="00921043" w:rsidRPr="00594227" w:rsidRDefault="00921043" w:rsidP="00312CCF">
      <w:pPr>
        <w:shd w:val="clear" w:color="auto" w:fill="FFFFFF"/>
        <w:spacing w:after="0" w:line="240" w:lineRule="auto"/>
        <w:ind w:left="567" w:hanging="567"/>
        <w:jc w:val="both"/>
        <w:outlineLvl w:val="0"/>
        <w:rPr>
          <w:rStyle w:val="Hyperlink"/>
          <w:rFonts w:ascii="Times New Roman" w:hAnsi="Times New Roman" w:cs="Times New Roman"/>
          <w:sz w:val="24"/>
          <w:szCs w:val="24"/>
        </w:rPr>
      </w:pPr>
      <w:r w:rsidRPr="00594227">
        <w:rPr>
          <w:rFonts w:ascii="Times New Roman" w:hAnsi="Times New Roman" w:cs="Times New Roman"/>
          <w:sz w:val="24"/>
          <w:szCs w:val="24"/>
        </w:rPr>
        <w:t>[2]</w:t>
      </w:r>
      <w:r w:rsidR="00D136BB" w:rsidRPr="00594227">
        <w:rPr>
          <w:rFonts w:ascii="Times New Roman" w:hAnsi="Times New Roman" w:cs="Times New Roman"/>
          <w:sz w:val="24"/>
          <w:szCs w:val="24"/>
        </w:rPr>
        <w:t xml:space="preserve"> </w:t>
      </w:r>
      <w:r w:rsidR="00312CCF">
        <w:rPr>
          <w:rFonts w:ascii="Times New Roman" w:hAnsi="Times New Roman" w:cs="Times New Roman"/>
          <w:sz w:val="24"/>
          <w:szCs w:val="24"/>
        </w:rPr>
        <w:t xml:space="preserve"> </w:t>
      </w:r>
      <w:r w:rsidRPr="00594227">
        <w:rPr>
          <w:rFonts w:ascii="Times New Roman" w:hAnsi="Times New Roman" w:cs="Times New Roman"/>
          <w:sz w:val="24"/>
          <w:szCs w:val="24"/>
        </w:rPr>
        <w:t>Situación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salud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Indicadores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básicos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2018</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OPS-OMS.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Disponible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Style w:val="Hyperlink"/>
          <w:rFonts w:ascii="Times New Roman" w:hAnsi="Times New Roman" w:cs="Times New Roman"/>
          <w:sz w:val="24"/>
          <w:szCs w:val="24"/>
        </w:rPr>
        <w:t>http://iris.paho.org/xmlui/bitstream/handle/123456789/49511/IndicadoresBasicos2018_spa.pdf?sequence=2&amp;isAllowed=y</w:t>
      </w:r>
    </w:p>
    <w:p w14:paraId="4974C874" w14:textId="77777777" w:rsidR="00921043" w:rsidRPr="00594227" w:rsidRDefault="00921043" w:rsidP="00312CCF">
      <w:pPr>
        <w:shd w:val="clear" w:color="auto" w:fill="FFFFFF"/>
        <w:spacing w:after="0" w:line="240" w:lineRule="auto"/>
        <w:ind w:left="709"/>
        <w:jc w:val="both"/>
        <w:outlineLvl w:val="0"/>
        <w:rPr>
          <w:rFonts w:ascii="Times New Roman" w:hAnsi="Times New Roman" w:cs="Times New Roman"/>
          <w:sz w:val="24"/>
          <w:szCs w:val="24"/>
        </w:rPr>
      </w:pPr>
    </w:p>
    <w:p w14:paraId="203AE016" w14:textId="0FB893BF" w:rsidR="00921043" w:rsidRPr="00594227" w:rsidRDefault="00921043" w:rsidP="009518E0">
      <w:pPr>
        <w:tabs>
          <w:tab w:val="left" w:pos="709"/>
        </w:tabs>
        <w:spacing w:after="0" w:line="240" w:lineRule="auto"/>
        <w:ind w:left="426" w:hanging="568"/>
        <w:jc w:val="both"/>
        <w:rPr>
          <w:rStyle w:val="Hyperlink"/>
          <w:rFonts w:ascii="Times New Roman" w:hAnsi="Times New Roman" w:cs="Times New Roman"/>
          <w:sz w:val="24"/>
          <w:szCs w:val="24"/>
          <w:lang w:val="es-AR"/>
        </w:rPr>
      </w:pPr>
      <w:r w:rsidRPr="00594227">
        <w:rPr>
          <w:rFonts w:ascii="Times New Roman" w:eastAsia="Times New Roman" w:hAnsi="Times New Roman" w:cs="Times New Roman"/>
          <w:caps/>
          <w:kern w:val="36"/>
          <w:sz w:val="24"/>
          <w:szCs w:val="24"/>
          <w:lang w:eastAsia="es-MX"/>
        </w:rPr>
        <w:lastRenderedPageBreak/>
        <w:t>[3]</w:t>
      </w:r>
      <w:r w:rsidR="00312CCF">
        <w:rPr>
          <w:rFonts w:ascii="Times New Roman" w:eastAsia="Times New Roman" w:hAnsi="Times New Roman" w:cs="Times New Roman"/>
          <w:caps/>
          <w:kern w:val="36"/>
          <w:sz w:val="24"/>
          <w:szCs w:val="24"/>
          <w:lang w:eastAsia="es-MX"/>
        </w:rPr>
        <w:t xml:space="preserve">   </w:t>
      </w:r>
      <w:r w:rsidR="00D136BB" w:rsidRPr="00594227">
        <w:rPr>
          <w:rFonts w:ascii="Times New Roman" w:eastAsia="Times New Roman" w:hAnsi="Times New Roman" w:cs="Times New Roman"/>
          <w:caps/>
          <w:kern w:val="36"/>
          <w:sz w:val="24"/>
          <w:szCs w:val="24"/>
          <w:lang w:eastAsia="es-MX"/>
        </w:rPr>
        <w:t xml:space="preserve"> </w:t>
      </w:r>
      <w:r w:rsidRPr="00594227">
        <w:rPr>
          <w:rFonts w:ascii="Times New Roman" w:hAnsi="Times New Roman" w:cs="Times New Roman"/>
          <w:sz w:val="24"/>
          <w:szCs w:val="24"/>
        </w:rPr>
        <w:t>Comisión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Económica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para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Latina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y</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Caribe.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impactos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tendencias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demográficas.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Panorama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social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Latina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2015.</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Santiago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Chile: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CEPAL;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2015.</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Disponible</w:t>
      </w:r>
      <w:r w:rsidR="00D136BB" w:rsidRPr="00594227">
        <w:rPr>
          <w:rFonts w:ascii="Times New Roman" w:hAnsi="Times New Roman" w:cs="Times New Roman"/>
          <w:sz w:val="24"/>
          <w:szCs w:val="24"/>
          <w:lang w:val="es-AR"/>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lang w:val="es-AR"/>
        </w:rPr>
        <w:t xml:space="preserve"> </w:t>
      </w:r>
      <w:hyperlink r:id="rId30" w:history="1">
        <w:r w:rsidRPr="00594227">
          <w:rPr>
            <w:rStyle w:val="Hyperlink"/>
            <w:rFonts w:ascii="Times New Roman" w:hAnsi="Times New Roman" w:cs="Times New Roman"/>
            <w:sz w:val="24"/>
            <w:szCs w:val="24"/>
          </w:rPr>
          <w:t>http://repositorio.cepal.org/bitstream/handle/11362/39965/1/S1600227_es.pdf</w:t>
        </w:r>
      </w:hyperlink>
      <w:r w:rsidR="00D136BB" w:rsidRPr="00594227">
        <w:rPr>
          <w:rStyle w:val="Hyperlink"/>
          <w:rFonts w:ascii="Times New Roman" w:hAnsi="Times New Roman" w:cs="Times New Roman"/>
          <w:sz w:val="24"/>
          <w:szCs w:val="24"/>
          <w:lang w:val="es-AR"/>
        </w:rPr>
        <w:t xml:space="preserve"> </w:t>
      </w:r>
      <w:r w:rsidR="00594227" w:rsidRPr="00594227">
        <w:rPr>
          <w:rFonts w:ascii="Times New Roman" w:hAnsi="Times New Roman" w:cs="Times New Roman"/>
          <w:sz w:val="24"/>
          <w:szCs w:val="24"/>
        </w:rPr>
        <w:t>2.</w:t>
      </w:r>
    </w:p>
    <w:p w14:paraId="15C36B9D" w14:textId="77777777" w:rsidR="00594227" w:rsidRPr="00594227" w:rsidRDefault="00594227" w:rsidP="00312CCF">
      <w:pPr>
        <w:spacing w:after="0" w:line="240" w:lineRule="auto"/>
        <w:ind w:left="426"/>
        <w:jc w:val="both"/>
        <w:rPr>
          <w:rStyle w:val="Hyperlink"/>
          <w:rFonts w:ascii="Times New Roman" w:hAnsi="Times New Roman" w:cs="Times New Roman"/>
          <w:sz w:val="24"/>
          <w:szCs w:val="24"/>
          <w:lang w:val="es-AR"/>
        </w:rPr>
      </w:pPr>
    </w:p>
    <w:p w14:paraId="0DB36C95" w14:textId="00993BA6" w:rsidR="00921043" w:rsidRPr="00594227" w:rsidRDefault="00921043" w:rsidP="009518E0">
      <w:pPr>
        <w:shd w:val="clear" w:color="auto" w:fill="FFFFFF"/>
        <w:spacing w:after="0" w:line="240" w:lineRule="auto"/>
        <w:ind w:left="426" w:hanging="426"/>
        <w:jc w:val="both"/>
        <w:rPr>
          <w:rFonts w:ascii="Times New Roman" w:hAnsi="Times New Roman" w:cs="Times New Roman"/>
          <w:color w:val="000000"/>
          <w:sz w:val="24"/>
          <w:szCs w:val="24"/>
        </w:rPr>
      </w:pPr>
      <w:r w:rsidRPr="00594227">
        <w:rPr>
          <w:rStyle w:val="Hyperlink"/>
          <w:rFonts w:ascii="Times New Roman" w:hAnsi="Times New Roman" w:cs="Times New Roman"/>
          <w:color w:val="auto"/>
          <w:sz w:val="24"/>
          <w:szCs w:val="24"/>
          <w:lang w:val="fr-FR"/>
        </w:rPr>
        <w:t>[4]</w:t>
      </w:r>
      <w:r w:rsidR="009518E0">
        <w:rPr>
          <w:rStyle w:val="Hyperlink"/>
          <w:rFonts w:ascii="Times New Roman" w:hAnsi="Times New Roman" w:cs="Times New Roman"/>
          <w:color w:val="auto"/>
          <w:sz w:val="24"/>
          <w:szCs w:val="24"/>
          <w:lang w:val="fr-FR"/>
        </w:rPr>
        <w:t xml:space="preserve"> </w:t>
      </w:r>
      <w:r w:rsidR="00D136BB" w:rsidRPr="00594227">
        <w:rPr>
          <w:rStyle w:val="Hyperlink"/>
          <w:rFonts w:ascii="Times New Roman" w:hAnsi="Times New Roman" w:cs="Times New Roman"/>
          <w:color w:val="auto"/>
          <w:sz w:val="24"/>
          <w:szCs w:val="24"/>
          <w:lang w:val="fr-FR"/>
        </w:rPr>
        <w:t xml:space="preserve"> </w:t>
      </w:r>
      <w:r w:rsidRPr="00594227">
        <w:rPr>
          <w:rFonts w:ascii="Times New Roman" w:hAnsi="Times New Roman" w:cs="Times New Roman"/>
          <w:color w:val="000000"/>
          <w:sz w:val="24"/>
          <w:szCs w:val="24"/>
          <w:lang w:val="fr-FR"/>
        </w:rPr>
        <w:t>Rivera-Andrade</w:t>
      </w:r>
      <w:r w:rsidR="00D136BB" w:rsidRPr="00594227">
        <w:rPr>
          <w:rFonts w:ascii="Times New Roman" w:hAnsi="Times New Roman" w:cs="Times New Roman"/>
          <w:color w:val="000000"/>
          <w:sz w:val="24"/>
          <w:szCs w:val="24"/>
          <w:lang w:val="pt-BR"/>
        </w:rPr>
        <w:t xml:space="preserve"> </w:t>
      </w:r>
      <w:r w:rsidRPr="00594227">
        <w:rPr>
          <w:rFonts w:ascii="Times New Roman" w:hAnsi="Times New Roman" w:cs="Times New Roman"/>
          <w:color w:val="000000"/>
          <w:sz w:val="24"/>
          <w:szCs w:val="24"/>
          <w:lang w:val="fr-FR"/>
        </w:rPr>
        <w:t>A,</w:t>
      </w:r>
      <w:r w:rsidR="00D136BB" w:rsidRPr="00594227">
        <w:rPr>
          <w:rFonts w:ascii="Times New Roman" w:hAnsi="Times New Roman" w:cs="Times New Roman"/>
          <w:color w:val="000000"/>
          <w:sz w:val="24"/>
          <w:szCs w:val="24"/>
          <w:lang w:val="pt-BR"/>
        </w:rPr>
        <w:t xml:space="preserve"> </w:t>
      </w:r>
      <w:r w:rsidRPr="00594227">
        <w:rPr>
          <w:rFonts w:ascii="Times New Roman" w:hAnsi="Times New Roman" w:cs="Times New Roman"/>
          <w:color w:val="000000"/>
          <w:sz w:val="24"/>
          <w:szCs w:val="24"/>
          <w:lang w:val="fr-FR"/>
        </w:rPr>
        <w:t>Luna</w:t>
      </w:r>
      <w:r w:rsidR="00D136BB" w:rsidRPr="00594227">
        <w:rPr>
          <w:rFonts w:ascii="Times New Roman" w:hAnsi="Times New Roman" w:cs="Times New Roman"/>
          <w:color w:val="000000"/>
          <w:sz w:val="24"/>
          <w:szCs w:val="24"/>
          <w:lang w:val="pt-BR"/>
        </w:rPr>
        <w:t xml:space="preserve"> </w:t>
      </w:r>
      <w:r w:rsidRPr="00594227">
        <w:rPr>
          <w:rFonts w:ascii="Times New Roman" w:hAnsi="Times New Roman" w:cs="Times New Roman"/>
          <w:color w:val="000000"/>
          <w:sz w:val="24"/>
          <w:szCs w:val="24"/>
          <w:lang w:val="fr-FR"/>
        </w:rPr>
        <w:t>MA.</w:t>
      </w:r>
      <w:r w:rsidR="00D136BB" w:rsidRPr="00594227">
        <w:rPr>
          <w:rFonts w:ascii="Times New Roman" w:hAnsi="Times New Roman" w:cs="Times New Roman"/>
          <w:color w:val="000000"/>
          <w:sz w:val="24"/>
          <w:szCs w:val="24"/>
          <w:lang w:val="pt-BR"/>
        </w:rPr>
        <w:t xml:space="preserve"> </w:t>
      </w:r>
      <w:r w:rsidRPr="00594227">
        <w:rPr>
          <w:rFonts w:ascii="Times New Roman" w:eastAsia="Times New Roman" w:hAnsi="Times New Roman" w:cs="Times New Roman"/>
          <w:color w:val="000000"/>
          <w:sz w:val="24"/>
          <w:szCs w:val="24"/>
          <w:lang w:val="en-US" w:eastAsia="es-MX"/>
        </w:rPr>
        <w:t>Trends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and</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heterogeneity</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of</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cardiovascular</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disease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and</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risk</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factors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across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Latin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American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and</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Caribbean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countries.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hAnsi="Times New Roman" w:cs="Times New Roman"/>
          <w:color w:val="000000"/>
          <w:sz w:val="24"/>
          <w:szCs w:val="24"/>
        </w:rPr>
        <w:t>Progress</w:t>
      </w:r>
      <w:r w:rsidR="00D136BB" w:rsidRPr="00594227">
        <w:rPr>
          <w:rFonts w:ascii="Times New Roman" w:hAnsi="Times New Roman" w:cs="Times New Roman"/>
          <w:color w:val="000000"/>
          <w:sz w:val="24"/>
          <w:szCs w:val="24"/>
          <w:lang w:val="es-419"/>
        </w:rPr>
        <w:t xml:space="preserve"> </w:t>
      </w:r>
      <w:r w:rsidRPr="00594227">
        <w:rPr>
          <w:rFonts w:ascii="Times New Roman" w:hAnsi="Times New Roman" w:cs="Times New Roman"/>
          <w:color w:val="000000"/>
          <w:sz w:val="24"/>
          <w:szCs w:val="24"/>
        </w:rPr>
        <w:t>in</w:t>
      </w:r>
      <w:r w:rsidR="00D136BB" w:rsidRPr="00594227">
        <w:rPr>
          <w:rFonts w:ascii="Times New Roman" w:hAnsi="Times New Roman" w:cs="Times New Roman"/>
          <w:color w:val="000000"/>
          <w:sz w:val="24"/>
          <w:szCs w:val="24"/>
          <w:lang w:val="es-419"/>
        </w:rPr>
        <w:t xml:space="preserve"> </w:t>
      </w:r>
      <w:r w:rsidRPr="00594227">
        <w:rPr>
          <w:rFonts w:ascii="Times New Roman" w:hAnsi="Times New Roman" w:cs="Times New Roman"/>
          <w:color w:val="000000"/>
          <w:sz w:val="24"/>
          <w:szCs w:val="24"/>
        </w:rPr>
        <w:t>Cardiovascular</w:t>
      </w:r>
      <w:r w:rsidR="00D136BB" w:rsidRPr="00594227">
        <w:rPr>
          <w:rFonts w:ascii="Times New Roman" w:hAnsi="Times New Roman" w:cs="Times New Roman"/>
          <w:color w:val="000000"/>
          <w:sz w:val="24"/>
          <w:szCs w:val="24"/>
          <w:lang w:val="es-419"/>
        </w:rPr>
        <w:t xml:space="preserve"> </w:t>
      </w:r>
      <w:r w:rsidRPr="00594227">
        <w:rPr>
          <w:rFonts w:ascii="Times New Roman" w:hAnsi="Times New Roman" w:cs="Times New Roman"/>
          <w:color w:val="000000"/>
          <w:sz w:val="24"/>
          <w:szCs w:val="24"/>
        </w:rPr>
        <w:t>Diseases</w:t>
      </w:r>
      <w:r w:rsidR="00D136BB" w:rsidRPr="00594227">
        <w:rPr>
          <w:rFonts w:ascii="Times New Roman" w:hAnsi="Times New Roman" w:cs="Times New Roman"/>
          <w:color w:val="000000"/>
          <w:sz w:val="24"/>
          <w:szCs w:val="24"/>
          <w:lang w:val="es-419"/>
        </w:rPr>
        <w:t xml:space="preserve"> </w:t>
      </w:r>
      <w:r w:rsidRPr="00594227">
        <w:rPr>
          <w:rFonts w:ascii="Times New Roman" w:hAnsi="Times New Roman" w:cs="Times New Roman"/>
          <w:color w:val="000000"/>
          <w:sz w:val="24"/>
          <w:szCs w:val="24"/>
        </w:rPr>
        <w:t>2014;57:276-85</w:t>
      </w:r>
    </w:p>
    <w:p w14:paraId="3C182475" w14:textId="300A52D7" w:rsidR="00594227" w:rsidRPr="00594227" w:rsidRDefault="00921043" w:rsidP="009518E0">
      <w:pPr>
        <w:spacing w:after="0" w:line="240" w:lineRule="auto"/>
        <w:ind w:left="426" w:hanging="426"/>
        <w:jc w:val="both"/>
        <w:rPr>
          <w:rStyle w:val="Hyperlink"/>
          <w:rFonts w:ascii="Times New Roman" w:hAnsi="Times New Roman" w:cs="Times New Roman"/>
          <w:sz w:val="24"/>
          <w:szCs w:val="24"/>
          <w:lang w:val="es-AR"/>
        </w:rPr>
      </w:pPr>
      <w:r w:rsidRPr="00594227">
        <w:rPr>
          <w:rFonts w:ascii="Times New Roman" w:eastAsia="Times New Roman" w:hAnsi="Times New Roman" w:cs="Times New Roman"/>
          <w:bCs/>
          <w:color w:val="000000"/>
          <w:sz w:val="24"/>
          <w:szCs w:val="24"/>
          <w:lang w:eastAsia="es-MX"/>
        </w:rPr>
        <w:t>[5]</w:t>
      </w:r>
      <w:r w:rsidR="00D136BB" w:rsidRPr="00594227">
        <w:rPr>
          <w:rFonts w:ascii="Times New Roman" w:eastAsia="Times New Roman" w:hAnsi="Times New Roman" w:cs="Times New Roman"/>
          <w:bCs/>
          <w:color w:val="000000"/>
          <w:sz w:val="24"/>
          <w:szCs w:val="24"/>
          <w:lang w:eastAsia="es-MX"/>
        </w:rPr>
        <w:t xml:space="preserve"> </w:t>
      </w:r>
      <w:r w:rsidR="009518E0">
        <w:rPr>
          <w:rFonts w:ascii="Times New Roman" w:eastAsia="Times New Roman" w:hAnsi="Times New Roman" w:cs="Times New Roman"/>
          <w:bCs/>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Comisión</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Económica</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para</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América</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Latina</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y</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el</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Caribe.</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iCs/>
          <w:color w:val="000000"/>
          <w:sz w:val="24"/>
          <w:szCs w:val="24"/>
          <w:lang w:val="en-US" w:eastAsia="es-MX"/>
        </w:rPr>
        <w:t>Mortality</w:t>
      </w:r>
      <w:r w:rsidR="00D136BB" w:rsidRPr="00594227">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in</w:t>
      </w:r>
      <w:r w:rsidR="00D136BB" w:rsidRPr="00594227">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Latin</w:t>
      </w:r>
      <w:r w:rsidR="00D136BB" w:rsidRPr="00594227">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America:</w:t>
      </w:r>
      <w:r w:rsidR="00D136BB" w:rsidRPr="00594227">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a</w:t>
      </w:r>
      <w:r w:rsidR="00D136BB" w:rsidRPr="00594227">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favourable</w:t>
      </w:r>
      <w:r w:rsidR="00D136BB" w:rsidRPr="00594227">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but</w:t>
      </w:r>
      <w:r w:rsidR="00D136BB" w:rsidRPr="00594227">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heterogeneous</w:t>
      </w:r>
      <w:r w:rsidR="00D136BB" w:rsidRPr="00594227">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trend</w:t>
      </w:r>
      <w:r w:rsidRPr="00594227">
        <w:rPr>
          <w:rFonts w:ascii="Times New Roman" w:eastAsia="Times New Roman" w:hAnsi="Times New Roman" w:cs="Times New Roman"/>
          <w:color w:val="000000"/>
          <w:sz w:val="24"/>
          <w:szCs w:val="24"/>
          <w:lang w:val="en-US" w:eastAsia="es-MX"/>
        </w:rPr>
        <w:t>.</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eastAsia="es-MX"/>
        </w:rPr>
        <w:t>Santiago:</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CEPAL;</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2007:27-43.</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Disponible</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en:</w:t>
      </w:r>
      <w:r w:rsidR="00D136BB" w:rsidRPr="00594227">
        <w:rPr>
          <w:rFonts w:ascii="Times New Roman" w:eastAsia="Times New Roman" w:hAnsi="Times New Roman" w:cs="Times New Roman"/>
          <w:color w:val="000000"/>
          <w:sz w:val="24"/>
          <w:szCs w:val="24"/>
          <w:lang w:eastAsia="es-MX"/>
        </w:rPr>
        <w:t xml:space="preserve"> </w:t>
      </w:r>
      <w:hyperlink r:id="rId31" w:history="1">
        <w:r w:rsidRPr="00594227">
          <w:rPr>
            <w:rStyle w:val="Hyperlink"/>
            <w:rFonts w:ascii="Times New Roman" w:hAnsi="Times New Roman" w:cs="Times New Roman"/>
            <w:sz w:val="24"/>
            <w:szCs w:val="24"/>
          </w:rPr>
          <w:t>https://repositorio.cepal.org/bitstream/handle/11362/7121/1/S0701080_mu.pdf</w:t>
        </w:r>
      </w:hyperlink>
      <w:r w:rsidR="00D136BB" w:rsidRPr="00594227">
        <w:rPr>
          <w:rFonts w:ascii="Times New Roman" w:hAnsi="Times New Roman" w:cs="Times New Roman"/>
          <w:sz w:val="24"/>
          <w:szCs w:val="24"/>
        </w:rPr>
        <w:t xml:space="preserve"> </w:t>
      </w:r>
      <w:r w:rsidR="00594227" w:rsidRPr="00594227">
        <w:rPr>
          <w:rFonts w:ascii="Times New Roman" w:hAnsi="Times New Roman" w:cs="Times New Roman"/>
          <w:sz w:val="24"/>
          <w:szCs w:val="24"/>
        </w:rPr>
        <w:t>.</w:t>
      </w:r>
    </w:p>
    <w:p w14:paraId="1BA5A0D7" w14:textId="77777777" w:rsidR="00594227" w:rsidRPr="00594227" w:rsidRDefault="00594227" w:rsidP="00312CCF">
      <w:pPr>
        <w:shd w:val="clear" w:color="auto" w:fill="FFFFFF"/>
        <w:spacing w:after="0" w:line="240" w:lineRule="auto"/>
        <w:ind w:left="426"/>
        <w:rPr>
          <w:rFonts w:ascii="Times New Roman" w:eastAsia="Times New Roman" w:hAnsi="Times New Roman" w:cs="Times New Roman"/>
          <w:color w:val="000000"/>
          <w:sz w:val="24"/>
          <w:szCs w:val="24"/>
          <w:lang w:eastAsia="es-MX"/>
        </w:rPr>
      </w:pPr>
    </w:p>
    <w:p w14:paraId="79D07CF5" w14:textId="59495DAA" w:rsidR="00921043" w:rsidRPr="00594227" w:rsidRDefault="00921043" w:rsidP="009518E0">
      <w:pPr>
        <w:shd w:val="clear" w:color="auto" w:fill="FFFFFF"/>
        <w:spacing w:after="0" w:line="240" w:lineRule="auto"/>
        <w:ind w:left="426" w:hanging="426"/>
        <w:jc w:val="both"/>
        <w:rPr>
          <w:rFonts w:ascii="Times New Roman" w:eastAsia="Times New Roman" w:hAnsi="Times New Roman" w:cs="Times New Roman"/>
          <w:color w:val="000000"/>
          <w:sz w:val="24"/>
          <w:szCs w:val="24"/>
          <w:lang w:val="en-US" w:eastAsia="es-MX"/>
        </w:rPr>
      </w:pPr>
      <w:r w:rsidRPr="00594227">
        <w:rPr>
          <w:rFonts w:ascii="Times New Roman" w:hAnsi="Times New Roman" w:cs="Times New Roman"/>
          <w:color w:val="000000"/>
          <w:sz w:val="24"/>
          <w:szCs w:val="24"/>
          <w:lang w:val="en-GB"/>
        </w:rPr>
        <w:t>[6]</w:t>
      </w:r>
      <w:r w:rsidR="00D136BB" w:rsidRPr="00594227">
        <w:rPr>
          <w:rFonts w:ascii="Times New Roman" w:hAnsi="Times New Roman" w:cs="Times New Roman"/>
          <w:color w:val="000000"/>
          <w:sz w:val="24"/>
          <w:szCs w:val="24"/>
          <w:lang w:val="en-GB"/>
        </w:rPr>
        <w:t xml:space="preserve"> </w:t>
      </w:r>
      <w:r w:rsidRPr="00594227">
        <w:rPr>
          <w:rFonts w:ascii="Times New Roman" w:hAnsi="Times New Roman" w:cs="Times New Roman"/>
          <w:color w:val="000000"/>
          <w:sz w:val="24"/>
          <w:szCs w:val="24"/>
          <w:lang w:val="en-US"/>
        </w:rPr>
        <w:t>Omran</w:t>
      </w:r>
      <w:r w:rsidR="00D136BB" w:rsidRPr="00594227">
        <w:rPr>
          <w:rFonts w:ascii="Times New Roman" w:hAnsi="Times New Roman" w:cs="Times New Roman"/>
          <w:color w:val="000000"/>
          <w:sz w:val="24"/>
          <w:szCs w:val="24"/>
          <w:lang w:val="en-GB"/>
        </w:rPr>
        <w:t xml:space="preserve"> </w:t>
      </w:r>
      <w:r w:rsidRPr="00594227">
        <w:rPr>
          <w:rFonts w:ascii="Times New Roman" w:hAnsi="Times New Roman" w:cs="Times New Roman"/>
          <w:color w:val="000000"/>
          <w:sz w:val="24"/>
          <w:szCs w:val="24"/>
          <w:lang w:val="en-US"/>
        </w:rPr>
        <w:t>AR.</w:t>
      </w:r>
      <w:r w:rsidR="00D136BB" w:rsidRPr="00594227">
        <w:rPr>
          <w:rFonts w:ascii="Times New Roman" w:hAnsi="Times New Roman" w:cs="Times New Roman"/>
          <w:color w:val="000000"/>
          <w:sz w:val="24"/>
          <w:szCs w:val="24"/>
          <w:lang w:val="en-GB"/>
        </w:rPr>
        <w:t xml:space="preserve"> </w:t>
      </w:r>
      <w:r w:rsidRPr="00594227">
        <w:rPr>
          <w:rFonts w:ascii="Times New Roman" w:eastAsia="Times New Roman" w:hAnsi="Times New Roman" w:cs="Times New Roman"/>
          <w:color w:val="000000"/>
          <w:sz w:val="24"/>
          <w:szCs w:val="24"/>
          <w:lang w:val="en-US" w:eastAsia="es-MX"/>
        </w:rPr>
        <w:t>The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epidemiologic</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transition: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theory</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of</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the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epidemiology</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of</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population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change</w:t>
      </w:r>
      <w:r w:rsidRPr="00594227">
        <w:rPr>
          <w:rFonts w:ascii="Times New Roman" w:eastAsia="Times New Roman" w:hAnsi="Times New Roman" w:cs="Times New Roman"/>
          <w:i/>
          <w:iCs/>
          <w:color w:val="000000"/>
          <w:sz w:val="24"/>
          <w:szCs w:val="24"/>
          <w:lang w:val="en-US" w:eastAsia="es-MX"/>
        </w:rPr>
        <w:t>.</w:t>
      </w:r>
      <w:r w:rsidR="00D136BB" w:rsidRPr="00594227">
        <w:rPr>
          <w:rFonts w:ascii="Times New Roman" w:eastAsia="Times New Roman" w:hAnsi="Times New Roman" w:cs="Times New Roman"/>
          <w:i/>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Milbank</w:t>
      </w:r>
      <w:r w:rsidR="009518E0">
        <w:rPr>
          <w:rFonts w:ascii="Times New Roman" w:eastAsia="Times New Roman" w:hAnsi="Times New Roman" w:cs="Times New Roman"/>
          <w:iCs/>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en-US" w:eastAsia="es-MX"/>
        </w:rPr>
        <w:t>Quarterly</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2005;83:731-57</w:t>
      </w:r>
      <w:r w:rsidR="00594227" w:rsidRPr="00594227">
        <w:rPr>
          <w:rFonts w:ascii="Times New Roman" w:eastAsia="Times New Roman" w:hAnsi="Times New Roman" w:cs="Times New Roman"/>
          <w:color w:val="000000"/>
          <w:sz w:val="24"/>
          <w:szCs w:val="24"/>
          <w:lang w:val="en-US" w:eastAsia="es-MX"/>
        </w:rPr>
        <w:t>.</w:t>
      </w:r>
    </w:p>
    <w:p w14:paraId="2A5604DA" w14:textId="77777777" w:rsidR="00594227" w:rsidRPr="00594227" w:rsidRDefault="00594227" w:rsidP="00312CCF">
      <w:pPr>
        <w:shd w:val="clear" w:color="auto" w:fill="FFFFFF"/>
        <w:spacing w:after="0" w:line="240" w:lineRule="auto"/>
        <w:ind w:left="426"/>
        <w:jc w:val="both"/>
        <w:rPr>
          <w:rFonts w:ascii="Times New Roman" w:eastAsia="Times New Roman" w:hAnsi="Times New Roman" w:cs="Times New Roman"/>
          <w:color w:val="000000"/>
          <w:sz w:val="24"/>
          <w:szCs w:val="24"/>
          <w:lang w:val="en-US" w:eastAsia="es-MX"/>
        </w:rPr>
      </w:pPr>
    </w:p>
    <w:p w14:paraId="4E56AC6D" w14:textId="4104DEE2" w:rsidR="00921043" w:rsidRPr="00594227" w:rsidRDefault="00921043" w:rsidP="009518E0">
      <w:pPr>
        <w:shd w:val="clear" w:color="auto" w:fill="FFFFFF"/>
        <w:spacing w:after="0" w:line="240" w:lineRule="auto"/>
        <w:ind w:left="426" w:hanging="426"/>
        <w:jc w:val="both"/>
        <w:rPr>
          <w:rFonts w:ascii="Times New Roman" w:eastAsia="Times New Roman" w:hAnsi="Times New Roman" w:cs="Times New Roman"/>
          <w:color w:val="000000"/>
          <w:sz w:val="24"/>
          <w:szCs w:val="24"/>
          <w:lang w:val="en-US" w:eastAsia="es-MX"/>
        </w:rPr>
      </w:pPr>
      <w:r w:rsidRPr="00594227">
        <w:rPr>
          <w:rFonts w:ascii="Times New Roman" w:eastAsia="Times New Roman" w:hAnsi="Times New Roman" w:cs="Times New Roman"/>
          <w:color w:val="000000"/>
          <w:sz w:val="24"/>
          <w:szCs w:val="24"/>
          <w:lang w:val="en-US" w:eastAsia="es-MX"/>
        </w:rPr>
        <w:t>[7]</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CEPAL.</w:t>
      </w:r>
      <w:r w:rsidR="00D136BB" w:rsidRPr="00594227">
        <w:rPr>
          <w:rFonts w:ascii="Times New Roman" w:eastAsia="Times New Roman" w:hAnsi="Times New Roman" w:cs="Times New Roman"/>
          <w:color w:val="000000"/>
          <w:sz w:val="24"/>
          <w:szCs w:val="24"/>
          <w:lang w:val="en-US" w:eastAsia="es-MX"/>
        </w:rPr>
        <w:t xml:space="preserve"> </w:t>
      </w:r>
      <w:hyperlink r:id="rId32" w:history="1">
        <w:r w:rsidRPr="00594227">
          <w:rPr>
            <w:rStyle w:val="Hyperlink"/>
            <w:rFonts w:ascii="Times New Roman" w:eastAsia="Times New Roman" w:hAnsi="Times New Roman" w:cs="Times New Roman"/>
            <w:sz w:val="24"/>
            <w:szCs w:val="24"/>
            <w:lang w:val="en-US" w:eastAsia="es-MX"/>
          </w:rPr>
          <w:t>https://repositorio.cepal.org/bitstream/handle/11362/40155/24/S1801141_es.pdf</w:t>
        </w:r>
      </w:hyperlink>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2019.</w:t>
      </w:r>
    </w:p>
    <w:p w14:paraId="72E76D13" w14:textId="77777777" w:rsidR="00594227" w:rsidRPr="00594227" w:rsidRDefault="00594227" w:rsidP="00312CCF">
      <w:pPr>
        <w:shd w:val="clear" w:color="auto" w:fill="FFFFFF"/>
        <w:spacing w:after="0" w:line="240" w:lineRule="auto"/>
        <w:ind w:left="426"/>
        <w:jc w:val="both"/>
        <w:rPr>
          <w:rFonts w:ascii="Times New Roman" w:eastAsia="Times New Roman" w:hAnsi="Times New Roman" w:cs="Times New Roman"/>
          <w:color w:val="000000"/>
          <w:sz w:val="24"/>
          <w:szCs w:val="24"/>
          <w:lang w:val="en-US" w:eastAsia="es-MX"/>
        </w:rPr>
      </w:pPr>
    </w:p>
    <w:p w14:paraId="6E21C150" w14:textId="2D36CA03" w:rsidR="00921043" w:rsidRPr="00594227" w:rsidRDefault="00921043" w:rsidP="009518E0">
      <w:pPr>
        <w:shd w:val="clear" w:color="auto" w:fill="FFFFFF"/>
        <w:spacing w:after="0" w:line="240" w:lineRule="auto"/>
        <w:ind w:left="284" w:hanging="426"/>
        <w:jc w:val="both"/>
        <w:rPr>
          <w:rFonts w:ascii="Times New Roman" w:eastAsia="Times New Roman" w:hAnsi="Times New Roman" w:cs="Times New Roman"/>
          <w:color w:val="000000"/>
          <w:sz w:val="24"/>
          <w:szCs w:val="24"/>
          <w:lang w:val="pt-BR" w:eastAsia="es-MX"/>
        </w:rPr>
      </w:pPr>
      <w:r w:rsidRPr="00594227">
        <w:rPr>
          <w:rFonts w:ascii="Times New Roman" w:eastAsia="Times New Roman" w:hAnsi="Times New Roman" w:cs="Times New Roman"/>
          <w:color w:val="000000"/>
          <w:sz w:val="24"/>
          <w:szCs w:val="24"/>
          <w:lang w:val="en-US" w:eastAsia="es-MX"/>
        </w:rPr>
        <w:t>[8]</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Gawryszewski</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VP,</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Souza</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Mde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F.</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Mortality</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due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to</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cardiovascular</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diseases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in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the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Americas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by</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region,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2000-2009.</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iCs/>
          <w:color w:val="000000"/>
          <w:sz w:val="24"/>
          <w:szCs w:val="24"/>
          <w:lang w:val="pt-BR" w:eastAsia="es-MX"/>
        </w:rPr>
        <w:t>Sao</w:t>
      </w:r>
      <w:r w:rsidR="00D136BB" w:rsidRPr="00594227">
        <w:rPr>
          <w:rFonts w:ascii="Times New Roman" w:eastAsia="Times New Roman" w:hAnsi="Times New Roman" w:cs="Times New Roman"/>
          <w:iCs/>
          <w:color w:val="000000"/>
          <w:sz w:val="24"/>
          <w:szCs w:val="24"/>
          <w:lang w:val="pt-BR" w:eastAsia="es-MX"/>
        </w:rPr>
        <w:t xml:space="preserve"> </w:t>
      </w:r>
      <w:r w:rsidRPr="00594227">
        <w:rPr>
          <w:rFonts w:ascii="Times New Roman" w:eastAsia="Times New Roman" w:hAnsi="Times New Roman" w:cs="Times New Roman"/>
          <w:iCs/>
          <w:color w:val="000000"/>
          <w:sz w:val="24"/>
          <w:szCs w:val="24"/>
          <w:lang w:val="pt-BR" w:eastAsia="es-MX"/>
        </w:rPr>
        <w:t>Paulo</w:t>
      </w:r>
      <w:r w:rsidR="00D136BB" w:rsidRPr="00594227">
        <w:rPr>
          <w:rFonts w:ascii="Times New Roman" w:eastAsia="Times New Roman" w:hAnsi="Times New Roman" w:cs="Times New Roman"/>
          <w:iCs/>
          <w:color w:val="000000"/>
          <w:sz w:val="24"/>
          <w:szCs w:val="24"/>
          <w:lang w:val="pt-BR" w:eastAsia="es-MX"/>
        </w:rPr>
        <w:t xml:space="preserve"> </w:t>
      </w:r>
      <w:r w:rsidRPr="00594227">
        <w:rPr>
          <w:rFonts w:ascii="Times New Roman" w:eastAsia="Times New Roman" w:hAnsi="Times New Roman" w:cs="Times New Roman"/>
          <w:iCs/>
          <w:color w:val="000000"/>
          <w:sz w:val="24"/>
          <w:szCs w:val="24"/>
          <w:lang w:val="pt-BR" w:eastAsia="es-MX"/>
        </w:rPr>
        <w:t>Medical</w:t>
      </w:r>
      <w:r w:rsidR="00D136BB" w:rsidRPr="00594227">
        <w:rPr>
          <w:rFonts w:ascii="Times New Roman" w:eastAsia="Times New Roman" w:hAnsi="Times New Roman" w:cs="Times New Roman"/>
          <w:iCs/>
          <w:color w:val="000000"/>
          <w:sz w:val="24"/>
          <w:szCs w:val="24"/>
          <w:lang w:val="pt-BR" w:eastAsia="es-MX"/>
        </w:rPr>
        <w:t xml:space="preserve"> </w:t>
      </w:r>
      <w:r w:rsidRPr="00594227">
        <w:rPr>
          <w:rFonts w:ascii="Times New Roman" w:eastAsia="Times New Roman" w:hAnsi="Times New Roman" w:cs="Times New Roman"/>
          <w:iCs/>
          <w:color w:val="000000"/>
          <w:sz w:val="24"/>
          <w:szCs w:val="24"/>
          <w:lang w:val="pt-BR" w:eastAsia="es-MX"/>
        </w:rPr>
        <w:t>Journal</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2014;132:105-10</w:t>
      </w:r>
      <w:r w:rsidR="00594227" w:rsidRPr="00594227">
        <w:rPr>
          <w:rFonts w:ascii="Times New Roman" w:eastAsia="Times New Roman" w:hAnsi="Times New Roman" w:cs="Times New Roman"/>
          <w:color w:val="000000"/>
          <w:sz w:val="24"/>
          <w:szCs w:val="24"/>
          <w:lang w:val="pt-BR" w:eastAsia="es-MX"/>
        </w:rPr>
        <w:t>.</w:t>
      </w:r>
    </w:p>
    <w:p w14:paraId="29F0A245" w14:textId="77777777" w:rsidR="00594227" w:rsidRPr="00594227" w:rsidRDefault="00594227" w:rsidP="00312CCF">
      <w:pPr>
        <w:shd w:val="clear" w:color="auto" w:fill="FFFFFF"/>
        <w:spacing w:after="0" w:line="240" w:lineRule="auto"/>
        <w:ind w:left="426"/>
        <w:jc w:val="both"/>
        <w:rPr>
          <w:rFonts w:ascii="Times New Roman" w:eastAsia="Times New Roman" w:hAnsi="Times New Roman" w:cs="Times New Roman"/>
          <w:color w:val="000000"/>
          <w:sz w:val="24"/>
          <w:szCs w:val="24"/>
          <w:lang w:val="pt-BR" w:eastAsia="es-MX"/>
        </w:rPr>
      </w:pPr>
    </w:p>
    <w:p w14:paraId="20021399" w14:textId="5209B438" w:rsidR="00921043" w:rsidRPr="00594227" w:rsidRDefault="00921043" w:rsidP="009518E0">
      <w:pPr>
        <w:shd w:val="clear" w:color="auto" w:fill="FFFFFF"/>
        <w:tabs>
          <w:tab w:val="left" w:pos="1134"/>
        </w:tabs>
        <w:spacing w:after="0" w:line="240" w:lineRule="auto"/>
        <w:ind w:left="284" w:hanging="426"/>
        <w:jc w:val="both"/>
        <w:rPr>
          <w:rFonts w:ascii="Times New Roman" w:eastAsia="Times New Roman" w:hAnsi="Times New Roman" w:cs="Times New Roman"/>
          <w:color w:val="000000"/>
          <w:sz w:val="24"/>
          <w:szCs w:val="24"/>
          <w:lang w:eastAsia="es-MX"/>
        </w:rPr>
      </w:pPr>
      <w:r w:rsidRPr="00594227">
        <w:rPr>
          <w:rFonts w:ascii="Times New Roman" w:eastAsia="Times New Roman" w:hAnsi="Times New Roman" w:cs="Times New Roman"/>
          <w:bCs/>
          <w:color w:val="000000"/>
          <w:sz w:val="24"/>
          <w:szCs w:val="24"/>
          <w:lang w:val="pt-BR" w:eastAsia="es-MX"/>
        </w:rPr>
        <w:t>[9]</w:t>
      </w:r>
      <w:r w:rsidR="00D136BB" w:rsidRPr="00594227">
        <w:rPr>
          <w:rFonts w:ascii="Times New Roman" w:eastAsia="Times New Roman" w:hAnsi="Times New Roman" w:cs="Times New Roman"/>
          <w:bCs/>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Ordunez</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P,</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Prieto-Lara</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E,</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Pinheiro</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Gawryszewski</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V,</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Hennis</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AJ,</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Cooper</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pt-BR" w:eastAsia="es-MX"/>
        </w:rPr>
        <w:t>RS.</w:t>
      </w:r>
      <w:r w:rsidR="00D136BB" w:rsidRPr="00594227">
        <w:rPr>
          <w:rFonts w:ascii="Times New Roman" w:eastAsia="Times New Roman" w:hAnsi="Times New Roman" w:cs="Times New Roman"/>
          <w:color w:val="000000"/>
          <w:sz w:val="24"/>
          <w:szCs w:val="24"/>
          <w:lang w:val="pt-BR" w:eastAsia="es-MX"/>
        </w:rPr>
        <w:t xml:space="preserve"> </w:t>
      </w:r>
      <w:r w:rsidRPr="00594227">
        <w:rPr>
          <w:rFonts w:ascii="Times New Roman" w:eastAsia="Times New Roman" w:hAnsi="Times New Roman" w:cs="Times New Roman"/>
          <w:color w:val="000000"/>
          <w:sz w:val="24"/>
          <w:szCs w:val="24"/>
          <w:lang w:val="en-US" w:eastAsia="es-MX"/>
        </w:rPr>
        <w:t>Premature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mortality</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from</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cardiovascular</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disease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in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the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Americas-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Will</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the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goal</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of</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decline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of</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“25%</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by</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2025”</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be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met?</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iCs/>
          <w:color w:val="000000"/>
          <w:sz w:val="24"/>
          <w:szCs w:val="24"/>
          <w:lang w:eastAsia="es-MX"/>
        </w:rPr>
        <w:t>PLoS</w:t>
      </w:r>
      <w:r w:rsidR="00D136BB" w:rsidRPr="00594227">
        <w:rPr>
          <w:rFonts w:ascii="Times New Roman" w:eastAsia="Times New Roman" w:hAnsi="Times New Roman" w:cs="Times New Roman"/>
          <w:iCs/>
          <w:color w:val="000000"/>
          <w:sz w:val="24"/>
          <w:szCs w:val="24"/>
          <w:lang w:eastAsia="es-MX"/>
        </w:rPr>
        <w:t xml:space="preserve"> </w:t>
      </w:r>
      <w:r w:rsidRPr="00594227">
        <w:rPr>
          <w:rFonts w:ascii="Times New Roman" w:eastAsia="Times New Roman" w:hAnsi="Times New Roman" w:cs="Times New Roman"/>
          <w:iCs/>
          <w:color w:val="000000"/>
          <w:sz w:val="24"/>
          <w:szCs w:val="24"/>
          <w:lang w:eastAsia="es-MX"/>
        </w:rPr>
        <w:t>ONE</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2015;10:e0141685</w:t>
      </w:r>
      <w:r w:rsidR="00594227" w:rsidRPr="00594227">
        <w:rPr>
          <w:rFonts w:ascii="Times New Roman" w:eastAsia="Times New Roman" w:hAnsi="Times New Roman" w:cs="Times New Roman"/>
          <w:color w:val="000000"/>
          <w:sz w:val="24"/>
          <w:szCs w:val="24"/>
          <w:lang w:eastAsia="es-MX"/>
        </w:rPr>
        <w:t>.</w:t>
      </w:r>
    </w:p>
    <w:p w14:paraId="5953A3FB" w14:textId="77777777" w:rsidR="00594227" w:rsidRPr="00594227" w:rsidRDefault="00594227" w:rsidP="00312CCF">
      <w:pPr>
        <w:shd w:val="clear" w:color="auto" w:fill="FFFFFF"/>
        <w:spacing w:after="0" w:line="240" w:lineRule="auto"/>
        <w:ind w:left="426"/>
        <w:jc w:val="both"/>
        <w:rPr>
          <w:rFonts w:ascii="Times New Roman" w:eastAsia="Times New Roman" w:hAnsi="Times New Roman" w:cs="Times New Roman"/>
          <w:color w:val="000000"/>
          <w:sz w:val="24"/>
          <w:szCs w:val="24"/>
          <w:lang w:eastAsia="es-MX"/>
        </w:rPr>
      </w:pPr>
    </w:p>
    <w:p w14:paraId="0AB6A00A" w14:textId="79E68426" w:rsidR="00921043" w:rsidRPr="00594227" w:rsidRDefault="00921043" w:rsidP="009518E0">
      <w:pPr>
        <w:shd w:val="clear" w:color="auto" w:fill="FFFFFF"/>
        <w:spacing w:after="0" w:line="240" w:lineRule="auto"/>
        <w:ind w:left="426" w:hanging="568"/>
        <w:jc w:val="both"/>
        <w:rPr>
          <w:rFonts w:ascii="Times New Roman" w:eastAsia="Times New Roman" w:hAnsi="Times New Roman" w:cs="Times New Roman"/>
          <w:color w:val="000000"/>
          <w:sz w:val="24"/>
          <w:szCs w:val="24"/>
          <w:lang w:val="en-GB" w:eastAsia="es-MX"/>
        </w:rPr>
      </w:pPr>
      <w:r w:rsidRPr="00594227">
        <w:rPr>
          <w:rFonts w:ascii="Times New Roman" w:eastAsia="Times New Roman" w:hAnsi="Times New Roman" w:cs="Times New Roman"/>
          <w:color w:val="000000"/>
          <w:sz w:val="24"/>
          <w:szCs w:val="24"/>
          <w:lang w:eastAsia="es-MX"/>
        </w:rPr>
        <w:t>[10]</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Enfermedades</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no</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transmisibles:</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hechos</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y</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cifras.</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Washington,</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D.C.:</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OPS,</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eastAsia="es-MX"/>
        </w:rPr>
        <w:t>2019.</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val="en-GB" w:eastAsia="es-MX"/>
        </w:rPr>
        <w:t>OPS/NMH/19-016</w:t>
      </w:r>
      <w:r w:rsidR="00594227" w:rsidRPr="00594227">
        <w:rPr>
          <w:rFonts w:ascii="Times New Roman" w:eastAsia="Times New Roman" w:hAnsi="Times New Roman" w:cs="Times New Roman"/>
          <w:color w:val="000000"/>
          <w:sz w:val="24"/>
          <w:szCs w:val="24"/>
          <w:lang w:val="en-GB" w:eastAsia="es-MX"/>
        </w:rPr>
        <w:t>.</w:t>
      </w:r>
    </w:p>
    <w:p w14:paraId="1B68A376" w14:textId="77777777" w:rsidR="00594227" w:rsidRPr="00594227" w:rsidRDefault="00594227" w:rsidP="00312CCF">
      <w:pPr>
        <w:shd w:val="clear" w:color="auto" w:fill="FFFFFF"/>
        <w:spacing w:after="0" w:line="240" w:lineRule="auto"/>
        <w:ind w:left="426"/>
        <w:jc w:val="both"/>
        <w:rPr>
          <w:rFonts w:ascii="Times New Roman" w:eastAsia="Times New Roman" w:hAnsi="Times New Roman" w:cs="Times New Roman"/>
          <w:color w:val="000000"/>
          <w:sz w:val="24"/>
          <w:szCs w:val="24"/>
          <w:lang w:val="en-GB" w:eastAsia="es-MX"/>
        </w:rPr>
      </w:pPr>
    </w:p>
    <w:p w14:paraId="1B264FBD" w14:textId="4754E77F" w:rsidR="00921043" w:rsidRPr="00594227" w:rsidRDefault="00921043" w:rsidP="009518E0">
      <w:pPr>
        <w:shd w:val="clear" w:color="auto" w:fill="FFFFFF"/>
        <w:spacing w:after="0" w:line="240" w:lineRule="auto"/>
        <w:ind w:left="426" w:hanging="568"/>
        <w:jc w:val="both"/>
        <w:rPr>
          <w:rFonts w:ascii="Times New Roman" w:eastAsia="Times New Roman" w:hAnsi="Times New Roman" w:cs="Times New Roman"/>
          <w:color w:val="000000"/>
          <w:sz w:val="24"/>
          <w:szCs w:val="24"/>
          <w:lang w:val="en-US" w:eastAsia="es-MX"/>
        </w:rPr>
      </w:pPr>
      <w:r w:rsidRPr="00594227">
        <w:rPr>
          <w:rFonts w:ascii="Times New Roman" w:eastAsia="Times New Roman" w:hAnsi="Times New Roman" w:cs="Times New Roman"/>
          <w:color w:val="000000"/>
          <w:sz w:val="24"/>
          <w:szCs w:val="24"/>
          <w:lang w:val="en-US" w:eastAsia="es-MX"/>
        </w:rPr>
        <w:t>[1</w:t>
      </w:r>
      <w:r w:rsidR="009518E0">
        <w:rPr>
          <w:rFonts w:ascii="Times New Roman" w:eastAsia="Times New Roman" w:hAnsi="Times New Roman" w:cs="Times New Roman"/>
          <w:color w:val="000000"/>
          <w:sz w:val="24"/>
          <w:szCs w:val="24"/>
          <w:lang w:val="en-US" w:eastAsia="es-MX"/>
        </w:rPr>
        <w:t>1</w:t>
      </w:r>
      <w:r w:rsidRPr="00594227">
        <w:rPr>
          <w:rFonts w:ascii="Times New Roman" w:eastAsia="Times New Roman" w:hAnsi="Times New Roman" w:cs="Times New Roman"/>
          <w:color w:val="000000"/>
          <w:sz w:val="24"/>
          <w:szCs w:val="24"/>
          <w:lang w:val="en-US" w:eastAsia="es-MX"/>
        </w:rPr>
        <w:t>]</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Luciani</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Cabanes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Prieto-Lara</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Gawryszewski</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V.</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Cervical</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and</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female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breast</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cancers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in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the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Americas: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current</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situation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and</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opportunities</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for</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action.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Bulletin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of</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the</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World</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Health</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Organization</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eastAsia="Times New Roman" w:hAnsi="Times New Roman" w:cs="Times New Roman"/>
          <w:color w:val="000000"/>
          <w:sz w:val="24"/>
          <w:szCs w:val="24"/>
          <w:lang w:val="en-US" w:eastAsia="es-MX"/>
        </w:rPr>
        <w:t>2013;91:640-9</w:t>
      </w:r>
      <w:r w:rsidR="00594227" w:rsidRPr="00594227">
        <w:rPr>
          <w:rFonts w:ascii="Times New Roman" w:eastAsia="Times New Roman" w:hAnsi="Times New Roman" w:cs="Times New Roman"/>
          <w:color w:val="000000"/>
          <w:sz w:val="24"/>
          <w:szCs w:val="24"/>
          <w:lang w:val="en-US" w:eastAsia="es-MX"/>
        </w:rPr>
        <w:t>.</w:t>
      </w:r>
    </w:p>
    <w:p w14:paraId="0AB3CCA4" w14:textId="77777777" w:rsidR="00594227" w:rsidRPr="00594227" w:rsidRDefault="00594227" w:rsidP="00312CCF">
      <w:pPr>
        <w:shd w:val="clear" w:color="auto" w:fill="FFFFFF"/>
        <w:spacing w:after="0" w:line="240" w:lineRule="auto"/>
        <w:ind w:left="426"/>
        <w:jc w:val="both"/>
        <w:rPr>
          <w:rFonts w:ascii="Times New Roman" w:eastAsia="Times New Roman" w:hAnsi="Times New Roman" w:cs="Times New Roman"/>
          <w:color w:val="000000"/>
          <w:sz w:val="24"/>
          <w:szCs w:val="24"/>
          <w:lang w:val="en-US" w:eastAsia="es-MX"/>
        </w:rPr>
      </w:pPr>
    </w:p>
    <w:p w14:paraId="230AF22E" w14:textId="77777777" w:rsidR="00594227" w:rsidRPr="00930AD5" w:rsidRDefault="00921043" w:rsidP="009518E0">
      <w:pPr>
        <w:spacing w:after="0" w:line="240" w:lineRule="auto"/>
        <w:ind w:left="426" w:hanging="568"/>
        <w:jc w:val="both"/>
        <w:rPr>
          <w:rStyle w:val="Hyperlink"/>
          <w:rFonts w:ascii="Times New Roman" w:hAnsi="Times New Roman" w:cs="Times New Roman"/>
          <w:sz w:val="24"/>
          <w:szCs w:val="24"/>
          <w:lang w:val="en-GB"/>
        </w:rPr>
      </w:pPr>
      <w:r w:rsidRPr="00594227">
        <w:rPr>
          <w:rFonts w:ascii="Times New Roman" w:eastAsia="Times New Roman" w:hAnsi="Times New Roman" w:cs="Times New Roman"/>
          <w:sz w:val="24"/>
          <w:szCs w:val="24"/>
          <w:lang w:val="en-US" w:eastAsia="es-MX"/>
        </w:rPr>
        <w:t>[12]</w:t>
      </w:r>
      <w:r w:rsidR="00D136BB" w:rsidRPr="00594227">
        <w:rPr>
          <w:rFonts w:ascii="Times New Roman" w:eastAsia="Times New Roman" w:hAnsi="Times New Roman" w:cs="Times New Roman"/>
          <w:sz w:val="24"/>
          <w:szCs w:val="24"/>
          <w:lang w:val="en-US" w:eastAsia="es-MX"/>
        </w:rPr>
        <w:t xml:space="preserve"> </w:t>
      </w:r>
      <w:r w:rsidRPr="00594227">
        <w:rPr>
          <w:rFonts w:ascii="Times New Roman" w:eastAsia="Times New Roman" w:hAnsi="Times New Roman" w:cs="Times New Roman"/>
          <w:sz w:val="24"/>
          <w:szCs w:val="24"/>
          <w:lang w:val="en-US" w:eastAsia="es-MX"/>
        </w:rPr>
        <w:t>Organización</w:t>
      </w:r>
      <w:r w:rsidR="00D136BB" w:rsidRPr="00594227">
        <w:rPr>
          <w:rFonts w:ascii="Times New Roman" w:eastAsia="Times New Roman" w:hAnsi="Times New Roman" w:cs="Times New Roman"/>
          <w:sz w:val="24"/>
          <w:szCs w:val="24"/>
          <w:lang w:val="en-US" w:eastAsia="es-MX"/>
        </w:rPr>
        <w:t xml:space="preserve"> </w:t>
      </w:r>
      <w:r w:rsidRPr="00594227">
        <w:rPr>
          <w:rFonts w:ascii="Times New Roman" w:eastAsia="Times New Roman" w:hAnsi="Times New Roman" w:cs="Times New Roman"/>
          <w:sz w:val="24"/>
          <w:szCs w:val="24"/>
          <w:lang w:val="en-US" w:eastAsia="es-MX"/>
        </w:rPr>
        <w:t>Panamericana</w:t>
      </w:r>
      <w:r w:rsidR="00D136BB" w:rsidRPr="00594227">
        <w:rPr>
          <w:rFonts w:ascii="Times New Roman" w:eastAsia="Times New Roman" w:hAnsi="Times New Roman" w:cs="Times New Roman"/>
          <w:sz w:val="24"/>
          <w:szCs w:val="24"/>
          <w:lang w:val="en-US" w:eastAsia="es-MX"/>
        </w:rPr>
        <w:t xml:space="preserve"> </w:t>
      </w:r>
      <w:r w:rsidRPr="00594227">
        <w:rPr>
          <w:rFonts w:ascii="Times New Roman" w:eastAsia="Times New Roman" w:hAnsi="Times New Roman" w:cs="Times New Roman"/>
          <w:sz w:val="24"/>
          <w:szCs w:val="24"/>
          <w:lang w:val="en-US" w:eastAsia="es-MX"/>
        </w:rPr>
        <w:t>de</w:t>
      </w:r>
      <w:r w:rsidR="00D136BB" w:rsidRPr="00594227">
        <w:rPr>
          <w:rFonts w:ascii="Times New Roman" w:eastAsia="Times New Roman" w:hAnsi="Times New Roman" w:cs="Times New Roman"/>
          <w:sz w:val="24"/>
          <w:szCs w:val="24"/>
          <w:lang w:val="en-US" w:eastAsia="es-MX"/>
        </w:rPr>
        <w:t xml:space="preserve"> </w:t>
      </w:r>
      <w:r w:rsidRPr="00594227">
        <w:rPr>
          <w:rFonts w:ascii="Times New Roman" w:eastAsia="Times New Roman" w:hAnsi="Times New Roman" w:cs="Times New Roman"/>
          <w:sz w:val="24"/>
          <w:szCs w:val="24"/>
          <w:lang w:val="en-US" w:eastAsia="es-MX"/>
        </w:rPr>
        <w:t>la</w:t>
      </w:r>
      <w:r w:rsidR="00D136BB" w:rsidRPr="00594227">
        <w:rPr>
          <w:rFonts w:ascii="Times New Roman" w:eastAsia="Times New Roman" w:hAnsi="Times New Roman" w:cs="Times New Roman"/>
          <w:sz w:val="24"/>
          <w:szCs w:val="24"/>
          <w:lang w:val="en-US" w:eastAsia="es-MX"/>
        </w:rPr>
        <w:t xml:space="preserve"> </w:t>
      </w:r>
      <w:r w:rsidRPr="00594227">
        <w:rPr>
          <w:rFonts w:ascii="Times New Roman" w:eastAsia="Times New Roman" w:hAnsi="Times New Roman" w:cs="Times New Roman"/>
          <w:sz w:val="24"/>
          <w:szCs w:val="24"/>
          <w:lang w:val="en-US" w:eastAsia="es-MX"/>
        </w:rPr>
        <w:t>Salud.</w:t>
      </w:r>
      <w:r w:rsidR="00D136BB" w:rsidRPr="00594227">
        <w:rPr>
          <w:rFonts w:ascii="Times New Roman" w:eastAsia="Times New Roman" w:hAnsi="Times New Roman" w:cs="Times New Roman"/>
          <w:sz w:val="24"/>
          <w:szCs w:val="24"/>
          <w:lang w:val="en-US" w:eastAsia="es-MX"/>
        </w:rPr>
        <w:t xml:space="preserve"> </w:t>
      </w:r>
      <w:r w:rsidRPr="00594227">
        <w:rPr>
          <w:rFonts w:ascii="Times New Roman" w:eastAsia="Times New Roman" w:hAnsi="Times New Roman" w:cs="Times New Roman"/>
          <w:iCs/>
          <w:color w:val="000000"/>
          <w:sz w:val="24"/>
          <w:szCs w:val="24"/>
          <w:lang w:eastAsia="es-MX"/>
        </w:rPr>
        <w:t>Cáncer</w:t>
      </w:r>
      <w:r w:rsidR="00D136BB" w:rsidRPr="00594227">
        <w:rPr>
          <w:rFonts w:ascii="Times New Roman" w:eastAsia="Times New Roman" w:hAnsi="Times New Roman" w:cs="Times New Roman"/>
          <w:iCs/>
          <w:color w:val="000000"/>
          <w:sz w:val="24"/>
          <w:szCs w:val="24"/>
          <w:lang w:eastAsia="es-MX"/>
        </w:rPr>
        <w:t xml:space="preserve"> </w:t>
      </w:r>
      <w:r w:rsidRPr="00594227">
        <w:rPr>
          <w:rFonts w:ascii="Times New Roman" w:eastAsia="Times New Roman" w:hAnsi="Times New Roman" w:cs="Times New Roman"/>
          <w:iCs/>
          <w:color w:val="000000"/>
          <w:sz w:val="24"/>
          <w:szCs w:val="24"/>
          <w:lang w:eastAsia="es-MX"/>
        </w:rPr>
        <w:t>en</w:t>
      </w:r>
      <w:r w:rsidR="00D136BB" w:rsidRPr="00594227">
        <w:rPr>
          <w:rFonts w:ascii="Times New Roman" w:eastAsia="Times New Roman" w:hAnsi="Times New Roman" w:cs="Times New Roman"/>
          <w:iCs/>
          <w:color w:val="000000"/>
          <w:sz w:val="24"/>
          <w:szCs w:val="24"/>
          <w:lang w:eastAsia="es-MX"/>
        </w:rPr>
        <w:t xml:space="preserve"> </w:t>
      </w:r>
      <w:r w:rsidRPr="00594227">
        <w:rPr>
          <w:rFonts w:ascii="Times New Roman" w:eastAsia="Times New Roman" w:hAnsi="Times New Roman" w:cs="Times New Roman"/>
          <w:iCs/>
          <w:color w:val="000000"/>
          <w:sz w:val="24"/>
          <w:szCs w:val="24"/>
          <w:lang w:eastAsia="es-MX"/>
        </w:rPr>
        <w:t>las</w:t>
      </w:r>
      <w:r w:rsidR="00D136BB" w:rsidRPr="00594227">
        <w:rPr>
          <w:rFonts w:ascii="Times New Roman" w:eastAsia="Times New Roman" w:hAnsi="Times New Roman" w:cs="Times New Roman"/>
          <w:iCs/>
          <w:color w:val="000000"/>
          <w:sz w:val="24"/>
          <w:szCs w:val="24"/>
          <w:lang w:eastAsia="es-MX"/>
        </w:rPr>
        <w:t xml:space="preserve"> </w:t>
      </w:r>
      <w:r w:rsidRPr="00594227">
        <w:rPr>
          <w:rFonts w:ascii="Times New Roman" w:eastAsia="Times New Roman" w:hAnsi="Times New Roman" w:cs="Times New Roman"/>
          <w:iCs/>
          <w:color w:val="000000"/>
          <w:sz w:val="24"/>
          <w:szCs w:val="24"/>
          <w:lang w:eastAsia="es-MX"/>
        </w:rPr>
        <w:t>Américas,</w:t>
      </w:r>
      <w:r w:rsidR="00D136BB" w:rsidRPr="00594227">
        <w:rPr>
          <w:rFonts w:ascii="Times New Roman" w:eastAsia="Times New Roman" w:hAnsi="Times New Roman" w:cs="Times New Roman"/>
          <w:iCs/>
          <w:color w:val="000000"/>
          <w:sz w:val="24"/>
          <w:szCs w:val="24"/>
          <w:lang w:eastAsia="es-MX"/>
        </w:rPr>
        <w:t xml:space="preserve"> </w:t>
      </w:r>
      <w:r w:rsidRPr="00594227">
        <w:rPr>
          <w:rFonts w:ascii="Times New Roman" w:eastAsia="Times New Roman" w:hAnsi="Times New Roman" w:cs="Times New Roman"/>
          <w:iCs/>
          <w:color w:val="000000"/>
          <w:sz w:val="24"/>
          <w:szCs w:val="24"/>
          <w:lang w:eastAsia="es-MX"/>
        </w:rPr>
        <w:t>perfiles</w:t>
      </w:r>
      <w:r w:rsidR="00D136BB" w:rsidRPr="00594227">
        <w:rPr>
          <w:rFonts w:ascii="Times New Roman" w:eastAsia="Times New Roman" w:hAnsi="Times New Roman" w:cs="Times New Roman"/>
          <w:iCs/>
          <w:color w:val="000000"/>
          <w:sz w:val="24"/>
          <w:szCs w:val="24"/>
          <w:lang w:eastAsia="es-MX"/>
        </w:rPr>
        <w:t xml:space="preserve"> </w:t>
      </w:r>
      <w:r w:rsidRPr="00594227">
        <w:rPr>
          <w:rFonts w:ascii="Times New Roman" w:eastAsia="Times New Roman" w:hAnsi="Times New Roman" w:cs="Times New Roman"/>
          <w:iCs/>
          <w:color w:val="000000"/>
          <w:sz w:val="24"/>
          <w:szCs w:val="24"/>
          <w:lang w:eastAsia="es-MX"/>
        </w:rPr>
        <w:t>de</w:t>
      </w:r>
      <w:r w:rsidR="00D136BB" w:rsidRPr="00594227">
        <w:rPr>
          <w:rFonts w:ascii="Times New Roman" w:eastAsia="Times New Roman" w:hAnsi="Times New Roman" w:cs="Times New Roman"/>
          <w:iCs/>
          <w:color w:val="000000"/>
          <w:sz w:val="24"/>
          <w:szCs w:val="24"/>
          <w:lang w:eastAsia="es-MX"/>
        </w:rPr>
        <w:t xml:space="preserve"> </w:t>
      </w:r>
      <w:r w:rsidRPr="00594227">
        <w:rPr>
          <w:rFonts w:ascii="Times New Roman" w:eastAsia="Times New Roman" w:hAnsi="Times New Roman" w:cs="Times New Roman"/>
          <w:iCs/>
          <w:color w:val="000000"/>
          <w:sz w:val="24"/>
          <w:szCs w:val="24"/>
          <w:lang w:eastAsia="es-MX"/>
        </w:rPr>
        <w:t>país</w:t>
      </w:r>
      <w:r w:rsidRPr="00594227">
        <w:rPr>
          <w:rFonts w:ascii="Times New Roman" w:eastAsia="Times New Roman" w:hAnsi="Times New Roman" w:cs="Times New Roman"/>
          <w:color w:val="000000"/>
          <w:sz w:val="24"/>
          <w:szCs w:val="24"/>
          <w:lang w:eastAsia="es-MX"/>
        </w:rPr>
        <w:t>.</w:t>
      </w:r>
      <w:r w:rsidR="00D136BB" w:rsidRPr="00594227">
        <w:rPr>
          <w:rFonts w:ascii="Times New Roman" w:eastAsia="Times New Roman" w:hAnsi="Times New Roman" w:cs="Times New Roman"/>
          <w:color w:val="000000"/>
          <w:sz w:val="24"/>
          <w:szCs w:val="24"/>
          <w:lang w:eastAsia="es-MX"/>
        </w:rPr>
        <w:t xml:space="preserve"> </w:t>
      </w:r>
      <w:r w:rsidRPr="00594227">
        <w:rPr>
          <w:rFonts w:ascii="Times New Roman" w:eastAsia="Times New Roman" w:hAnsi="Times New Roman" w:cs="Times New Roman"/>
          <w:color w:val="000000"/>
          <w:sz w:val="24"/>
          <w:szCs w:val="24"/>
          <w:lang w:val="fr-FR" w:eastAsia="es-MX"/>
        </w:rPr>
        <w:t>Washington,</w:t>
      </w:r>
      <w:r w:rsidR="00D136BB" w:rsidRPr="00594227">
        <w:rPr>
          <w:rFonts w:ascii="Times New Roman" w:eastAsia="Times New Roman" w:hAnsi="Times New Roman" w:cs="Times New Roman"/>
          <w:color w:val="000000"/>
          <w:sz w:val="24"/>
          <w:szCs w:val="24"/>
          <w:lang w:val="fr-FR" w:eastAsia="es-MX"/>
        </w:rPr>
        <w:t xml:space="preserve"> </w:t>
      </w:r>
      <w:r w:rsidRPr="00594227">
        <w:rPr>
          <w:rFonts w:ascii="Times New Roman" w:eastAsia="Times New Roman" w:hAnsi="Times New Roman" w:cs="Times New Roman"/>
          <w:color w:val="000000"/>
          <w:sz w:val="24"/>
          <w:szCs w:val="24"/>
          <w:lang w:val="fr-FR" w:eastAsia="es-MX"/>
        </w:rPr>
        <w:t>D.C.:</w:t>
      </w:r>
      <w:r w:rsidR="00D136BB" w:rsidRPr="00594227">
        <w:rPr>
          <w:rFonts w:ascii="Times New Roman" w:eastAsia="Times New Roman" w:hAnsi="Times New Roman" w:cs="Times New Roman"/>
          <w:color w:val="000000"/>
          <w:sz w:val="24"/>
          <w:szCs w:val="24"/>
          <w:lang w:val="fr-FR" w:eastAsia="es-MX"/>
        </w:rPr>
        <w:t xml:space="preserve"> </w:t>
      </w:r>
      <w:r w:rsidRPr="00594227">
        <w:rPr>
          <w:rFonts w:ascii="Times New Roman" w:eastAsia="Times New Roman" w:hAnsi="Times New Roman" w:cs="Times New Roman"/>
          <w:color w:val="000000"/>
          <w:sz w:val="24"/>
          <w:szCs w:val="24"/>
          <w:lang w:val="fr-FR" w:eastAsia="es-MX"/>
        </w:rPr>
        <w:t>OPS;</w:t>
      </w:r>
      <w:r w:rsidR="00594227" w:rsidRPr="00594227">
        <w:rPr>
          <w:rFonts w:ascii="Times New Roman" w:eastAsia="Times New Roman" w:hAnsi="Times New Roman" w:cs="Times New Roman"/>
          <w:color w:val="000000"/>
          <w:sz w:val="24"/>
          <w:szCs w:val="24"/>
          <w:lang w:val="fr-FR" w:eastAsia="es-MX"/>
        </w:rPr>
        <w:t> </w:t>
      </w:r>
      <w:r w:rsidRPr="00594227">
        <w:rPr>
          <w:rFonts w:ascii="Times New Roman" w:eastAsia="Times New Roman" w:hAnsi="Times New Roman" w:cs="Times New Roman"/>
          <w:color w:val="000000"/>
          <w:sz w:val="24"/>
          <w:szCs w:val="24"/>
          <w:lang w:val="fr-FR" w:eastAsia="es-MX"/>
        </w:rPr>
        <w:t>2013.</w:t>
      </w:r>
      <w:r w:rsidR="00594227" w:rsidRPr="00594227">
        <w:rPr>
          <w:rFonts w:ascii="Times New Roman" w:eastAsia="Times New Roman" w:hAnsi="Times New Roman" w:cs="Times New Roman"/>
          <w:color w:val="000000"/>
          <w:sz w:val="24"/>
          <w:szCs w:val="24"/>
          <w:lang w:val="fr-FR" w:eastAsia="es-MX"/>
        </w:rPr>
        <w:t> </w:t>
      </w:r>
      <w:r w:rsidRPr="00594227">
        <w:rPr>
          <w:rFonts w:ascii="Times New Roman" w:eastAsia="Times New Roman" w:hAnsi="Times New Roman" w:cs="Times New Roman"/>
          <w:color w:val="000000"/>
          <w:sz w:val="24"/>
          <w:szCs w:val="24"/>
          <w:lang w:val="fr-FR" w:eastAsia="es-MX"/>
        </w:rPr>
        <w:t>Disponible</w:t>
      </w:r>
      <w:r w:rsidR="00594227" w:rsidRPr="00594227">
        <w:rPr>
          <w:rFonts w:ascii="Times New Roman" w:eastAsia="Times New Roman" w:hAnsi="Times New Roman" w:cs="Times New Roman"/>
          <w:color w:val="000000"/>
          <w:sz w:val="24"/>
          <w:szCs w:val="24"/>
          <w:lang w:val="fr-FR" w:eastAsia="es-MX"/>
        </w:rPr>
        <w:t> </w:t>
      </w:r>
      <w:r w:rsidRPr="00594227">
        <w:rPr>
          <w:rFonts w:ascii="Times New Roman" w:eastAsia="Times New Roman" w:hAnsi="Times New Roman" w:cs="Times New Roman"/>
          <w:color w:val="000000"/>
          <w:sz w:val="24"/>
          <w:szCs w:val="24"/>
          <w:lang w:val="fr-FR" w:eastAsia="es-MX"/>
        </w:rPr>
        <w:t>en:</w:t>
      </w:r>
      <w:r w:rsidR="00D136BB" w:rsidRPr="00594227">
        <w:rPr>
          <w:rFonts w:ascii="Times New Roman" w:eastAsia="Times New Roman" w:hAnsi="Times New Roman" w:cs="Times New Roman"/>
          <w:color w:val="000000"/>
          <w:sz w:val="24"/>
          <w:szCs w:val="24"/>
          <w:lang w:val="fr-FR" w:eastAsia="es-MX"/>
        </w:rPr>
        <w:t xml:space="preserve"> </w:t>
      </w:r>
      <w:hyperlink r:id="rId33" w:history="1">
        <w:r w:rsidR="00594227" w:rsidRPr="00594227">
          <w:rPr>
            <w:rStyle w:val="Hyperlink"/>
            <w:rFonts w:ascii="Times New Roman" w:eastAsia="Times New Roman" w:hAnsi="Times New Roman" w:cs="Times New Roman"/>
            <w:sz w:val="24"/>
            <w:szCs w:val="24"/>
            <w:lang w:val="fr-FR" w:eastAsia="es-MX"/>
          </w:rPr>
          <w:t>http://www.paho.org/hq/index.php?option=com_content&amp;view=article &amp;id=9010:2013-cancer-americas-country-profiles-2013&amp;Itemid=40084&amp;lang=es</w:t>
        </w:r>
      </w:hyperlink>
      <w:r w:rsidR="00594227" w:rsidRPr="00930AD5">
        <w:rPr>
          <w:rFonts w:ascii="Times New Roman" w:hAnsi="Times New Roman" w:cs="Times New Roman"/>
          <w:sz w:val="24"/>
          <w:szCs w:val="24"/>
          <w:lang w:val="en-GB"/>
        </w:rPr>
        <w:t>.</w:t>
      </w:r>
    </w:p>
    <w:p w14:paraId="27CDD0AA" w14:textId="75F99A9C" w:rsidR="00921043" w:rsidRPr="00594227" w:rsidRDefault="00921043" w:rsidP="00312CCF">
      <w:pPr>
        <w:shd w:val="clear" w:color="auto" w:fill="FFFFFF"/>
        <w:spacing w:after="0" w:line="240" w:lineRule="auto"/>
        <w:ind w:left="426"/>
        <w:jc w:val="both"/>
        <w:rPr>
          <w:rFonts w:ascii="Times New Roman" w:eastAsia="Times New Roman" w:hAnsi="Times New Roman" w:cs="Times New Roman"/>
          <w:sz w:val="24"/>
          <w:szCs w:val="24"/>
          <w:lang w:val="fr-FR" w:eastAsia="es-MX"/>
        </w:rPr>
      </w:pPr>
    </w:p>
    <w:p w14:paraId="2B540CEB" w14:textId="77777777" w:rsidR="00594227" w:rsidRPr="00930AD5" w:rsidRDefault="00921043" w:rsidP="009518E0">
      <w:pPr>
        <w:spacing w:after="0" w:line="240" w:lineRule="auto"/>
        <w:ind w:left="426" w:hanging="568"/>
        <w:jc w:val="both"/>
        <w:rPr>
          <w:rStyle w:val="Hyperlink"/>
          <w:rFonts w:ascii="Times New Roman" w:hAnsi="Times New Roman" w:cs="Times New Roman"/>
          <w:sz w:val="24"/>
          <w:szCs w:val="24"/>
          <w:lang w:val="en-GB"/>
        </w:rPr>
      </w:pPr>
      <w:r w:rsidRPr="00594227">
        <w:rPr>
          <w:rFonts w:ascii="Times New Roman" w:eastAsia="Times New Roman" w:hAnsi="Times New Roman" w:cs="Times New Roman"/>
          <w:color w:val="000000"/>
          <w:sz w:val="24"/>
          <w:szCs w:val="24"/>
          <w:lang w:val="en-US" w:eastAsia="es-MX"/>
        </w:rPr>
        <w:t>[13]</w:t>
      </w:r>
      <w:r w:rsidR="00D136BB" w:rsidRPr="00594227">
        <w:rPr>
          <w:rFonts w:ascii="Times New Roman" w:eastAsia="Times New Roman" w:hAnsi="Times New Roman" w:cs="Times New Roman"/>
          <w:color w:val="000000"/>
          <w:sz w:val="24"/>
          <w:szCs w:val="24"/>
          <w:lang w:val="en-US" w:eastAsia="es-MX"/>
        </w:rPr>
        <w:t xml:space="preserve"> </w:t>
      </w:r>
      <w:r w:rsidRPr="00594227">
        <w:rPr>
          <w:rFonts w:ascii="Times New Roman" w:hAnsi="Times New Roman" w:cs="Times New Roman"/>
          <w:sz w:val="24"/>
          <w:szCs w:val="24"/>
          <w:lang w:val="en-US"/>
        </w:rPr>
        <w:t>World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Heart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Organisation,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Global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Targets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2025:</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improve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maternal,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infant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young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child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nutrition,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WHO,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2013.</w:t>
      </w:r>
      <w:r w:rsidR="00D136BB" w:rsidRPr="00594227">
        <w:rPr>
          <w:rFonts w:ascii="Times New Roman" w:hAnsi="Times New Roman" w:cs="Times New Roman"/>
          <w:sz w:val="24"/>
          <w:szCs w:val="24"/>
          <w:lang w:val="en-US"/>
        </w:rPr>
        <w:t xml:space="preserve"> </w:t>
      </w:r>
      <w:hyperlink r:id="rId34" w:history="1">
        <w:r w:rsidRPr="00594227">
          <w:rPr>
            <w:rStyle w:val="Hyperlink"/>
            <w:rFonts w:ascii="Times New Roman" w:hAnsi="Times New Roman" w:cs="Times New Roman"/>
            <w:sz w:val="24"/>
            <w:szCs w:val="24"/>
            <w:lang w:val="en-GB"/>
          </w:rPr>
          <w:t>http://www.who.int/nutrition/topics/nutrition_globaltargets2025/en/</w:t>
        </w:r>
      </w:hyperlink>
      <w:r w:rsidR="00D136BB" w:rsidRPr="00594227">
        <w:rPr>
          <w:rFonts w:ascii="Times New Roman" w:hAnsi="Times New Roman" w:cs="Times New Roman"/>
          <w:sz w:val="24"/>
          <w:szCs w:val="24"/>
          <w:u w:val="single"/>
          <w:lang w:val="en-GB"/>
        </w:rPr>
        <w:t xml:space="preserve"> </w:t>
      </w:r>
      <w:r w:rsidR="00594227" w:rsidRPr="00930AD5">
        <w:rPr>
          <w:rFonts w:ascii="Times New Roman" w:hAnsi="Times New Roman" w:cs="Times New Roman"/>
          <w:sz w:val="24"/>
          <w:szCs w:val="24"/>
          <w:lang w:val="en-GB"/>
        </w:rPr>
        <w:t>.</w:t>
      </w:r>
    </w:p>
    <w:p w14:paraId="1DCADCC8" w14:textId="528068A4" w:rsidR="00921043" w:rsidRPr="00594227" w:rsidRDefault="00921043" w:rsidP="00312CCF">
      <w:pPr>
        <w:spacing w:after="0" w:line="240" w:lineRule="auto"/>
        <w:ind w:left="426"/>
        <w:jc w:val="both"/>
        <w:rPr>
          <w:rFonts w:ascii="Times New Roman" w:hAnsi="Times New Roman" w:cs="Times New Roman"/>
          <w:sz w:val="24"/>
          <w:szCs w:val="24"/>
          <w:u w:val="single"/>
          <w:lang w:val="en-GB"/>
        </w:rPr>
      </w:pPr>
    </w:p>
    <w:p w14:paraId="3ECAC6B4" w14:textId="77777777" w:rsidR="00594227" w:rsidRPr="00594227" w:rsidRDefault="00921043" w:rsidP="009518E0">
      <w:pPr>
        <w:spacing w:after="0" w:line="240" w:lineRule="auto"/>
        <w:ind w:left="426" w:hanging="568"/>
        <w:jc w:val="both"/>
        <w:rPr>
          <w:rFonts w:ascii="Times New Roman" w:hAnsi="Times New Roman" w:cs="Times New Roman"/>
          <w:sz w:val="24"/>
          <w:szCs w:val="24"/>
          <w:lang w:val="en-GB"/>
        </w:rPr>
      </w:pPr>
      <w:r w:rsidRPr="00594227">
        <w:rPr>
          <w:rFonts w:ascii="Times New Roman" w:hAnsi="Times New Roman" w:cs="Times New Roman"/>
          <w:sz w:val="24"/>
          <w:szCs w:val="24"/>
          <w:lang w:val="en-GB"/>
        </w:rPr>
        <w:t>[14]</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World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Health</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Organisation.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US"/>
        </w:rPr>
        <w:t>Diet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physical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activity: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public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health</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priority,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WHO,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2013.</w:t>
      </w:r>
      <w:r w:rsidR="00D136BB" w:rsidRPr="00594227">
        <w:rPr>
          <w:rFonts w:ascii="Times New Roman" w:hAnsi="Times New Roman" w:cs="Times New Roman"/>
          <w:sz w:val="24"/>
          <w:szCs w:val="24"/>
          <w:lang w:val="en-GB"/>
        </w:rPr>
        <w:t xml:space="preserve"> </w:t>
      </w:r>
    </w:p>
    <w:p w14:paraId="0A84A207" w14:textId="648AE046" w:rsidR="00921043" w:rsidRPr="00594227" w:rsidRDefault="00D136BB" w:rsidP="00312CCF">
      <w:pPr>
        <w:spacing w:after="0" w:line="240" w:lineRule="auto"/>
        <w:ind w:left="426"/>
        <w:jc w:val="both"/>
        <w:rPr>
          <w:rFonts w:ascii="Times New Roman" w:hAnsi="Times New Roman" w:cs="Times New Roman"/>
          <w:sz w:val="24"/>
          <w:szCs w:val="24"/>
          <w:lang w:val="en-GB"/>
        </w:rPr>
      </w:pPr>
      <w:r w:rsidRPr="00594227">
        <w:rPr>
          <w:rFonts w:ascii="Times New Roman" w:hAnsi="Times New Roman" w:cs="Times New Roman"/>
          <w:sz w:val="24"/>
          <w:szCs w:val="24"/>
          <w:lang w:val="en-GB"/>
        </w:rPr>
        <w:t xml:space="preserve"> </w:t>
      </w:r>
    </w:p>
    <w:p w14:paraId="233B2A2E" w14:textId="77777777" w:rsidR="00594227" w:rsidRPr="00594227" w:rsidRDefault="00921043" w:rsidP="009518E0">
      <w:pPr>
        <w:spacing w:after="0" w:line="240" w:lineRule="auto"/>
        <w:ind w:left="426" w:hanging="568"/>
        <w:jc w:val="both"/>
        <w:rPr>
          <w:rStyle w:val="Hyperlink"/>
          <w:rFonts w:ascii="Times New Roman" w:hAnsi="Times New Roman" w:cs="Times New Roman"/>
          <w:sz w:val="24"/>
          <w:szCs w:val="24"/>
          <w:lang w:val="es-AR"/>
        </w:rPr>
      </w:pPr>
      <w:r w:rsidRPr="00594227">
        <w:rPr>
          <w:rFonts w:ascii="Times New Roman" w:hAnsi="Times New Roman" w:cs="Times New Roman"/>
          <w:sz w:val="24"/>
          <w:szCs w:val="24"/>
          <w:lang w:val="en-US"/>
        </w:rPr>
        <w:t>[15]</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GB"/>
        </w:rPr>
        <w:t>Training</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new</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generation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of</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radiation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oncologists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in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Latin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America.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s-419"/>
        </w:rPr>
        <w:t>Disponib</w:t>
      </w:r>
      <w:r w:rsidR="00594227" w:rsidRPr="00594227">
        <w:rPr>
          <w:rFonts w:ascii="Times New Roman" w:hAnsi="Times New Roman" w:cs="Times New Roman"/>
          <w:sz w:val="24"/>
          <w:szCs w:val="24"/>
          <w:lang w:val="es-419"/>
        </w:rPr>
        <w:t xml:space="preserve"> </w:t>
      </w:r>
      <w:r w:rsidRPr="00594227">
        <w:rPr>
          <w:rFonts w:ascii="Times New Roman" w:hAnsi="Times New Roman" w:cs="Times New Roman"/>
          <w:sz w:val="24"/>
          <w:szCs w:val="24"/>
          <w:lang w:val="es-419"/>
        </w:rPr>
        <w:t>le</w:t>
      </w:r>
      <w:r w:rsidR="00D136BB" w:rsidRPr="00594227">
        <w:rPr>
          <w:rFonts w:ascii="Times New Roman" w:hAnsi="Times New Roman" w:cs="Times New Roman"/>
          <w:sz w:val="24"/>
          <w:szCs w:val="24"/>
          <w:lang w:val="es-419"/>
        </w:rPr>
        <w:t xml:space="preserve"> </w:t>
      </w:r>
      <w:r w:rsidRPr="00594227">
        <w:rPr>
          <w:rFonts w:ascii="Times New Roman" w:hAnsi="Times New Roman" w:cs="Times New Roman"/>
          <w:sz w:val="24"/>
          <w:szCs w:val="24"/>
          <w:lang w:val="es-419"/>
        </w:rPr>
        <w:t>en:</w:t>
      </w:r>
      <w:r w:rsidR="00D136BB" w:rsidRPr="00594227">
        <w:rPr>
          <w:rFonts w:ascii="Times New Roman" w:hAnsi="Times New Roman" w:cs="Times New Roman"/>
          <w:sz w:val="24"/>
          <w:szCs w:val="24"/>
          <w:lang w:val="es-419"/>
        </w:rPr>
        <w:t xml:space="preserve">   </w:t>
      </w:r>
      <w:hyperlink r:id="rId35" w:history="1">
        <w:r w:rsidRPr="00594227">
          <w:rPr>
            <w:rStyle w:val="Hyperlink"/>
            <w:rFonts w:ascii="Times New Roman" w:hAnsi="Times New Roman" w:cs="Times New Roman"/>
            <w:sz w:val="24"/>
            <w:szCs w:val="24"/>
            <w:lang w:val="es-419"/>
          </w:rPr>
          <w:t>https://www.iaea.org/sites/default/files/torzsok-presentation-200917.pdf</w:t>
        </w:r>
      </w:hyperlink>
      <w:r w:rsidR="00594227" w:rsidRPr="00594227">
        <w:rPr>
          <w:rFonts w:ascii="Times New Roman" w:hAnsi="Times New Roman" w:cs="Times New Roman"/>
          <w:sz w:val="24"/>
          <w:szCs w:val="24"/>
        </w:rPr>
        <w:t>.</w:t>
      </w:r>
    </w:p>
    <w:p w14:paraId="1D4890F4" w14:textId="0A54714A" w:rsidR="00921043" w:rsidRPr="00594227" w:rsidRDefault="00594227" w:rsidP="00312CCF">
      <w:pPr>
        <w:spacing w:after="0" w:line="240" w:lineRule="auto"/>
        <w:ind w:left="426"/>
        <w:jc w:val="both"/>
        <w:rPr>
          <w:rFonts w:ascii="Times New Roman" w:hAnsi="Times New Roman" w:cs="Times New Roman"/>
          <w:sz w:val="24"/>
          <w:szCs w:val="24"/>
          <w:lang w:val="es-419"/>
        </w:rPr>
      </w:pPr>
      <w:r w:rsidRPr="00594227">
        <w:rPr>
          <w:rFonts w:ascii="Times New Roman" w:hAnsi="Times New Roman" w:cs="Times New Roman"/>
          <w:sz w:val="24"/>
          <w:szCs w:val="24"/>
          <w:lang w:val="es-419"/>
        </w:rPr>
        <w:t xml:space="preserve"> </w:t>
      </w:r>
      <w:r w:rsidR="00D136BB" w:rsidRPr="00594227">
        <w:rPr>
          <w:rFonts w:ascii="Times New Roman" w:hAnsi="Times New Roman" w:cs="Times New Roman"/>
          <w:sz w:val="24"/>
          <w:szCs w:val="24"/>
          <w:lang w:val="es-419"/>
        </w:rPr>
        <w:t xml:space="preserve"> </w:t>
      </w:r>
    </w:p>
    <w:p w14:paraId="03EDB324" w14:textId="0435C91A" w:rsidR="00921043" w:rsidRPr="00594227" w:rsidRDefault="00921043" w:rsidP="009518E0">
      <w:pPr>
        <w:pStyle w:val="Heading1"/>
        <w:numPr>
          <w:ilvl w:val="0"/>
          <w:numId w:val="0"/>
        </w:numPr>
        <w:tabs>
          <w:tab w:val="left" w:pos="708"/>
        </w:tabs>
        <w:spacing w:before="0" w:line="240" w:lineRule="auto"/>
        <w:ind w:left="426" w:hanging="568"/>
        <w:rPr>
          <w:rFonts w:ascii="Times New Roman" w:eastAsiaTheme="minorHAnsi" w:hAnsi="Times New Roman" w:cs="Times New Roman"/>
          <w:b/>
          <w:bCs/>
          <w:color w:val="auto"/>
          <w:sz w:val="24"/>
          <w:szCs w:val="24"/>
          <w:lang w:val="es-419"/>
        </w:rPr>
      </w:pPr>
      <w:r w:rsidRPr="00594227">
        <w:rPr>
          <w:rFonts w:ascii="Times New Roman" w:hAnsi="Times New Roman" w:cs="Times New Roman"/>
          <w:color w:val="auto"/>
          <w:sz w:val="24"/>
          <w:szCs w:val="24"/>
          <w:lang w:val="es-419"/>
        </w:rPr>
        <w:t>[16]</w:t>
      </w:r>
      <w:r w:rsidR="00D136BB" w:rsidRPr="00594227">
        <w:rPr>
          <w:rFonts w:ascii="Times New Roman"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Prevalencia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de</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demencia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en</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adultos</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mayores</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de</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América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Latina: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revisión</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sistemática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Revista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Española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de</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Geriatría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y</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Gerontología,</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Volume</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54,</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Issue</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6,</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November–December</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2019,</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Pages</w:t>
      </w:r>
      <w:r w:rsidR="00D136BB" w:rsidRPr="00594227">
        <w:rPr>
          <w:rFonts w:ascii="Times New Roman" w:eastAsiaTheme="minorHAnsi" w:hAnsi="Times New Roman" w:cs="Times New Roman"/>
          <w:color w:val="auto"/>
          <w:sz w:val="24"/>
          <w:szCs w:val="24"/>
          <w:lang w:val="es-419"/>
        </w:rPr>
        <w:t xml:space="preserve"> </w:t>
      </w:r>
      <w:r w:rsidRPr="00594227">
        <w:rPr>
          <w:rFonts w:ascii="Times New Roman" w:eastAsiaTheme="minorHAnsi" w:hAnsi="Times New Roman" w:cs="Times New Roman"/>
          <w:color w:val="auto"/>
          <w:sz w:val="24"/>
          <w:szCs w:val="24"/>
          <w:lang w:val="es-419"/>
        </w:rPr>
        <w:t>346-355</w:t>
      </w:r>
      <w:r w:rsidR="00594227" w:rsidRPr="00594227">
        <w:rPr>
          <w:rFonts w:ascii="Times New Roman" w:eastAsiaTheme="minorHAnsi" w:hAnsi="Times New Roman" w:cs="Times New Roman"/>
          <w:color w:val="auto"/>
          <w:sz w:val="24"/>
          <w:szCs w:val="24"/>
          <w:lang w:val="es-419"/>
        </w:rPr>
        <w:t>.</w:t>
      </w:r>
    </w:p>
    <w:p w14:paraId="459E5329" w14:textId="77777777" w:rsidR="008A4588" w:rsidRPr="00594227" w:rsidRDefault="008A4588" w:rsidP="00312CCF">
      <w:pPr>
        <w:ind w:left="426"/>
        <w:jc w:val="both"/>
        <w:rPr>
          <w:rFonts w:ascii="Times New Roman" w:hAnsi="Times New Roman" w:cs="Times New Roman"/>
          <w:sz w:val="24"/>
          <w:szCs w:val="24"/>
          <w:lang w:val="es-419"/>
        </w:rPr>
      </w:pPr>
    </w:p>
    <w:p w14:paraId="6848C49B" w14:textId="1E709887" w:rsidR="004B48B3" w:rsidRPr="00594227" w:rsidRDefault="008A4588" w:rsidP="008A4588">
      <w:pPr>
        <w:rPr>
          <w:rFonts w:ascii="Times New Roman" w:hAnsi="Times New Roman" w:cs="Times New Roman"/>
          <w:i/>
          <w:iCs/>
          <w:color w:val="548DD4" w:themeColor="text2" w:themeTint="99"/>
          <w:sz w:val="24"/>
          <w:szCs w:val="24"/>
        </w:rPr>
      </w:pPr>
      <w:bookmarkStart w:id="37" w:name="_Hlk49877411"/>
      <w:r w:rsidRPr="00594227">
        <w:rPr>
          <w:rFonts w:ascii="Times New Roman" w:hAnsi="Times New Roman" w:cs="Times New Roman"/>
          <w:i/>
          <w:iCs/>
          <w:color w:val="548DD4" w:themeColor="text2" w:themeTint="99"/>
          <w:sz w:val="24"/>
          <w:szCs w:val="24"/>
        </w:rPr>
        <w:t>Ambiente</w:t>
      </w:r>
    </w:p>
    <w:bookmarkEnd w:id="37"/>
    <w:p w14:paraId="434690A4" w14:textId="4C39A07F"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lastRenderedPageBreak/>
        <w:t>[1]</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Naciones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Unidas.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Agenda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Desarrollo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Sostenible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2030.</w:t>
      </w:r>
      <w:r w:rsidR="00D136BB" w:rsidRPr="00594227">
        <w:rPr>
          <w:rFonts w:ascii="Times New Roman" w:hAnsi="Times New Roman" w:cs="Times New Roman"/>
          <w:sz w:val="24"/>
          <w:szCs w:val="24"/>
        </w:rPr>
        <w:t xml:space="preserve"> </w:t>
      </w:r>
      <w:hyperlink r:id="rId36" w:history="1">
        <w:r w:rsidRPr="00594227">
          <w:rPr>
            <w:rStyle w:val="Hyperlink"/>
            <w:rFonts w:ascii="Times New Roman" w:hAnsi="Times New Roman" w:cs="Times New Roman"/>
            <w:sz w:val="24"/>
            <w:szCs w:val="24"/>
          </w:rPr>
          <w:t>https://www.onu.org.ar/agenda-post-2015/</w:t>
        </w:r>
      </w:hyperlink>
      <w:r w:rsidR="00D136BB" w:rsidRPr="00594227">
        <w:rPr>
          <w:rFonts w:ascii="Times New Roman" w:hAnsi="Times New Roman" w:cs="Times New Roman"/>
          <w:sz w:val="24"/>
          <w:szCs w:val="24"/>
        </w:rPr>
        <w:t xml:space="preserve"> </w:t>
      </w:r>
    </w:p>
    <w:p w14:paraId="0527B10F" w14:textId="77777777" w:rsidR="009E0603" w:rsidRPr="00594227" w:rsidRDefault="009E0603" w:rsidP="009E0603">
      <w:pPr>
        <w:pStyle w:val="FootnoteText"/>
        <w:rPr>
          <w:rFonts w:ascii="Times New Roman" w:hAnsi="Times New Roman" w:cs="Times New Roman"/>
          <w:sz w:val="24"/>
          <w:szCs w:val="24"/>
        </w:rPr>
      </w:pPr>
    </w:p>
    <w:p w14:paraId="5EC038E1" w14:textId="7E4F644F"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t>[2]</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Naciones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Unidas.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Informe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Objetivos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Desarrollo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Sostenible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2019</w:t>
      </w:r>
      <w:r w:rsidR="00D136BB" w:rsidRPr="00594227">
        <w:rPr>
          <w:rFonts w:ascii="Times New Roman" w:hAnsi="Times New Roman" w:cs="Times New Roman"/>
          <w:sz w:val="24"/>
          <w:szCs w:val="24"/>
        </w:rPr>
        <w:t xml:space="preserve"> </w:t>
      </w:r>
      <w:hyperlink r:id="rId37" w:history="1">
        <w:r w:rsidRPr="00594227">
          <w:rPr>
            <w:rStyle w:val="Hyperlink"/>
            <w:rFonts w:ascii="Times New Roman" w:hAnsi="Times New Roman" w:cs="Times New Roman"/>
            <w:sz w:val="24"/>
            <w:szCs w:val="24"/>
          </w:rPr>
          <w:t>https://www.onu.org.ar/stuff/Informe-ODS-2019.pdf</w:t>
        </w:r>
      </w:hyperlink>
      <w:r w:rsidR="00D136BB" w:rsidRPr="00594227">
        <w:rPr>
          <w:rFonts w:ascii="Times New Roman" w:hAnsi="Times New Roman" w:cs="Times New Roman"/>
          <w:sz w:val="24"/>
          <w:szCs w:val="24"/>
        </w:rPr>
        <w:t xml:space="preserve"> </w:t>
      </w:r>
    </w:p>
    <w:p w14:paraId="0F5304EE" w14:textId="77777777" w:rsidR="009E0603" w:rsidRPr="00594227" w:rsidRDefault="009E0603" w:rsidP="009E0603">
      <w:pPr>
        <w:pStyle w:val="FootnoteText"/>
        <w:rPr>
          <w:rFonts w:ascii="Times New Roman" w:hAnsi="Times New Roman" w:cs="Times New Roman"/>
          <w:sz w:val="24"/>
          <w:szCs w:val="24"/>
        </w:rPr>
      </w:pPr>
    </w:p>
    <w:p w14:paraId="7EF0D53B" w14:textId="39C0E473"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t>[3]</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CEPAL.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Implementación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Agenda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2030</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Latina</w:t>
      </w:r>
    </w:p>
    <w:p w14:paraId="7831302A" w14:textId="45F1E6DC" w:rsidR="009E0603" w:rsidRPr="00594227" w:rsidRDefault="001D6963" w:rsidP="009E0603">
      <w:pPr>
        <w:pStyle w:val="FootnoteText"/>
        <w:rPr>
          <w:rFonts w:ascii="Times New Roman" w:hAnsi="Times New Roman" w:cs="Times New Roman"/>
          <w:sz w:val="24"/>
          <w:szCs w:val="24"/>
        </w:rPr>
      </w:pPr>
      <w:hyperlink r:id="rId38" w:history="1">
        <w:r w:rsidR="009E0603" w:rsidRPr="00594227">
          <w:rPr>
            <w:rStyle w:val="Hyperlink"/>
            <w:rFonts w:ascii="Times New Roman" w:hAnsi="Times New Roman" w:cs="Times New Roman"/>
            <w:sz w:val="24"/>
            <w:szCs w:val="24"/>
          </w:rPr>
          <w:t>www.cepal.org/es/temas/agenda-2030-desarrollo-sostenible/seguimiento-implementacion-la-agenda-2030</w:t>
        </w:r>
      </w:hyperlink>
      <w:r w:rsidR="00D136BB" w:rsidRPr="00594227">
        <w:rPr>
          <w:rFonts w:ascii="Times New Roman" w:hAnsi="Times New Roman" w:cs="Times New Roman"/>
          <w:sz w:val="24"/>
          <w:szCs w:val="24"/>
        </w:rPr>
        <w:t xml:space="preserve"> </w:t>
      </w:r>
    </w:p>
    <w:p w14:paraId="1211C5A7" w14:textId="77777777" w:rsidR="009E0603" w:rsidRPr="00594227" w:rsidRDefault="009E0603" w:rsidP="009E0603">
      <w:pPr>
        <w:pStyle w:val="FootnoteText"/>
        <w:rPr>
          <w:rFonts w:ascii="Times New Roman" w:hAnsi="Times New Roman" w:cs="Times New Roman"/>
          <w:sz w:val="24"/>
          <w:szCs w:val="24"/>
        </w:rPr>
      </w:pPr>
    </w:p>
    <w:p w14:paraId="4ED85E06" w14:textId="343B4377"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t>[4]</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CEPAL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Perspectivas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económicas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Latina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2019:</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desarrollo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transición</w:t>
      </w:r>
    </w:p>
    <w:p w14:paraId="5D9BFB86" w14:textId="42EE750E" w:rsidR="009E0603" w:rsidRPr="00594227" w:rsidRDefault="001D6963" w:rsidP="009E0603">
      <w:pPr>
        <w:pStyle w:val="FootnoteText"/>
        <w:rPr>
          <w:rFonts w:ascii="Times New Roman" w:hAnsi="Times New Roman" w:cs="Times New Roman"/>
          <w:sz w:val="24"/>
          <w:szCs w:val="24"/>
        </w:rPr>
      </w:pPr>
      <w:hyperlink r:id="rId39" w:history="1">
        <w:r w:rsidR="009E0603" w:rsidRPr="00594227">
          <w:rPr>
            <w:rStyle w:val="Hyperlink"/>
            <w:rFonts w:ascii="Times New Roman" w:hAnsi="Times New Roman" w:cs="Times New Roman"/>
            <w:sz w:val="24"/>
            <w:szCs w:val="24"/>
          </w:rPr>
          <w:t>https://www.cepal.org/es/publicaciones/44525-perspectivas-economicas-america-latina-2019-desarrollo-transicion</w:t>
        </w:r>
      </w:hyperlink>
      <w:r w:rsidR="00D136BB" w:rsidRPr="00594227">
        <w:rPr>
          <w:rFonts w:ascii="Times New Roman" w:hAnsi="Times New Roman" w:cs="Times New Roman"/>
          <w:sz w:val="24"/>
          <w:szCs w:val="24"/>
        </w:rPr>
        <w:t xml:space="preserve"> </w:t>
      </w:r>
    </w:p>
    <w:p w14:paraId="440D1A5F" w14:textId="77777777" w:rsidR="009E0603" w:rsidRPr="00594227" w:rsidRDefault="009E0603" w:rsidP="009E0603">
      <w:pPr>
        <w:pStyle w:val="FootnoteText"/>
        <w:rPr>
          <w:rFonts w:ascii="Times New Roman" w:hAnsi="Times New Roman" w:cs="Times New Roman"/>
          <w:sz w:val="24"/>
          <w:szCs w:val="24"/>
          <w:lang w:val="es-ES"/>
        </w:rPr>
      </w:pPr>
    </w:p>
    <w:p w14:paraId="45B98E6B" w14:textId="120EB4D3"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t>[5]</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CEPAL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(2018),</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CEPALSTAT:</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Statistics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and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Indicators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(base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datos),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Comisión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Económica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para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Latina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y</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Caribe,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Santiago</w:t>
      </w:r>
      <w:r w:rsidR="00D136BB" w:rsidRPr="00594227">
        <w:rPr>
          <w:rFonts w:ascii="Times New Roman" w:hAnsi="Times New Roman" w:cs="Times New Roman"/>
          <w:sz w:val="24"/>
          <w:szCs w:val="24"/>
        </w:rPr>
        <w:t xml:space="preserve"> </w:t>
      </w:r>
      <w:hyperlink r:id="rId40" w:history="1">
        <w:r w:rsidRPr="00594227">
          <w:rPr>
            <w:rStyle w:val="Hyperlink"/>
            <w:rFonts w:ascii="Times New Roman" w:hAnsi="Times New Roman" w:cs="Times New Roman"/>
            <w:sz w:val="24"/>
            <w:szCs w:val="24"/>
          </w:rPr>
          <w:t>http://estadisticas.cepal.org/cepalstat/portada.html?idioma=english</w:t>
        </w:r>
      </w:hyperlink>
      <w:r w:rsidR="00D136BB" w:rsidRPr="00594227">
        <w:rPr>
          <w:rFonts w:ascii="Times New Roman" w:hAnsi="Times New Roman" w:cs="Times New Roman"/>
          <w:sz w:val="24"/>
          <w:szCs w:val="24"/>
        </w:rPr>
        <w:t xml:space="preserve"> </w:t>
      </w:r>
    </w:p>
    <w:p w14:paraId="7A998BE3" w14:textId="77777777" w:rsidR="009E0603" w:rsidRPr="00594227" w:rsidRDefault="009E0603" w:rsidP="009E0603">
      <w:pPr>
        <w:pStyle w:val="FootnoteText"/>
        <w:rPr>
          <w:rFonts w:ascii="Times New Roman" w:hAnsi="Times New Roman" w:cs="Times New Roman"/>
          <w:sz w:val="24"/>
          <w:szCs w:val="24"/>
        </w:rPr>
      </w:pPr>
    </w:p>
    <w:p w14:paraId="6F988EAE" w14:textId="1638144A" w:rsidR="009E0603" w:rsidRPr="00594227" w:rsidRDefault="009E0603" w:rsidP="009E0603">
      <w:pPr>
        <w:pStyle w:val="FootnoteText"/>
        <w:rPr>
          <w:rFonts w:ascii="Times New Roman" w:hAnsi="Times New Roman" w:cs="Times New Roman"/>
          <w:sz w:val="24"/>
          <w:szCs w:val="24"/>
          <w:lang w:val="en-GB"/>
        </w:rPr>
      </w:pPr>
      <w:r w:rsidRPr="00594227">
        <w:rPr>
          <w:rFonts w:ascii="Times New Roman" w:hAnsi="Times New Roman" w:cs="Times New Roman"/>
          <w:sz w:val="24"/>
          <w:szCs w:val="24"/>
          <w:lang w:val="en-US"/>
        </w:rPr>
        <w:t>[6]</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World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Meteorological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Organization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BULLETIN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Vol.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68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2019</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Realizing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WMO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2030</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Vision</w:t>
      </w:r>
      <w:r w:rsidR="00D136BB" w:rsidRPr="00594227">
        <w:rPr>
          <w:rFonts w:ascii="Times New Roman" w:hAnsi="Times New Roman" w:cs="Times New Roman"/>
          <w:sz w:val="24"/>
          <w:szCs w:val="24"/>
          <w:lang w:val="en-US"/>
        </w:rPr>
        <w:t xml:space="preserve"> </w:t>
      </w:r>
      <w:hyperlink r:id="rId41" w:history="1">
        <w:r w:rsidRPr="00594227">
          <w:rPr>
            <w:rStyle w:val="Hyperlink"/>
            <w:rFonts w:ascii="Times New Roman" w:hAnsi="Times New Roman" w:cs="Times New Roman"/>
            <w:sz w:val="24"/>
            <w:szCs w:val="24"/>
            <w:lang w:val="en-GB"/>
          </w:rPr>
          <w:t>https://library.wmo.int/doc_num.php?explnum_id=10077</w:t>
        </w:r>
      </w:hyperlink>
      <w:r w:rsidR="00D136BB" w:rsidRPr="00594227">
        <w:rPr>
          <w:rFonts w:ascii="Times New Roman" w:hAnsi="Times New Roman" w:cs="Times New Roman"/>
          <w:sz w:val="24"/>
          <w:szCs w:val="24"/>
          <w:lang w:val="en-US"/>
        </w:rPr>
        <w:t xml:space="preserve"> </w:t>
      </w:r>
    </w:p>
    <w:p w14:paraId="4AA695EE" w14:textId="77777777" w:rsidR="009E0603" w:rsidRPr="00594227" w:rsidRDefault="009E0603" w:rsidP="009E0603">
      <w:pPr>
        <w:pStyle w:val="FootnoteText"/>
        <w:rPr>
          <w:rFonts w:ascii="Times New Roman" w:hAnsi="Times New Roman" w:cs="Times New Roman"/>
          <w:sz w:val="24"/>
          <w:szCs w:val="24"/>
          <w:lang w:val="en-GB"/>
        </w:rPr>
      </w:pPr>
    </w:p>
    <w:p w14:paraId="73D2BAE0" w14:textId="235045D2"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lang w:val="es-ES"/>
        </w:rPr>
        <w:t>[</w:t>
      </w:r>
      <w:r w:rsidRPr="00594227">
        <w:rPr>
          <w:rFonts w:ascii="Times New Roman" w:hAnsi="Times New Roman" w:cs="Times New Roman"/>
          <w:sz w:val="24"/>
          <w:szCs w:val="24"/>
        </w:rPr>
        <w:t>7]</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CEPAL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Amazonia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posible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y</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sostenible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(2013)</w:t>
      </w:r>
      <w:r w:rsidR="00D136BB" w:rsidRPr="00594227">
        <w:rPr>
          <w:rFonts w:ascii="Times New Roman" w:hAnsi="Times New Roman" w:cs="Times New Roman"/>
          <w:sz w:val="24"/>
          <w:szCs w:val="24"/>
        </w:rPr>
        <w:t xml:space="preserve"> </w:t>
      </w:r>
      <w:hyperlink r:id="rId42" w:history="1">
        <w:r w:rsidRPr="00594227">
          <w:rPr>
            <w:rStyle w:val="Hyperlink"/>
            <w:rFonts w:ascii="Times New Roman" w:hAnsi="Times New Roman" w:cs="Times New Roman"/>
            <w:sz w:val="24"/>
            <w:szCs w:val="24"/>
          </w:rPr>
          <w:t>https://www.cepal.org/sites/default/files/news/files/amazonia_posible_y_sostenible.pdf</w:t>
        </w:r>
      </w:hyperlink>
      <w:r w:rsidR="00D136BB" w:rsidRPr="00594227">
        <w:rPr>
          <w:rFonts w:ascii="Times New Roman" w:hAnsi="Times New Roman" w:cs="Times New Roman"/>
          <w:sz w:val="24"/>
          <w:szCs w:val="24"/>
        </w:rPr>
        <w:t xml:space="preserve"> </w:t>
      </w:r>
    </w:p>
    <w:p w14:paraId="76582765" w14:textId="77777777" w:rsidR="009E0603" w:rsidRPr="00594227" w:rsidRDefault="009E0603" w:rsidP="009E0603">
      <w:pPr>
        <w:pStyle w:val="FootnoteText"/>
        <w:rPr>
          <w:rFonts w:ascii="Times New Roman" w:hAnsi="Times New Roman" w:cs="Times New Roman"/>
          <w:sz w:val="24"/>
          <w:szCs w:val="24"/>
        </w:rPr>
      </w:pPr>
    </w:p>
    <w:p w14:paraId="2EEC4FFE" w14:textId="3B998A09"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t>[8]</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Informe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Mundial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Naciones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Unidas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sobre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Desarrollo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Recursos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Hídricos: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Soluciones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basadas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naturaleza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para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gestión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agua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2018.</w:t>
      </w:r>
      <w:r w:rsidR="00D136BB" w:rsidRPr="00594227">
        <w:rPr>
          <w:rFonts w:ascii="Times New Roman" w:hAnsi="Times New Roman" w:cs="Times New Roman"/>
          <w:sz w:val="24"/>
          <w:szCs w:val="24"/>
        </w:rPr>
        <w:t xml:space="preserve"> </w:t>
      </w:r>
      <w:hyperlink r:id="rId43" w:history="1">
        <w:r w:rsidRPr="00594227">
          <w:rPr>
            <w:rStyle w:val="Hyperlink"/>
            <w:rFonts w:ascii="Times New Roman" w:hAnsi="Times New Roman" w:cs="Times New Roman"/>
            <w:sz w:val="24"/>
            <w:szCs w:val="24"/>
          </w:rPr>
          <w:t>https://unesdoc.unesco.org/ark:/48223/pf0000261494</w:t>
        </w:r>
      </w:hyperlink>
      <w:r w:rsidR="00D136BB" w:rsidRPr="00594227">
        <w:rPr>
          <w:rFonts w:ascii="Times New Roman" w:hAnsi="Times New Roman" w:cs="Times New Roman"/>
          <w:sz w:val="24"/>
          <w:szCs w:val="24"/>
        </w:rPr>
        <w:t xml:space="preserve"> </w:t>
      </w:r>
    </w:p>
    <w:p w14:paraId="3AC59851" w14:textId="77777777" w:rsidR="009E0603" w:rsidRPr="00594227" w:rsidRDefault="009E0603" w:rsidP="009E0603">
      <w:pPr>
        <w:pStyle w:val="FootnoteText"/>
        <w:rPr>
          <w:rFonts w:ascii="Times New Roman" w:hAnsi="Times New Roman" w:cs="Times New Roman"/>
          <w:sz w:val="24"/>
          <w:szCs w:val="24"/>
        </w:rPr>
      </w:pPr>
    </w:p>
    <w:p w14:paraId="49713B7C" w14:textId="5AB5BA7E"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t>[9]</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IRENA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Plan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Acción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Regional: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Acelerando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Despliegue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Energía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Renovable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Latina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(2019)</w:t>
      </w:r>
      <w:r w:rsidR="00D136BB" w:rsidRPr="00594227">
        <w:rPr>
          <w:rFonts w:ascii="Times New Roman" w:hAnsi="Times New Roman" w:cs="Times New Roman"/>
          <w:sz w:val="24"/>
          <w:szCs w:val="24"/>
        </w:rPr>
        <w:t xml:space="preserve"> </w:t>
      </w:r>
    </w:p>
    <w:p w14:paraId="1803D8A5" w14:textId="77777777" w:rsidR="009E0603" w:rsidRPr="00594227" w:rsidRDefault="009E0603" w:rsidP="009E0603">
      <w:pPr>
        <w:pStyle w:val="FootnoteText"/>
        <w:rPr>
          <w:rFonts w:ascii="Times New Roman" w:hAnsi="Times New Roman" w:cs="Times New Roman"/>
          <w:sz w:val="24"/>
          <w:szCs w:val="24"/>
          <w:lang w:val="es-ES"/>
        </w:rPr>
      </w:pPr>
    </w:p>
    <w:p w14:paraId="669AE830" w14:textId="733ED6FA"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lang w:val="en-GB"/>
        </w:rPr>
        <w:t>[10]</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Water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Quality,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Sanitation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Technology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for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the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Americas.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rPr>
        <w:t>HDT</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87:</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deterioro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calidad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aire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(Marcelo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Korc,</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dic.</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2002)</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2019.</w:t>
      </w:r>
    </w:p>
    <w:p w14:paraId="5FCA66C2" w14:textId="77777777" w:rsidR="009E0603" w:rsidRPr="00594227" w:rsidRDefault="001D6963" w:rsidP="009E0603">
      <w:pPr>
        <w:pStyle w:val="FootnoteText"/>
        <w:rPr>
          <w:rFonts w:ascii="Times New Roman" w:hAnsi="Times New Roman" w:cs="Times New Roman"/>
          <w:sz w:val="24"/>
          <w:szCs w:val="24"/>
        </w:rPr>
      </w:pPr>
      <w:hyperlink r:id="rId44" w:anchor="cifras" w:history="1">
        <w:r w:rsidR="009E0603" w:rsidRPr="00594227">
          <w:rPr>
            <w:rStyle w:val="Hyperlink"/>
            <w:rFonts w:ascii="Times New Roman" w:hAnsi="Times New Roman" w:cs="Times New Roman"/>
            <w:color w:val="auto"/>
            <w:sz w:val="24"/>
            <w:szCs w:val="24"/>
          </w:rPr>
          <w:t>http://cepis.org.pe/hdt87-deterioro-calidad-aire/#cifras</w:t>
        </w:r>
      </w:hyperlink>
    </w:p>
    <w:p w14:paraId="72D4FAD6" w14:textId="77777777" w:rsidR="009E0603" w:rsidRPr="00594227" w:rsidRDefault="009E0603" w:rsidP="009E0603">
      <w:pPr>
        <w:pStyle w:val="FootnoteText"/>
        <w:rPr>
          <w:rFonts w:ascii="Times New Roman" w:hAnsi="Times New Roman" w:cs="Times New Roman"/>
          <w:sz w:val="24"/>
          <w:szCs w:val="24"/>
          <w:lang w:val="es-ES"/>
        </w:rPr>
      </w:pPr>
    </w:p>
    <w:p w14:paraId="6FA7E631" w14:textId="440ABBC4"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t>[11]</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Organización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Mundial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Salud: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Salud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2017.</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Resumen: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panorama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regional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y</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perfiles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país.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Publicación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Científica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y</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Técnica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642.</w:t>
      </w:r>
      <w:r w:rsidR="00D136BB" w:rsidRPr="00594227">
        <w:rPr>
          <w:rFonts w:ascii="Times New Roman" w:hAnsi="Times New Roman" w:cs="Times New Roman"/>
          <w:sz w:val="24"/>
          <w:szCs w:val="24"/>
        </w:rPr>
        <w:t xml:space="preserve"> </w:t>
      </w:r>
      <w:hyperlink r:id="rId45" w:history="1">
        <w:r w:rsidRPr="00594227">
          <w:rPr>
            <w:rStyle w:val="Hyperlink"/>
            <w:rFonts w:ascii="Times New Roman" w:hAnsi="Times New Roman" w:cs="Times New Roman"/>
            <w:color w:val="auto"/>
            <w:sz w:val="24"/>
            <w:szCs w:val="24"/>
          </w:rPr>
          <w:t>https://www.paho.org/salud-en-las-americas-2017/wp-content/uploads/2017/09/Print-Version-Spanish.pdf</w:t>
        </w:r>
      </w:hyperlink>
    </w:p>
    <w:p w14:paraId="1736C8C9" w14:textId="77777777" w:rsidR="009E0603" w:rsidRPr="00594227" w:rsidRDefault="009E0603" w:rsidP="009E0603">
      <w:pPr>
        <w:pStyle w:val="FootnoteText"/>
        <w:rPr>
          <w:rFonts w:ascii="Times New Roman" w:hAnsi="Times New Roman" w:cs="Times New Roman"/>
          <w:sz w:val="24"/>
          <w:szCs w:val="24"/>
        </w:rPr>
      </w:pPr>
    </w:p>
    <w:p w14:paraId="2BC1788C" w14:textId="2EBF1F73" w:rsidR="009E0603" w:rsidRPr="00594227" w:rsidRDefault="009E0603" w:rsidP="009E0603">
      <w:pPr>
        <w:pStyle w:val="FootnoteText"/>
        <w:rPr>
          <w:rFonts w:ascii="Times New Roman" w:hAnsi="Times New Roman" w:cs="Times New Roman"/>
          <w:sz w:val="24"/>
          <w:szCs w:val="24"/>
          <w:lang w:val="en-GB"/>
        </w:rPr>
      </w:pPr>
      <w:r w:rsidRPr="00594227">
        <w:rPr>
          <w:rFonts w:ascii="Times New Roman" w:hAnsi="Times New Roman" w:cs="Times New Roman"/>
          <w:sz w:val="24"/>
          <w:szCs w:val="24"/>
          <w:lang w:val="en-GB"/>
        </w:rPr>
        <w:t>[12]</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Statista.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Energy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&amp;</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Environmental</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Services.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Number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of</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deaths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attributable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to</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air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pollution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exposure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in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Latin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America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and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the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Caribbean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in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2017,</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by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country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(Bruna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Alves,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Jun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19,</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2019)</w:t>
      </w:r>
    </w:p>
    <w:p w14:paraId="383A6F2C" w14:textId="77777777" w:rsidR="009E0603" w:rsidRPr="00594227" w:rsidRDefault="001D6963" w:rsidP="009E0603">
      <w:pPr>
        <w:pStyle w:val="FootnoteText"/>
        <w:rPr>
          <w:rFonts w:ascii="Times New Roman" w:hAnsi="Times New Roman" w:cs="Times New Roman"/>
          <w:sz w:val="24"/>
          <w:szCs w:val="24"/>
          <w:lang w:val="en-GB"/>
        </w:rPr>
      </w:pPr>
      <w:hyperlink r:id="rId46" w:history="1">
        <w:r w:rsidR="009E0603" w:rsidRPr="00594227">
          <w:rPr>
            <w:rStyle w:val="Hyperlink"/>
            <w:rFonts w:ascii="Times New Roman" w:hAnsi="Times New Roman" w:cs="Times New Roman"/>
            <w:color w:val="auto"/>
            <w:sz w:val="24"/>
            <w:szCs w:val="24"/>
            <w:lang w:val="en-GB"/>
          </w:rPr>
          <w:t>https://www.statista.com/statistics/868789/number-deaths-air-pollution-latin-america-caribbean-country/</w:t>
        </w:r>
      </w:hyperlink>
    </w:p>
    <w:p w14:paraId="34C7BC6F" w14:textId="77777777" w:rsidR="009E0603" w:rsidRPr="00594227" w:rsidRDefault="009E0603" w:rsidP="009E0603">
      <w:pPr>
        <w:pStyle w:val="FootnoteText"/>
        <w:rPr>
          <w:rFonts w:ascii="Times New Roman" w:hAnsi="Times New Roman" w:cs="Times New Roman"/>
          <w:sz w:val="24"/>
          <w:szCs w:val="24"/>
          <w:lang w:val="en-GB"/>
        </w:rPr>
      </w:pPr>
    </w:p>
    <w:p w14:paraId="6D94B2CE" w14:textId="7B4BF2E2"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rPr>
        <w:t>[13]</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Organización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Mundial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Salud.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Salud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el</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Mundo.</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Informe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2002.</w:t>
      </w:r>
      <w:r w:rsidR="00D136BB" w:rsidRPr="00594227">
        <w:rPr>
          <w:rFonts w:ascii="Times New Roman" w:hAnsi="Times New Roman" w:cs="Times New Roman"/>
          <w:sz w:val="24"/>
          <w:szCs w:val="24"/>
        </w:rPr>
        <w:t xml:space="preserve"> </w:t>
      </w:r>
      <w:hyperlink r:id="rId47" w:history="1">
        <w:r w:rsidRPr="00594227">
          <w:rPr>
            <w:rStyle w:val="Hyperlink"/>
            <w:rFonts w:ascii="Times New Roman" w:hAnsi="Times New Roman" w:cs="Times New Roman"/>
            <w:color w:val="auto"/>
            <w:sz w:val="24"/>
            <w:szCs w:val="24"/>
          </w:rPr>
          <w:t>http://www.who.int</w:t>
        </w:r>
      </w:hyperlink>
    </w:p>
    <w:p w14:paraId="7C9C89C9" w14:textId="77777777" w:rsidR="009E0603" w:rsidRPr="00594227" w:rsidRDefault="009E0603" w:rsidP="009E0603">
      <w:pPr>
        <w:pStyle w:val="FootnoteText"/>
        <w:rPr>
          <w:rFonts w:ascii="Times New Roman" w:hAnsi="Times New Roman" w:cs="Times New Roman"/>
          <w:sz w:val="24"/>
          <w:szCs w:val="24"/>
        </w:rPr>
      </w:pPr>
    </w:p>
    <w:p w14:paraId="1C5ED517" w14:textId="6521665D" w:rsidR="009E0603" w:rsidRPr="00594227" w:rsidRDefault="009E0603" w:rsidP="009E0603">
      <w:pPr>
        <w:pStyle w:val="FootnoteText"/>
        <w:rPr>
          <w:rFonts w:ascii="Times New Roman" w:hAnsi="Times New Roman" w:cs="Times New Roman"/>
          <w:sz w:val="24"/>
          <w:szCs w:val="24"/>
          <w:lang w:val="en-GB"/>
        </w:rPr>
      </w:pPr>
      <w:r w:rsidRPr="00594227">
        <w:rPr>
          <w:rFonts w:ascii="Times New Roman" w:hAnsi="Times New Roman" w:cs="Times New Roman"/>
          <w:sz w:val="24"/>
          <w:szCs w:val="24"/>
        </w:rPr>
        <w:t>[14]</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Organización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Panamericana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Salud.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Indicadores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básicos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2016</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Situación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de</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Salud</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en</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las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rPr>
        <w:t>Américas.</w:t>
      </w:r>
      <w:r w:rsidR="00D136BB" w:rsidRPr="00594227">
        <w:rPr>
          <w:rFonts w:ascii="Times New Roman" w:hAnsi="Times New Roman" w:cs="Times New Roman"/>
          <w:sz w:val="24"/>
          <w:szCs w:val="24"/>
        </w:rPr>
        <w:t xml:space="preserve"> </w:t>
      </w:r>
      <w:r w:rsidRPr="00594227">
        <w:rPr>
          <w:rFonts w:ascii="Times New Roman" w:hAnsi="Times New Roman" w:cs="Times New Roman"/>
          <w:sz w:val="24"/>
          <w:szCs w:val="24"/>
          <w:lang w:val="en-GB"/>
        </w:rPr>
        <w:t>Washington,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D.C.:</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OPS;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2016.</w:t>
      </w:r>
      <w:r w:rsidR="00D136BB" w:rsidRPr="00594227">
        <w:rPr>
          <w:rFonts w:ascii="Times New Roman" w:hAnsi="Times New Roman" w:cs="Times New Roman"/>
          <w:sz w:val="24"/>
          <w:szCs w:val="24"/>
          <w:lang w:val="en-GB"/>
        </w:rPr>
        <w:t xml:space="preserve"> </w:t>
      </w:r>
      <w:hyperlink r:id="rId48" w:history="1">
        <w:r w:rsidRPr="00594227">
          <w:rPr>
            <w:rStyle w:val="Hyperlink"/>
            <w:rFonts w:ascii="Times New Roman" w:hAnsi="Times New Roman" w:cs="Times New Roman"/>
            <w:color w:val="auto"/>
            <w:sz w:val="24"/>
            <w:szCs w:val="24"/>
            <w:lang w:val="en-GB"/>
          </w:rPr>
          <w:t>http://iris.paho.org/xmlui/handle/123456789/31288</w:t>
        </w:r>
      </w:hyperlink>
      <w:r w:rsidR="00D136BB" w:rsidRPr="00594227">
        <w:rPr>
          <w:rFonts w:ascii="Times New Roman" w:hAnsi="Times New Roman" w:cs="Times New Roman"/>
          <w:sz w:val="24"/>
          <w:szCs w:val="24"/>
          <w:lang w:val="en-GB"/>
        </w:rPr>
        <w:t xml:space="preserve"> </w:t>
      </w:r>
    </w:p>
    <w:p w14:paraId="7D218A93" w14:textId="77777777" w:rsidR="009E0603" w:rsidRPr="00594227" w:rsidRDefault="009E0603" w:rsidP="009E0603">
      <w:pPr>
        <w:pStyle w:val="FootnoteText"/>
        <w:rPr>
          <w:rFonts w:ascii="Times New Roman" w:hAnsi="Times New Roman" w:cs="Times New Roman"/>
          <w:sz w:val="24"/>
          <w:szCs w:val="24"/>
          <w:lang w:val="en-US"/>
        </w:rPr>
      </w:pPr>
    </w:p>
    <w:p w14:paraId="0ACE2497" w14:textId="776C5EB8" w:rsidR="009E0603" w:rsidRPr="00594227" w:rsidRDefault="009E0603" w:rsidP="009E0603">
      <w:pPr>
        <w:pStyle w:val="FootnoteText"/>
        <w:rPr>
          <w:rFonts w:ascii="Times New Roman" w:hAnsi="Times New Roman" w:cs="Times New Roman"/>
          <w:sz w:val="24"/>
          <w:szCs w:val="24"/>
          <w:lang w:val="en-GB"/>
        </w:rPr>
      </w:pPr>
      <w:r w:rsidRPr="00594227">
        <w:rPr>
          <w:rFonts w:ascii="Times New Roman" w:hAnsi="Times New Roman" w:cs="Times New Roman"/>
          <w:sz w:val="24"/>
          <w:szCs w:val="24"/>
          <w:lang w:val="en-GB"/>
        </w:rPr>
        <w:lastRenderedPageBreak/>
        <w:t>[15]</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What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Waste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Global</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Snapshot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of</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Solid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Waste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Management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to</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2050.</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Urban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Development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Series.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World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Bank</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Group.</w:t>
      </w:r>
      <w:r w:rsidR="00D136BB" w:rsidRPr="00594227">
        <w:rPr>
          <w:rFonts w:ascii="Times New Roman" w:hAnsi="Times New Roman" w:cs="Times New Roman"/>
          <w:sz w:val="24"/>
          <w:szCs w:val="24"/>
          <w:lang w:val="en-GB"/>
        </w:rPr>
        <w:t xml:space="preserve"> </w:t>
      </w:r>
      <w:hyperlink r:id="rId49" w:history="1">
        <w:r w:rsidRPr="00594227">
          <w:rPr>
            <w:rStyle w:val="Hyperlink"/>
            <w:rFonts w:ascii="Times New Roman" w:hAnsi="Times New Roman" w:cs="Times New Roman"/>
            <w:color w:val="auto"/>
            <w:sz w:val="24"/>
            <w:szCs w:val="24"/>
            <w:lang w:val="en-GB"/>
          </w:rPr>
          <w:t>https://openknowledge.worldbank.org/handle/10986/30317</w:t>
        </w:r>
      </w:hyperlink>
      <w:r w:rsidR="00D136BB" w:rsidRPr="00594227">
        <w:rPr>
          <w:rFonts w:ascii="Times New Roman" w:hAnsi="Times New Roman" w:cs="Times New Roman"/>
          <w:sz w:val="24"/>
          <w:szCs w:val="24"/>
          <w:lang w:val="en-GB"/>
        </w:rPr>
        <w:t xml:space="preserve"> </w:t>
      </w:r>
    </w:p>
    <w:p w14:paraId="215E59A6" w14:textId="77777777" w:rsidR="009E0603" w:rsidRPr="00594227" w:rsidRDefault="009E0603" w:rsidP="009E0603">
      <w:pPr>
        <w:pStyle w:val="FootnoteText"/>
        <w:rPr>
          <w:rFonts w:ascii="Times New Roman" w:hAnsi="Times New Roman" w:cs="Times New Roman"/>
          <w:sz w:val="24"/>
          <w:szCs w:val="24"/>
          <w:lang w:val="en-GB"/>
        </w:rPr>
      </w:pPr>
    </w:p>
    <w:p w14:paraId="3BA1EFE6" w14:textId="08D4051B" w:rsidR="009E0603" w:rsidRPr="00594227" w:rsidRDefault="009E0603" w:rsidP="009E0603">
      <w:pPr>
        <w:pStyle w:val="FootnoteText"/>
        <w:rPr>
          <w:rFonts w:ascii="Times New Roman" w:hAnsi="Times New Roman" w:cs="Times New Roman"/>
          <w:sz w:val="24"/>
          <w:szCs w:val="24"/>
          <w:lang w:val="en-GB"/>
        </w:rPr>
      </w:pPr>
      <w:r w:rsidRPr="00594227">
        <w:rPr>
          <w:rFonts w:ascii="Times New Roman" w:hAnsi="Times New Roman" w:cs="Times New Roman"/>
          <w:sz w:val="24"/>
          <w:szCs w:val="24"/>
          <w:lang w:val="en-GB"/>
        </w:rPr>
        <w:t>[16]</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Bickel,</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Catterson,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Crow,</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M.,</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Fisher,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Lewandowski,</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Stoughton,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M,</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Taylor,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C.,</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Solid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waste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collection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and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disposalsystem.</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Environmental</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Guidelines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for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the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USAID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Latin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America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and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the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Caribbean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Bureau</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(2003).</w:t>
      </w:r>
    </w:p>
    <w:p w14:paraId="4E7D260B" w14:textId="77777777" w:rsidR="009E0603" w:rsidRPr="00594227" w:rsidRDefault="009E0603" w:rsidP="009E0603">
      <w:pPr>
        <w:pStyle w:val="FootnoteText"/>
        <w:rPr>
          <w:rFonts w:ascii="Times New Roman" w:hAnsi="Times New Roman" w:cs="Times New Roman"/>
          <w:sz w:val="24"/>
          <w:szCs w:val="24"/>
          <w:lang w:val="en-US"/>
        </w:rPr>
      </w:pPr>
    </w:p>
    <w:p w14:paraId="32294585" w14:textId="1D8352B9" w:rsidR="009E0603" w:rsidRPr="00594227" w:rsidRDefault="009E0603" w:rsidP="009E0603">
      <w:pPr>
        <w:pStyle w:val="FootnoteText"/>
        <w:rPr>
          <w:rFonts w:ascii="Times New Roman" w:hAnsi="Times New Roman" w:cs="Times New Roman"/>
          <w:sz w:val="24"/>
          <w:szCs w:val="24"/>
          <w:lang w:val="en-GB"/>
        </w:rPr>
      </w:pPr>
      <w:r w:rsidRPr="00594227">
        <w:rPr>
          <w:rFonts w:ascii="Times New Roman" w:hAnsi="Times New Roman" w:cs="Times New Roman"/>
          <w:sz w:val="24"/>
          <w:szCs w:val="24"/>
          <w:lang w:val="es-ES"/>
        </w:rPr>
        <w:t>[17]</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Organización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Mundial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Salud.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Salud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Mundo.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n-GB"/>
        </w:rPr>
        <w:t>Informe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2002.</w:t>
      </w:r>
      <w:r w:rsidR="00D136BB" w:rsidRPr="00594227">
        <w:rPr>
          <w:rFonts w:ascii="Times New Roman" w:hAnsi="Times New Roman" w:cs="Times New Roman"/>
          <w:sz w:val="24"/>
          <w:szCs w:val="24"/>
          <w:lang w:val="en-GB"/>
        </w:rPr>
        <w:t xml:space="preserve"> </w:t>
      </w:r>
      <w:hyperlink r:id="rId50" w:history="1">
        <w:r w:rsidRPr="00594227">
          <w:rPr>
            <w:rStyle w:val="Hyperlink"/>
            <w:rFonts w:ascii="Times New Roman" w:hAnsi="Times New Roman" w:cs="Times New Roman"/>
            <w:color w:val="auto"/>
            <w:sz w:val="24"/>
            <w:szCs w:val="24"/>
            <w:lang w:val="en-GB"/>
          </w:rPr>
          <w:t>http://www.who.int</w:t>
        </w:r>
      </w:hyperlink>
    </w:p>
    <w:p w14:paraId="745CCAC4" w14:textId="77777777" w:rsidR="009E0603" w:rsidRPr="00594227" w:rsidRDefault="009E0603" w:rsidP="009E0603">
      <w:pPr>
        <w:pStyle w:val="FootnoteText"/>
        <w:rPr>
          <w:rFonts w:ascii="Times New Roman" w:hAnsi="Times New Roman" w:cs="Times New Roman"/>
          <w:sz w:val="24"/>
          <w:szCs w:val="24"/>
          <w:lang w:val="en-GB"/>
        </w:rPr>
      </w:pPr>
    </w:p>
    <w:p w14:paraId="26DBBE09" w14:textId="6E4ADBA1" w:rsidR="009E0603" w:rsidRPr="00594227" w:rsidRDefault="009E0603" w:rsidP="009E0603">
      <w:pPr>
        <w:pStyle w:val="FootnoteText"/>
        <w:rPr>
          <w:rFonts w:ascii="Times New Roman" w:hAnsi="Times New Roman" w:cs="Times New Roman"/>
          <w:sz w:val="24"/>
          <w:szCs w:val="24"/>
          <w:lang w:val="en-GB"/>
        </w:rPr>
      </w:pPr>
      <w:r w:rsidRPr="00594227">
        <w:rPr>
          <w:rFonts w:ascii="Times New Roman" w:hAnsi="Times New Roman" w:cs="Times New Roman"/>
          <w:sz w:val="24"/>
          <w:szCs w:val="24"/>
          <w:lang w:val="en-GB"/>
        </w:rPr>
        <w:t>[18]</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San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Martín,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Water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Resources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in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Latin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America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and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the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Caribbean: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Issues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and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Options.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Inter-American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Development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Bank,</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IDB,</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Sustainable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Development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Department,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Environment</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Division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(2002).</w:t>
      </w:r>
    </w:p>
    <w:p w14:paraId="57162A6C" w14:textId="38BCC5E0" w:rsidR="009E0603" w:rsidRPr="00594227" w:rsidRDefault="001D6963" w:rsidP="009E0603">
      <w:pPr>
        <w:pStyle w:val="FootnoteText"/>
        <w:rPr>
          <w:rFonts w:ascii="Times New Roman" w:hAnsi="Times New Roman" w:cs="Times New Roman"/>
          <w:sz w:val="24"/>
          <w:szCs w:val="24"/>
          <w:lang w:val="en-GB"/>
        </w:rPr>
      </w:pPr>
      <w:hyperlink r:id="rId51" w:history="1">
        <w:r w:rsidR="009E0603" w:rsidRPr="00594227">
          <w:rPr>
            <w:rStyle w:val="Hyperlink"/>
            <w:rFonts w:ascii="Times New Roman" w:hAnsi="Times New Roman" w:cs="Times New Roman"/>
            <w:color w:val="auto"/>
            <w:sz w:val="24"/>
            <w:szCs w:val="24"/>
            <w:lang w:val="en-GB"/>
          </w:rPr>
          <w:t>http://citeseerx.ist.psu.edu/viewdoc/download?doi=10.1.1.455.5717&amp;rep=rep1&amp;type=pdf</w:t>
        </w:r>
      </w:hyperlink>
      <w:r w:rsidR="00D136BB" w:rsidRPr="00594227">
        <w:rPr>
          <w:rFonts w:ascii="Times New Roman" w:hAnsi="Times New Roman" w:cs="Times New Roman"/>
          <w:sz w:val="24"/>
          <w:szCs w:val="24"/>
          <w:lang w:val="en-GB"/>
        </w:rPr>
        <w:t xml:space="preserve"> </w:t>
      </w:r>
    </w:p>
    <w:p w14:paraId="08665232" w14:textId="77777777" w:rsidR="009E0603" w:rsidRPr="00594227" w:rsidRDefault="009E0603" w:rsidP="009E0603">
      <w:pPr>
        <w:pStyle w:val="FootnoteText"/>
        <w:rPr>
          <w:rFonts w:ascii="Times New Roman" w:hAnsi="Times New Roman" w:cs="Times New Roman"/>
          <w:sz w:val="24"/>
          <w:szCs w:val="24"/>
          <w:lang w:val="en-GB"/>
        </w:rPr>
      </w:pPr>
    </w:p>
    <w:p w14:paraId="586BFD49" w14:textId="13881656" w:rsidR="009E0603" w:rsidRPr="00594227" w:rsidRDefault="009E0603" w:rsidP="009E0603">
      <w:pPr>
        <w:pStyle w:val="FootnoteText"/>
        <w:rPr>
          <w:rFonts w:ascii="Times New Roman" w:hAnsi="Times New Roman" w:cs="Times New Roman"/>
          <w:sz w:val="24"/>
          <w:szCs w:val="24"/>
          <w:lang w:val="pt-BR"/>
        </w:rPr>
      </w:pPr>
      <w:r w:rsidRPr="00594227">
        <w:rPr>
          <w:rFonts w:ascii="Times New Roman" w:hAnsi="Times New Roman" w:cs="Times New Roman"/>
          <w:sz w:val="24"/>
          <w:szCs w:val="24"/>
          <w:lang w:val="es-ES"/>
        </w:rPr>
        <w:t>[19]</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UNESCO.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Atlas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Glaciares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Aguas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Andinos: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impacto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retroceso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glaciares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sobre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recursos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hídricos: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impacto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retroceso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glaciares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sobre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recursos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hídricos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(2018).</w:t>
      </w:r>
      <w:r w:rsidR="00D136BB" w:rsidRPr="00594227">
        <w:rPr>
          <w:rFonts w:ascii="Times New Roman" w:hAnsi="Times New Roman" w:cs="Times New Roman"/>
          <w:sz w:val="24"/>
          <w:szCs w:val="24"/>
          <w:lang w:val="es-ES"/>
        </w:rPr>
        <w:t xml:space="preserve"> </w:t>
      </w:r>
      <w:hyperlink r:id="rId52" w:history="1">
        <w:r w:rsidRPr="00594227">
          <w:rPr>
            <w:rStyle w:val="Hyperlink"/>
            <w:rFonts w:ascii="Times New Roman" w:hAnsi="Times New Roman" w:cs="Times New Roman"/>
            <w:color w:val="auto"/>
            <w:sz w:val="24"/>
            <w:szCs w:val="24"/>
            <w:lang w:val="pt-BR"/>
          </w:rPr>
          <w:t>https://unesdoc.unesco.org/ark:/48223/pf0000266209</w:t>
        </w:r>
      </w:hyperlink>
      <w:r w:rsidR="00D136BB" w:rsidRPr="00594227">
        <w:rPr>
          <w:rFonts w:ascii="Times New Roman" w:hAnsi="Times New Roman" w:cs="Times New Roman"/>
          <w:sz w:val="24"/>
          <w:szCs w:val="24"/>
          <w:lang w:val="pt-BR"/>
        </w:rPr>
        <w:t xml:space="preserve"> </w:t>
      </w:r>
    </w:p>
    <w:p w14:paraId="41E0D168" w14:textId="77777777" w:rsidR="009E0603" w:rsidRPr="00594227" w:rsidRDefault="009E0603" w:rsidP="009E0603">
      <w:pPr>
        <w:pStyle w:val="FootnoteText"/>
        <w:rPr>
          <w:rFonts w:ascii="Times New Roman" w:hAnsi="Times New Roman" w:cs="Times New Roman"/>
          <w:sz w:val="24"/>
          <w:szCs w:val="24"/>
          <w:lang w:val="pt-BR"/>
        </w:rPr>
      </w:pPr>
    </w:p>
    <w:p w14:paraId="68CE4E3B" w14:textId="2808E345" w:rsidR="009E0603" w:rsidRPr="00594227" w:rsidRDefault="009E0603" w:rsidP="009E0603">
      <w:pPr>
        <w:pStyle w:val="FootnoteText"/>
        <w:rPr>
          <w:rFonts w:ascii="Times New Roman" w:hAnsi="Times New Roman" w:cs="Times New Roman"/>
          <w:sz w:val="24"/>
          <w:szCs w:val="24"/>
          <w:lang w:val="pt-BR"/>
        </w:rPr>
      </w:pPr>
      <w:r w:rsidRPr="00594227">
        <w:rPr>
          <w:rFonts w:ascii="Times New Roman" w:hAnsi="Times New Roman" w:cs="Times New Roman"/>
          <w:sz w:val="24"/>
          <w:szCs w:val="24"/>
          <w:lang w:val="pt-BR"/>
        </w:rPr>
        <w:t>[20]</w:t>
      </w:r>
      <w:r w:rsidR="00D136BB" w:rsidRPr="00594227">
        <w:rPr>
          <w:rFonts w:ascii="Times New Roman" w:hAnsi="Times New Roman" w:cs="Times New Roman"/>
          <w:sz w:val="24"/>
          <w:szCs w:val="24"/>
          <w:lang w:val="pt-BR"/>
        </w:rPr>
        <w:t xml:space="preserve"> </w:t>
      </w:r>
      <w:r w:rsidRPr="00594227">
        <w:rPr>
          <w:rFonts w:ascii="Times New Roman" w:hAnsi="Times New Roman" w:cs="Times New Roman"/>
          <w:sz w:val="24"/>
          <w:szCs w:val="24"/>
          <w:lang w:val="pt-BR"/>
        </w:rPr>
        <w:t>IAEA</w:t>
      </w:r>
      <w:r w:rsidR="00D136BB" w:rsidRPr="00594227">
        <w:rPr>
          <w:rFonts w:ascii="Times New Roman" w:hAnsi="Times New Roman" w:cs="Times New Roman"/>
          <w:sz w:val="24"/>
          <w:szCs w:val="24"/>
          <w:lang w:val="pt-BR"/>
        </w:rPr>
        <w:t xml:space="preserve"> </w:t>
      </w:r>
      <w:hyperlink r:id="rId53" w:history="1">
        <w:r w:rsidRPr="00594227">
          <w:rPr>
            <w:rStyle w:val="Hyperlink"/>
            <w:rFonts w:ascii="Times New Roman" w:hAnsi="Times New Roman" w:cs="Times New Roman"/>
            <w:color w:val="auto"/>
            <w:sz w:val="24"/>
            <w:szCs w:val="24"/>
            <w:lang w:val="pt-BR"/>
          </w:rPr>
          <w:t>https://www.iaea.org/sites/default/files/18/06/mitigating-the-impact-of-harmful-algal-blooms-using-nuclear-based-techniques_sp-update.pdf</w:t>
        </w:r>
      </w:hyperlink>
    </w:p>
    <w:p w14:paraId="4D9C2A43" w14:textId="77777777" w:rsidR="009E0603" w:rsidRPr="00594227" w:rsidRDefault="009E0603" w:rsidP="009E0603">
      <w:pPr>
        <w:pStyle w:val="FootnoteText"/>
        <w:rPr>
          <w:rFonts w:ascii="Times New Roman" w:hAnsi="Times New Roman" w:cs="Times New Roman"/>
          <w:sz w:val="24"/>
          <w:szCs w:val="24"/>
          <w:lang w:val="pt-BR"/>
        </w:rPr>
      </w:pPr>
    </w:p>
    <w:p w14:paraId="7B0E3DB4" w14:textId="1455DFBE" w:rsidR="009E0603" w:rsidRPr="00594227" w:rsidRDefault="009E0603" w:rsidP="009E0603">
      <w:pPr>
        <w:pStyle w:val="FootnoteText"/>
        <w:rPr>
          <w:rFonts w:ascii="Times New Roman" w:hAnsi="Times New Roman" w:cs="Times New Roman"/>
          <w:sz w:val="24"/>
          <w:szCs w:val="24"/>
          <w:lang w:val="pt-BR"/>
        </w:rPr>
      </w:pPr>
      <w:r w:rsidRPr="00594227">
        <w:rPr>
          <w:rFonts w:ascii="Times New Roman" w:hAnsi="Times New Roman" w:cs="Times New Roman"/>
          <w:sz w:val="24"/>
          <w:szCs w:val="24"/>
          <w:lang w:val="pt-BR"/>
        </w:rPr>
        <w:t>[21]</w:t>
      </w:r>
      <w:r w:rsidR="00D136BB" w:rsidRPr="00594227">
        <w:rPr>
          <w:rFonts w:ascii="Times New Roman" w:hAnsi="Times New Roman" w:cs="Times New Roman"/>
          <w:sz w:val="24"/>
          <w:szCs w:val="24"/>
          <w:lang w:val="pt-BR"/>
        </w:rPr>
        <w:t xml:space="preserve"> </w:t>
      </w:r>
      <w:r w:rsidRPr="00594227">
        <w:rPr>
          <w:rFonts w:ascii="Times New Roman" w:hAnsi="Times New Roman" w:cs="Times New Roman"/>
          <w:sz w:val="24"/>
          <w:szCs w:val="24"/>
          <w:lang w:val="pt-BR"/>
        </w:rPr>
        <w:t>FAO</w:t>
      </w:r>
      <w:r w:rsidR="00D136BB" w:rsidRPr="00594227">
        <w:rPr>
          <w:rFonts w:ascii="Times New Roman" w:hAnsi="Times New Roman" w:cs="Times New Roman"/>
          <w:sz w:val="24"/>
          <w:szCs w:val="24"/>
          <w:lang w:val="pt-BR"/>
        </w:rPr>
        <w:t xml:space="preserve"> </w:t>
      </w:r>
      <w:hyperlink r:id="rId54" w:history="1">
        <w:r w:rsidRPr="00594227">
          <w:rPr>
            <w:rStyle w:val="Hyperlink"/>
            <w:rFonts w:ascii="Times New Roman" w:hAnsi="Times New Roman" w:cs="Times New Roman"/>
            <w:color w:val="auto"/>
            <w:sz w:val="24"/>
            <w:szCs w:val="24"/>
            <w:lang w:val="pt-BR"/>
          </w:rPr>
          <w:t>http://www.fao.org/3/ca1465es/CA1465ES.pdf</w:t>
        </w:r>
      </w:hyperlink>
    </w:p>
    <w:p w14:paraId="6C621BC6" w14:textId="77777777" w:rsidR="009E0603" w:rsidRPr="00594227" w:rsidRDefault="009E0603" w:rsidP="009E0603">
      <w:pPr>
        <w:pStyle w:val="FootnoteText"/>
        <w:rPr>
          <w:rFonts w:ascii="Times New Roman" w:hAnsi="Times New Roman" w:cs="Times New Roman"/>
          <w:sz w:val="24"/>
          <w:szCs w:val="24"/>
          <w:lang w:val="pt-BR"/>
        </w:rPr>
      </w:pPr>
    </w:p>
    <w:p w14:paraId="0AD05EAA" w14:textId="40F199EC" w:rsidR="009E0603" w:rsidRPr="00594227" w:rsidRDefault="009E0603" w:rsidP="009E0603">
      <w:pPr>
        <w:pStyle w:val="FootnoteText"/>
        <w:rPr>
          <w:rFonts w:ascii="Times New Roman" w:hAnsi="Times New Roman" w:cs="Times New Roman"/>
          <w:sz w:val="24"/>
          <w:szCs w:val="24"/>
          <w:lang w:val="es-ES"/>
        </w:rPr>
      </w:pPr>
      <w:r w:rsidRPr="00594227">
        <w:rPr>
          <w:rFonts w:ascii="Times New Roman" w:hAnsi="Times New Roman" w:cs="Times New Roman"/>
          <w:sz w:val="24"/>
          <w:szCs w:val="24"/>
          <w:lang w:val="es-419"/>
        </w:rPr>
        <w:t>[</w:t>
      </w:r>
      <w:r w:rsidRPr="00594227">
        <w:rPr>
          <w:rFonts w:ascii="Times New Roman" w:hAnsi="Times New Roman" w:cs="Times New Roman"/>
          <w:sz w:val="24"/>
          <w:szCs w:val="24"/>
          <w:lang w:val="es-ES"/>
        </w:rPr>
        <w:t>22]</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OIT</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Comunicado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prensa.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crecer</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pequeña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minería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países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desarrollo.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(1999)</w:t>
      </w:r>
      <w:r w:rsidR="00D136BB" w:rsidRPr="00594227">
        <w:rPr>
          <w:rFonts w:ascii="Times New Roman" w:hAnsi="Times New Roman" w:cs="Times New Roman"/>
          <w:sz w:val="24"/>
          <w:szCs w:val="24"/>
          <w:lang w:val="es-ES"/>
        </w:rPr>
        <w:t xml:space="preserve"> </w:t>
      </w:r>
    </w:p>
    <w:p w14:paraId="76CC4A3D" w14:textId="25CA7CD6" w:rsidR="009E0603" w:rsidRPr="00594227" w:rsidRDefault="001D6963" w:rsidP="009E0603">
      <w:pPr>
        <w:pStyle w:val="FootnoteText"/>
        <w:rPr>
          <w:rFonts w:ascii="Times New Roman" w:hAnsi="Times New Roman" w:cs="Times New Roman"/>
          <w:sz w:val="24"/>
          <w:szCs w:val="24"/>
          <w:lang w:val="es-ES"/>
        </w:rPr>
      </w:pPr>
      <w:hyperlink r:id="rId55" w:history="1">
        <w:r w:rsidR="009E0603" w:rsidRPr="00594227">
          <w:rPr>
            <w:rStyle w:val="Hyperlink"/>
            <w:rFonts w:ascii="Times New Roman" w:hAnsi="Times New Roman" w:cs="Times New Roman"/>
            <w:color w:val="auto"/>
            <w:sz w:val="24"/>
            <w:szCs w:val="24"/>
            <w:lang w:val="es-ES"/>
          </w:rPr>
          <w:t>https://www.ilo.org/global/about-the-ilo/newsroom/news/WCMS_008522/lang--es/index.htm</w:t>
        </w:r>
      </w:hyperlink>
      <w:r w:rsidR="00D136BB" w:rsidRPr="00594227">
        <w:rPr>
          <w:rFonts w:ascii="Times New Roman" w:hAnsi="Times New Roman" w:cs="Times New Roman"/>
          <w:sz w:val="24"/>
          <w:szCs w:val="24"/>
          <w:lang w:val="es-ES"/>
        </w:rPr>
        <w:t xml:space="preserve"> </w:t>
      </w:r>
    </w:p>
    <w:p w14:paraId="164905FE" w14:textId="77777777" w:rsidR="009E0603" w:rsidRPr="00594227" w:rsidRDefault="009E0603" w:rsidP="009E0603">
      <w:pPr>
        <w:pStyle w:val="FootnoteText"/>
        <w:rPr>
          <w:rFonts w:ascii="Times New Roman" w:hAnsi="Times New Roman" w:cs="Times New Roman"/>
          <w:sz w:val="24"/>
          <w:szCs w:val="24"/>
          <w:lang w:val="es-ES"/>
        </w:rPr>
      </w:pPr>
    </w:p>
    <w:p w14:paraId="0A779042" w14:textId="403B0057" w:rsidR="009E0603" w:rsidRPr="00594227" w:rsidRDefault="009E0603" w:rsidP="009E0603">
      <w:pPr>
        <w:pStyle w:val="FootnoteText"/>
        <w:rPr>
          <w:rFonts w:ascii="Times New Roman" w:hAnsi="Times New Roman" w:cs="Times New Roman"/>
          <w:sz w:val="24"/>
          <w:szCs w:val="24"/>
        </w:rPr>
      </w:pPr>
      <w:r w:rsidRPr="00594227">
        <w:rPr>
          <w:rFonts w:ascii="Times New Roman" w:hAnsi="Times New Roman" w:cs="Times New Roman"/>
          <w:sz w:val="24"/>
          <w:szCs w:val="24"/>
          <w:lang w:val="es-ES"/>
        </w:rPr>
        <w:t>[23]</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CEPAL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Cooperación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Alemana.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Serie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Seminarios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Conferencias.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Minería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para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un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futuro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bajo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carbono.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Oportunidades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desafíos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para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desarrollo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sostenible.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2019.</w:t>
      </w:r>
      <w:r w:rsidR="00D136BB" w:rsidRPr="00594227">
        <w:rPr>
          <w:rFonts w:ascii="Times New Roman" w:hAnsi="Times New Roman" w:cs="Times New Roman"/>
          <w:sz w:val="24"/>
          <w:szCs w:val="24"/>
          <w:lang w:val="es-ES"/>
        </w:rPr>
        <w:t xml:space="preserve"> </w:t>
      </w:r>
      <w:hyperlink r:id="rId56" w:history="1">
        <w:r w:rsidRPr="00594227">
          <w:rPr>
            <w:rStyle w:val="Hyperlink"/>
            <w:rFonts w:ascii="Times New Roman" w:hAnsi="Times New Roman" w:cs="Times New Roman"/>
            <w:color w:val="auto"/>
            <w:sz w:val="24"/>
            <w:szCs w:val="24"/>
            <w:lang w:val="es-ES"/>
          </w:rPr>
          <w:t>https://repositorio.cepal.org/bitstream/handle/11362/44584/1/S1900199_es.pdf</w:t>
        </w:r>
      </w:hyperlink>
    </w:p>
    <w:p w14:paraId="27E5E32F" w14:textId="77777777" w:rsidR="009E0603" w:rsidRPr="00594227" w:rsidRDefault="009E0603" w:rsidP="009E0603">
      <w:pPr>
        <w:rPr>
          <w:rFonts w:ascii="Times New Roman" w:hAnsi="Times New Roman" w:cs="Times New Roman"/>
          <w:i/>
          <w:iCs/>
          <w:color w:val="548DD4"/>
          <w:sz w:val="24"/>
          <w:szCs w:val="24"/>
        </w:rPr>
      </w:pPr>
    </w:p>
    <w:p w14:paraId="2AA7EDBF" w14:textId="77777777" w:rsidR="00600090" w:rsidRPr="00594227" w:rsidRDefault="00600090" w:rsidP="00600090">
      <w:pPr>
        <w:rPr>
          <w:rFonts w:ascii="Times New Roman" w:eastAsia="Calibri" w:hAnsi="Times New Roman" w:cs="Times New Roman"/>
          <w:i/>
          <w:iCs/>
          <w:color w:val="548DD4"/>
          <w:sz w:val="24"/>
          <w:szCs w:val="24"/>
          <w:lang w:val="en-US"/>
        </w:rPr>
      </w:pPr>
      <w:r w:rsidRPr="00594227">
        <w:rPr>
          <w:rFonts w:ascii="Times New Roman" w:eastAsia="Calibri" w:hAnsi="Times New Roman" w:cs="Times New Roman"/>
          <w:i/>
          <w:iCs/>
          <w:color w:val="548DD4"/>
          <w:sz w:val="24"/>
          <w:szCs w:val="24"/>
          <w:lang w:val="en-US"/>
        </w:rPr>
        <w:t>Energía</w:t>
      </w:r>
    </w:p>
    <w:p w14:paraId="0758912E" w14:textId="43A2A4EC" w:rsidR="00600090" w:rsidRPr="00594227" w:rsidRDefault="00600090" w:rsidP="00600090">
      <w:pPr>
        <w:pStyle w:val="ListParagraph"/>
        <w:numPr>
          <w:ilvl w:val="0"/>
          <w:numId w:val="67"/>
        </w:numPr>
        <w:spacing w:after="0" w:line="240" w:lineRule="auto"/>
        <w:rPr>
          <w:rFonts w:ascii="Times New Roman" w:hAnsi="Times New Roman" w:cs="Times New Roman"/>
          <w:sz w:val="24"/>
          <w:szCs w:val="24"/>
          <w:lang w:val="en-GB"/>
        </w:rPr>
      </w:pPr>
      <w:r w:rsidRPr="00594227">
        <w:rPr>
          <w:rFonts w:ascii="Times New Roman" w:hAnsi="Times New Roman" w:cs="Times New Roman"/>
          <w:sz w:val="24"/>
          <w:szCs w:val="24"/>
          <w:lang w:val="en-GB"/>
        </w:rPr>
        <w:t>The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World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Bank,</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education</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statistics:</w:t>
      </w:r>
      <w:r w:rsidR="00D136BB" w:rsidRPr="00594227">
        <w:rPr>
          <w:rFonts w:ascii="Times New Roman" w:hAnsi="Times New Roman" w:cs="Times New Roman"/>
          <w:sz w:val="24"/>
          <w:szCs w:val="24"/>
          <w:lang w:val="en-GB"/>
        </w:rPr>
        <w:t xml:space="preserve"> </w:t>
      </w:r>
      <w:hyperlink r:id="rId57" w:history="1">
        <w:r w:rsidRPr="00594227">
          <w:rPr>
            <w:rStyle w:val="Hyperlink"/>
            <w:rFonts w:ascii="Times New Roman" w:hAnsi="Times New Roman" w:cs="Times New Roman"/>
            <w:sz w:val="24"/>
            <w:szCs w:val="24"/>
            <w:lang w:val="en-GB"/>
          </w:rPr>
          <w:t>https://databank.worldbank.org/source/education-statistics-%5e-all-indicators</w:t>
        </w:r>
      </w:hyperlink>
      <w:r w:rsidRPr="00594227">
        <w:rPr>
          <w:rFonts w:ascii="Times New Roman" w:hAnsi="Times New Roman" w:cs="Times New Roman"/>
          <w:sz w:val="24"/>
          <w:szCs w:val="24"/>
          <w:lang w:val="en-US"/>
        </w:rPr>
        <w:t>.</w:t>
      </w:r>
    </w:p>
    <w:p w14:paraId="4769F56C" w14:textId="77777777" w:rsidR="00600090" w:rsidRPr="00594227" w:rsidRDefault="00600090" w:rsidP="00600090">
      <w:pPr>
        <w:pStyle w:val="ListParagraph"/>
        <w:spacing w:after="0" w:line="240" w:lineRule="auto"/>
        <w:ind w:left="360"/>
        <w:rPr>
          <w:rFonts w:ascii="Times New Roman" w:hAnsi="Times New Roman" w:cs="Times New Roman"/>
          <w:sz w:val="24"/>
          <w:szCs w:val="24"/>
          <w:lang w:val="en-GB"/>
        </w:rPr>
      </w:pPr>
    </w:p>
    <w:p w14:paraId="6BC64E8D" w14:textId="19E68609" w:rsidR="00600090" w:rsidRPr="00594227" w:rsidRDefault="00600090" w:rsidP="00600090">
      <w:pPr>
        <w:pStyle w:val="ListParagraph"/>
        <w:numPr>
          <w:ilvl w:val="0"/>
          <w:numId w:val="67"/>
        </w:numPr>
        <w:spacing w:after="0" w:line="240" w:lineRule="auto"/>
        <w:rPr>
          <w:rFonts w:ascii="Times New Roman" w:hAnsi="Times New Roman" w:cs="Times New Roman"/>
          <w:sz w:val="24"/>
          <w:szCs w:val="24"/>
          <w:lang w:val="en-GB"/>
        </w:rPr>
      </w:pPr>
      <w:r w:rsidRPr="00594227">
        <w:rPr>
          <w:rFonts w:ascii="Times New Roman" w:hAnsi="Times New Roman" w:cs="Times New Roman"/>
          <w:sz w:val="24"/>
          <w:szCs w:val="24"/>
          <w:lang w:val="en-GB"/>
        </w:rPr>
        <w:t>BP</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Statistical</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Review</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of</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World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Energy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2019</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68</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th</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edition:</w:t>
      </w:r>
      <w:r w:rsidR="00D136BB" w:rsidRPr="00594227">
        <w:rPr>
          <w:rFonts w:ascii="Times New Roman" w:hAnsi="Times New Roman" w:cs="Times New Roman"/>
          <w:sz w:val="24"/>
          <w:szCs w:val="24"/>
          <w:lang w:val="en-GB"/>
        </w:rPr>
        <w:t xml:space="preserve"> </w:t>
      </w:r>
      <w:hyperlink r:id="rId58" w:history="1">
        <w:r w:rsidRPr="00594227">
          <w:rPr>
            <w:rStyle w:val="Hyperlink"/>
            <w:rFonts w:ascii="Times New Roman" w:hAnsi="Times New Roman" w:cs="Times New Roman"/>
            <w:sz w:val="24"/>
            <w:szCs w:val="24"/>
            <w:lang w:val="en-GB"/>
          </w:rPr>
          <w:t>https://www.bp.com/content/dam/bp/business-sites/en/global/corporate/pdfs/energy-economics/statistical-review/bp-stats-review-2019-full-report.pdf</w:t>
        </w:r>
      </w:hyperlink>
      <w:r w:rsidRPr="00594227">
        <w:rPr>
          <w:rFonts w:ascii="Times New Roman" w:hAnsi="Times New Roman" w:cs="Times New Roman"/>
          <w:sz w:val="24"/>
          <w:szCs w:val="24"/>
          <w:lang w:val="en-US"/>
        </w:rPr>
        <w:t>.</w:t>
      </w:r>
    </w:p>
    <w:p w14:paraId="64DF3259" w14:textId="77777777" w:rsidR="00600090" w:rsidRPr="00594227" w:rsidRDefault="00600090" w:rsidP="00600090">
      <w:pPr>
        <w:spacing w:after="0" w:line="240" w:lineRule="auto"/>
        <w:rPr>
          <w:rFonts w:ascii="Times New Roman" w:hAnsi="Times New Roman" w:cs="Times New Roman"/>
          <w:sz w:val="24"/>
          <w:szCs w:val="24"/>
          <w:lang w:val="en-GB"/>
        </w:rPr>
      </w:pPr>
    </w:p>
    <w:p w14:paraId="31C063F2" w14:textId="1030A0F2" w:rsidR="00600090" w:rsidRPr="00594227" w:rsidRDefault="00600090" w:rsidP="00600090">
      <w:pPr>
        <w:pStyle w:val="ListParagraph"/>
        <w:numPr>
          <w:ilvl w:val="0"/>
          <w:numId w:val="67"/>
        </w:numPr>
        <w:spacing w:after="0" w:line="240" w:lineRule="auto"/>
        <w:rPr>
          <w:rFonts w:ascii="Times New Roman" w:hAnsi="Times New Roman" w:cs="Times New Roman"/>
          <w:sz w:val="24"/>
          <w:szCs w:val="24"/>
          <w:lang w:val="es-AR"/>
        </w:rPr>
      </w:pPr>
      <w:r w:rsidRPr="00594227">
        <w:rPr>
          <w:rFonts w:ascii="Times New Roman" w:hAnsi="Times New Roman" w:cs="Times New Roman"/>
          <w:sz w:val="24"/>
          <w:szCs w:val="24"/>
          <w:lang w:val="es-ES"/>
        </w:rPr>
        <w:t>Statista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Global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Service:</w:t>
      </w:r>
      <w:r w:rsidR="00D136BB" w:rsidRPr="00594227">
        <w:rPr>
          <w:rFonts w:ascii="Times New Roman" w:hAnsi="Times New Roman" w:cs="Times New Roman"/>
          <w:sz w:val="24"/>
          <w:szCs w:val="24"/>
          <w:lang w:val="es-ES"/>
        </w:rPr>
        <w:t xml:space="preserve"> </w:t>
      </w:r>
      <w:hyperlink r:id="rId59" w:history="1">
        <w:r w:rsidRPr="00594227">
          <w:rPr>
            <w:rStyle w:val="Hyperlink"/>
            <w:rFonts w:ascii="Times New Roman" w:hAnsi="Times New Roman" w:cs="Times New Roman"/>
            <w:sz w:val="24"/>
            <w:szCs w:val="24"/>
            <w:lang w:val="es-AR"/>
          </w:rPr>
          <w:t>https://www.statista.com/statistics/264331/global-oil-reserves-since-1990/</w:t>
        </w:r>
      </w:hyperlink>
      <w:r w:rsidRPr="00594227">
        <w:rPr>
          <w:rFonts w:ascii="Times New Roman" w:hAnsi="Times New Roman" w:cs="Times New Roman"/>
          <w:sz w:val="24"/>
          <w:szCs w:val="24"/>
        </w:rPr>
        <w:t>.</w:t>
      </w:r>
    </w:p>
    <w:p w14:paraId="04A639F5" w14:textId="77777777" w:rsidR="00600090" w:rsidRPr="00594227" w:rsidRDefault="00600090" w:rsidP="00600090">
      <w:pPr>
        <w:spacing w:after="0" w:line="240" w:lineRule="auto"/>
        <w:rPr>
          <w:rFonts w:ascii="Times New Roman" w:hAnsi="Times New Roman" w:cs="Times New Roman"/>
          <w:sz w:val="24"/>
          <w:szCs w:val="24"/>
          <w:lang w:val="es-AR"/>
        </w:rPr>
      </w:pPr>
    </w:p>
    <w:p w14:paraId="3CC703F8" w14:textId="233D0C5A" w:rsidR="00600090" w:rsidRPr="00594227" w:rsidRDefault="00600090" w:rsidP="00600090">
      <w:pPr>
        <w:pStyle w:val="ListParagraph"/>
        <w:numPr>
          <w:ilvl w:val="0"/>
          <w:numId w:val="67"/>
        </w:numPr>
        <w:spacing w:after="0" w:line="240" w:lineRule="auto"/>
        <w:rPr>
          <w:rFonts w:ascii="Times New Roman" w:hAnsi="Times New Roman" w:cs="Times New Roman"/>
          <w:sz w:val="24"/>
          <w:szCs w:val="24"/>
          <w:lang w:val="en-GB"/>
        </w:rPr>
      </w:pPr>
      <w:r w:rsidRPr="00594227">
        <w:rPr>
          <w:rFonts w:ascii="Times New Roman" w:hAnsi="Times New Roman" w:cs="Times New Roman"/>
          <w:sz w:val="24"/>
          <w:szCs w:val="24"/>
          <w:lang w:val="en-GB"/>
        </w:rPr>
        <w:t>Fitch</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Ratings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bnamericas:</w:t>
      </w:r>
      <w:r w:rsidR="00D136BB" w:rsidRPr="00594227">
        <w:rPr>
          <w:rFonts w:ascii="Times New Roman" w:hAnsi="Times New Roman" w:cs="Times New Roman"/>
          <w:sz w:val="24"/>
          <w:szCs w:val="24"/>
          <w:lang w:val="en-GB"/>
        </w:rPr>
        <w:t xml:space="preserve"> </w:t>
      </w:r>
      <w:hyperlink r:id="rId60" w:history="1">
        <w:r w:rsidRPr="00594227">
          <w:rPr>
            <w:rStyle w:val="Hyperlink"/>
            <w:rFonts w:ascii="Times New Roman" w:hAnsi="Times New Roman" w:cs="Times New Roman"/>
            <w:sz w:val="24"/>
            <w:szCs w:val="24"/>
            <w:lang w:val="en-GB"/>
          </w:rPr>
          <w:t>https://www.bnamericas.com/es/perfil-empresa/fitch-ratings-inc</w:t>
        </w:r>
      </w:hyperlink>
      <w:r w:rsidRPr="00594227">
        <w:rPr>
          <w:rFonts w:ascii="Times New Roman" w:hAnsi="Times New Roman" w:cs="Times New Roman"/>
          <w:sz w:val="24"/>
          <w:szCs w:val="24"/>
          <w:lang w:val="en-US"/>
        </w:rPr>
        <w:t>.</w:t>
      </w:r>
    </w:p>
    <w:p w14:paraId="7E423D4A" w14:textId="77777777" w:rsidR="00600090" w:rsidRPr="00594227" w:rsidRDefault="00600090" w:rsidP="00600090">
      <w:pPr>
        <w:spacing w:after="0" w:line="240" w:lineRule="auto"/>
        <w:rPr>
          <w:rFonts w:ascii="Times New Roman" w:hAnsi="Times New Roman" w:cs="Times New Roman"/>
          <w:sz w:val="24"/>
          <w:szCs w:val="24"/>
          <w:lang w:val="en-GB"/>
        </w:rPr>
      </w:pPr>
    </w:p>
    <w:p w14:paraId="7AEFA69C" w14:textId="7CCDCE7D" w:rsidR="00600090" w:rsidRPr="00594227" w:rsidRDefault="00600090" w:rsidP="00600090">
      <w:pPr>
        <w:pStyle w:val="ListParagraph"/>
        <w:numPr>
          <w:ilvl w:val="0"/>
          <w:numId w:val="67"/>
        </w:numPr>
        <w:spacing w:after="0" w:line="240" w:lineRule="auto"/>
        <w:rPr>
          <w:rFonts w:ascii="Times New Roman" w:hAnsi="Times New Roman" w:cs="Times New Roman"/>
          <w:sz w:val="24"/>
          <w:szCs w:val="24"/>
          <w:lang w:val="en-GB"/>
        </w:rPr>
      </w:pPr>
      <w:r w:rsidRPr="00594227">
        <w:rPr>
          <w:rFonts w:ascii="Times New Roman" w:hAnsi="Times New Roman" w:cs="Times New Roman"/>
          <w:sz w:val="24"/>
          <w:szCs w:val="24"/>
          <w:lang w:val="en-GB"/>
        </w:rPr>
        <w:t>INTERNATIONAL</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ENERGY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AGENCY,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World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Energy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Outlook</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2012,</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IEA,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Paris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(2012).</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Available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at:</w:t>
      </w:r>
      <w:r w:rsidR="00D136BB" w:rsidRPr="00594227">
        <w:rPr>
          <w:rFonts w:ascii="Times New Roman" w:hAnsi="Times New Roman" w:cs="Times New Roman"/>
          <w:sz w:val="24"/>
          <w:szCs w:val="24"/>
          <w:lang w:val="en-GB"/>
        </w:rPr>
        <w:t xml:space="preserve"> </w:t>
      </w:r>
      <w:hyperlink r:id="rId61" w:history="1">
        <w:r w:rsidRPr="00594227">
          <w:rPr>
            <w:rStyle w:val="Hyperlink"/>
            <w:rFonts w:ascii="Times New Roman" w:hAnsi="Times New Roman" w:cs="Times New Roman"/>
            <w:sz w:val="24"/>
            <w:szCs w:val="24"/>
            <w:lang w:val="en-GB"/>
          </w:rPr>
          <w:t>www.iea.org</w:t>
        </w:r>
      </w:hyperlink>
      <w:r w:rsidRPr="00594227">
        <w:rPr>
          <w:rFonts w:ascii="Times New Roman" w:hAnsi="Times New Roman" w:cs="Times New Roman"/>
          <w:sz w:val="24"/>
          <w:szCs w:val="24"/>
        </w:rPr>
        <w:t>.</w:t>
      </w:r>
    </w:p>
    <w:p w14:paraId="5C8E00E7" w14:textId="77777777" w:rsidR="00600090" w:rsidRPr="00594227" w:rsidRDefault="00600090" w:rsidP="00600090">
      <w:pPr>
        <w:spacing w:after="0" w:line="240" w:lineRule="auto"/>
        <w:rPr>
          <w:rFonts w:ascii="Times New Roman" w:hAnsi="Times New Roman" w:cs="Times New Roman"/>
          <w:sz w:val="24"/>
          <w:szCs w:val="24"/>
          <w:lang w:val="en-GB"/>
        </w:rPr>
      </w:pPr>
    </w:p>
    <w:p w14:paraId="4BD8ADE6" w14:textId="010770F8" w:rsidR="00600090" w:rsidRPr="00594227" w:rsidRDefault="00600090" w:rsidP="00600090">
      <w:pPr>
        <w:pStyle w:val="ListParagraph"/>
        <w:numPr>
          <w:ilvl w:val="0"/>
          <w:numId w:val="67"/>
        </w:numPr>
        <w:spacing w:after="0" w:line="240" w:lineRule="auto"/>
        <w:rPr>
          <w:rFonts w:ascii="Times New Roman" w:hAnsi="Times New Roman" w:cs="Times New Roman"/>
          <w:sz w:val="24"/>
          <w:szCs w:val="24"/>
          <w:lang w:val="en-GB"/>
        </w:rPr>
      </w:pPr>
      <w:r w:rsidRPr="00594227">
        <w:rPr>
          <w:rFonts w:ascii="Times New Roman" w:hAnsi="Times New Roman" w:cs="Times New Roman"/>
          <w:sz w:val="24"/>
          <w:szCs w:val="24"/>
          <w:lang w:val="en-GB"/>
        </w:rPr>
        <w:lastRenderedPageBreak/>
        <w:t>INTERNATIONAL</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ATOMIC</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ENERGY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AGENCY,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Energy,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Electricity</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and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Nuclear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Power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Estimate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for</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the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Period</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up</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to</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2050,</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Reference</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Data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Series</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No.</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1,</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Vienna</w:t>
      </w:r>
      <w:r w:rsidR="00D136BB" w:rsidRPr="00594227">
        <w:rPr>
          <w:rFonts w:ascii="Times New Roman" w:hAnsi="Times New Roman" w:cs="Times New Roman"/>
          <w:sz w:val="24"/>
          <w:szCs w:val="24"/>
          <w:lang w:val="en-GB"/>
        </w:rPr>
        <w:t xml:space="preserve"> </w:t>
      </w:r>
      <w:r w:rsidRPr="00594227">
        <w:rPr>
          <w:rFonts w:ascii="Times New Roman" w:hAnsi="Times New Roman" w:cs="Times New Roman"/>
          <w:sz w:val="24"/>
          <w:szCs w:val="24"/>
          <w:lang w:val="en-GB"/>
        </w:rPr>
        <w:t>(2012).</w:t>
      </w:r>
    </w:p>
    <w:p w14:paraId="12A52518" w14:textId="77777777" w:rsidR="00600090" w:rsidRPr="00594227" w:rsidRDefault="00600090" w:rsidP="00600090">
      <w:pPr>
        <w:pStyle w:val="ListParagraph"/>
        <w:spacing w:after="0" w:line="240" w:lineRule="auto"/>
        <w:ind w:left="360"/>
        <w:rPr>
          <w:rFonts w:ascii="Times New Roman" w:hAnsi="Times New Roman" w:cs="Times New Roman"/>
          <w:sz w:val="24"/>
          <w:szCs w:val="24"/>
          <w:lang w:val="en-GB"/>
        </w:rPr>
      </w:pPr>
    </w:p>
    <w:p w14:paraId="52943DF3" w14:textId="73A00CCA" w:rsidR="00600090" w:rsidRPr="00594227" w:rsidRDefault="00600090" w:rsidP="00600090">
      <w:pPr>
        <w:pStyle w:val="ListParagraph"/>
        <w:numPr>
          <w:ilvl w:val="0"/>
          <w:numId w:val="67"/>
        </w:numPr>
        <w:spacing w:after="0" w:line="240" w:lineRule="auto"/>
        <w:rPr>
          <w:rFonts w:ascii="Times New Roman" w:hAnsi="Times New Roman" w:cs="Times New Roman"/>
          <w:sz w:val="24"/>
          <w:szCs w:val="24"/>
          <w:lang w:val="es-MX"/>
        </w:rPr>
      </w:pPr>
      <w:r w:rsidRPr="00594227">
        <w:rPr>
          <w:rFonts w:ascii="Times New Roman" w:hAnsi="Times New Roman" w:cs="Times New Roman"/>
          <w:sz w:val="24"/>
          <w:szCs w:val="24"/>
          <w:lang w:val="es-MX"/>
        </w:rPr>
        <w:t>PROYECTO</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ARCAL</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CXIX,</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Proyecto</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RLA/0/037,</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Informe</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final,</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Producción</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y</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usos</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de</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radioisótopos</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producidos</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en</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reactores</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de</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investigación</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en</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América</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Latina</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y</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el</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Caribe.</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Marzo</w:t>
      </w:r>
      <w:r w:rsidR="00D136BB" w:rsidRPr="00594227">
        <w:rPr>
          <w:rFonts w:ascii="Times New Roman" w:hAnsi="Times New Roman" w:cs="Times New Roman"/>
          <w:sz w:val="24"/>
          <w:szCs w:val="24"/>
          <w:lang w:val="es-MX"/>
        </w:rPr>
        <w:t xml:space="preserve"> </w:t>
      </w:r>
      <w:r w:rsidRPr="00594227">
        <w:rPr>
          <w:rFonts w:ascii="Times New Roman" w:hAnsi="Times New Roman" w:cs="Times New Roman"/>
          <w:sz w:val="24"/>
          <w:szCs w:val="24"/>
          <w:lang w:val="es-MX"/>
        </w:rPr>
        <w:t>(2013).</w:t>
      </w:r>
    </w:p>
    <w:p w14:paraId="2F2BCFFE" w14:textId="77777777" w:rsidR="00312CCF" w:rsidRDefault="00312CCF" w:rsidP="008A4588">
      <w:pPr>
        <w:rPr>
          <w:rFonts w:ascii="Times New Roman" w:hAnsi="Times New Roman" w:cs="Times New Roman"/>
          <w:i/>
          <w:iCs/>
          <w:color w:val="548DD4" w:themeColor="text2" w:themeTint="99"/>
          <w:sz w:val="24"/>
          <w:szCs w:val="24"/>
        </w:rPr>
      </w:pPr>
    </w:p>
    <w:p w14:paraId="004E3A96" w14:textId="01E7A82F" w:rsidR="008A4588" w:rsidRPr="00594227" w:rsidRDefault="008A4588" w:rsidP="008A4588">
      <w:pPr>
        <w:rPr>
          <w:rFonts w:ascii="Times New Roman" w:hAnsi="Times New Roman" w:cs="Times New Roman"/>
          <w:i/>
          <w:iCs/>
          <w:color w:val="548DD4" w:themeColor="text2" w:themeTint="99"/>
          <w:sz w:val="24"/>
          <w:szCs w:val="24"/>
        </w:rPr>
      </w:pPr>
      <w:r w:rsidRPr="00594227">
        <w:rPr>
          <w:rFonts w:ascii="Times New Roman" w:hAnsi="Times New Roman" w:cs="Times New Roman"/>
          <w:i/>
          <w:iCs/>
          <w:color w:val="548DD4" w:themeColor="text2" w:themeTint="99"/>
          <w:sz w:val="24"/>
          <w:szCs w:val="24"/>
        </w:rPr>
        <w:t>Seguridad</w:t>
      </w:r>
      <w:r w:rsidR="00D136BB" w:rsidRPr="00594227">
        <w:rPr>
          <w:rFonts w:ascii="Times New Roman" w:hAnsi="Times New Roman" w:cs="Times New Roman"/>
          <w:i/>
          <w:iCs/>
          <w:color w:val="548DD4" w:themeColor="text2" w:themeTint="99"/>
          <w:sz w:val="24"/>
          <w:szCs w:val="24"/>
        </w:rPr>
        <w:t xml:space="preserve"> </w:t>
      </w:r>
      <w:r w:rsidRPr="00594227">
        <w:rPr>
          <w:rFonts w:ascii="Times New Roman" w:hAnsi="Times New Roman" w:cs="Times New Roman"/>
          <w:i/>
          <w:iCs/>
          <w:color w:val="548DD4" w:themeColor="text2" w:themeTint="99"/>
          <w:sz w:val="24"/>
          <w:szCs w:val="24"/>
        </w:rPr>
        <w:t>Radiológica</w:t>
      </w:r>
    </w:p>
    <w:p w14:paraId="0F48A393" w14:textId="77777777" w:rsidR="00312CCF" w:rsidRDefault="00312CCF" w:rsidP="00312CCF">
      <w:pPr>
        <w:numPr>
          <w:ilvl w:val="0"/>
          <w:numId w:val="69"/>
        </w:numPr>
        <w:spacing w:after="0" w:line="240" w:lineRule="auto"/>
        <w:ind w:left="567" w:hanging="567"/>
        <w:contextualSpacing/>
        <w:jc w:val="both"/>
        <w:rPr>
          <w:rFonts w:cstheme="minorHAnsi"/>
          <w:iCs/>
          <w:sz w:val="24"/>
          <w:szCs w:val="24"/>
        </w:rPr>
      </w:pPr>
      <w:r>
        <w:rPr>
          <w:rFonts w:cstheme="minorHAnsi"/>
          <w:iCs/>
          <w:sz w:val="24"/>
          <w:szCs w:val="24"/>
        </w:rPr>
        <w:t>OIEA SSG 46.</w:t>
      </w:r>
    </w:p>
    <w:p w14:paraId="70B7F971" w14:textId="77777777" w:rsidR="00312CCF" w:rsidRPr="00930AD5" w:rsidRDefault="00312CCF" w:rsidP="00312CCF">
      <w:pPr>
        <w:numPr>
          <w:ilvl w:val="0"/>
          <w:numId w:val="69"/>
        </w:numPr>
        <w:spacing w:after="0" w:line="240" w:lineRule="auto"/>
        <w:ind w:left="567" w:hanging="567"/>
        <w:contextualSpacing/>
        <w:jc w:val="both"/>
        <w:rPr>
          <w:rFonts w:cstheme="minorHAnsi"/>
          <w:iCs/>
          <w:sz w:val="24"/>
          <w:szCs w:val="24"/>
          <w:lang w:val="en-GB"/>
        </w:rPr>
      </w:pPr>
      <w:r w:rsidRPr="00930AD5">
        <w:rPr>
          <w:rFonts w:cstheme="minorHAnsi"/>
          <w:iCs/>
          <w:sz w:val="24"/>
          <w:szCs w:val="24"/>
          <w:lang w:val="en-GB"/>
        </w:rPr>
        <w:t>OIEA- WHO Bonn Call for Action.</w:t>
      </w:r>
    </w:p>
    <w:p w14:paraId="5CE96959" w14:textId="77777777" w:rsidR="00312CCF" w:rsidRDefault="00312CCF" w:rsidP="00312CCF">
      <w:pPr>
        <w:numPr>
          <w:ilvl w:val="0"/>
          <w:numId w:val="69"/>
        </w:numPr>
        <w:spacing w:after="0" w:line="240" w:lineRule="auto"/>
        <w:ind w:left="567" w:hanging="567"/>
        <w:contextualSpacing/>
        <w:jc w:val="both"/>
        <w:rPr>
          <w:rFonts w:cstheme="minorHAnsi"/>
          <w:iCs/>
          <w:sz w:val="24"/>
          <w:szCs w:val="24"/>
        </w:rPr>
      </w:pPr>
      <w:r>
        <w:rPr>
          <w:rFonts w:cstheme="minorHAnsi"/>
          <w:iCs/>
          <w:sz w:val="24"/>
          <w:szCs w:val="24"/>
        </w:rPr>
        <w:t>ORGANISMO INTERNACIONAL DE ENERGÍA ATOMICA, “Protección Radiológica y Seguridad de las Fuentes de Radiación: Normas Básicas Internacionales de Seguridad - Edición provisional”, GSR Parte 3, OIEA, Viena (2016).</w:t>
      </w:r>
    </w:p>
    <w:p w14:paraId="017B5A92" w14:textId="77777777" w:rsidR="00312CCF" w:rsidRDefault="00312CCF" w:rsidP="00312CCF">
      <w:pPr>
        <w:numPr>
          <w:ilvl w:val="0"/>
          <w:numId w:val="69"/>
        </w:numPr>
        <w:spacing w:after="0" w:line="240" w:lineRule="auto"/>
        <w:ind w:left="567" w:hanging="567"/>
        <w:contextualSpacing/>
        <w:jc w:val="both"/>
        <w:rPr>
          <w:rFonts w:cstheme="minorHAnsi"/>
          <w:iCs/>
          <w:sz w:val="24"/>
          <w:szCs w:val="24"/>
        </w:rPr>
      </w:pPr>
      <w:r>
        <w:rPr>
          <w:rFonts w:cstheme="minorHAnsi"/>
          <w:iCs/>
          <w:sz w:val="24"/>
          <w:szCs w:val="24"/>
        </w:rPr>
        <w:t>ORGANISMO INTERNACIONAL DE ENERGÍA ATOMICA, “Gestión Previa a las Disposición Final de Desechos Radiactivos”, Colección de Normas de Seguridad del OIEA, GSR Parte 5, OIEA, Viena (2010).</w:t>
      </w:r>
    </w:p>
    <w:p w14:paraId="744E4158" w14:textId="77777777" w:rsidR="00312CCF" w:rsidRDefault="00312CCF" w:rsidP="00312CCF">
      <w:pPr>
        <w:numPr>
          <w:ilvl w:val="0"/>
          <w:numId w:val="69"/>
        </w:numPr>
        <w:spacing w:after="0" w:line="240" w:lineRule="auto"/>
        <w:ind w:left="567" w:hanging="567"/>
        <w:contextualSpacing/>
        <w:jc w:val="both"/>
        <w:rPr>
          <w:rFonts w:cstheme="minorHAnsi"/>
          <w:iCs/>
          <w:sz w:val="24"/>
          <w:szCs w:val="24"/>
        </w:rPr>
      </w:pPr>
      <w:r>
        <w:rPr>
          <w:rFonts w:cstheme="minorHAnsi"/>
          <w:iCs/>
          <w:sz w:val="24"/>
          <w:szCs w:val="24"/>
        </w:rPr>
        <w:t>ORGANISMO INTERNACIONAL DE ENERGÍA ATOMICA, “Principios fundamentales de seguridad”, Colección de Normas de Seguridad del OIEA, SF-1, OIEA, Viena (2007).</w:t>
      </w:r>
    </w:p>
    <w:p w14:paraId="792DB08C" w14:textId="77777777" w:rsidR="00312CCF" w:rsidRDefault="00312CCF" w:rsidP="00312CCF">
      <w:pPr>
        <w:numPr>
          <w:ilvl w:val="0"/>
          <w:numId w:val="69"/>
        </w:numPr>
        <w:spacing w:after="0" w:line="240" w:lineRule="auto"/>
        <w:ind w:left="567" w:hanging="567"/>
        <w:contextualSpacing/>
        <w:jc w:val="both"/>
        <w:rPr>
          <w:rFonts w:cstheme="minorHAnsi"/>
          <w:iCs/>
          <w:sz w:val="24"/>
          <w:szCs w:val="24"/>
        </w:rPr>
      </w:pPr>
      <w:r>
        <w:rPr>
          <w:rFonts w:cstheme="minorHAnsi"/>
          <w:iCs/>
          <w:sz w:val="24"/>
          <w:szCs w:val="24"/>
        </w:rPr>
        <w:t>ORGANISMO INTERNACIONAL DE ENERGÍA ATOMICA, “Marco Gubernamental, Jurídico y Regulador para la Seguridad”, Colección de Normas de Seguridad del OIEA, GSR Parte 1, Rev.1, OIEA, Viena (2017).</w:t>
      </w:r>
    </w:p>
    <w:p w14:paraId="68DADFAC" w14:textId="77777777" w:rsidR="00312CCF" w:rsidRDefault="00312CCF" w:rsidP="00312CCF">
      <w:pPr>
        <w:numPr>
          <w:ilvl w:val="0"/>
          <w:numId w:val="69"/>
        </w:numPr>
        <w:spacing w:after="0" w:line="240" w:lineRule="auto"/>
        <w:ind w:left="567" w:hanging="567"/>
        <w:contextualSpacing/>
        <w:jc w:val="both"/>
        <w:rPr>
          <w:rFonts w:cstheme="minorHAnsi"/>
          <w:iCs/>
          <w:sz w:val="24"/>
          <w:szCs w:val="24"/>
        </w:rPr>
      </w:pPr>
      <w:r>
        <w:rPr>
          <w:rFonts w:cstheme="minorHAnsi"/>
          <w:iCs/>
          <w:sz w:val="24"/>
          <w:szCs w:val="24"/>
        </w:rPr>
        <w:t>Informe da la Reunión del Grupo de Seguimiento y Evaluación, que se llevó a cabo del 01 al 05 de abril de 2019.</w:t>
      </w:r>
    </w:p>
    <w:p w14:paraId="2FC3AA38"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Informe de la XX Reunión del OCTA.</w:t>
      </w:r>
    </w:p>
    <w:p w14:paraId="0065ECEE"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Informe de la XX Reunión del ORA.</w:t>
      </w:r>
    </w:p>
    <w:p w14:paraId="613F1DFB"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IAEA-TECDOC-1763 (PER 2016-2021).</w:t>
      </w:r>
    </w:p>
    <w:p w14:paraId="4D6E16E0"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Guía para Implementación del PER 2016-2021.</w:t>
      </w:r>
    </w:p>
    <w:p w14:paraId="13707ECC"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Convocatoria de Proyectos para el Ciclo 2022-2023.</w:t>
      </w:r>
    </w:p>
    <w:p w14:paraId="5DBD0F68"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Liderazgo y gestión en pro de la Seguridad. Requisitos de Seguridad Generales, Parte 2.</w:t>
      </w:r>
    </w:p>
    <w:p w14:paraId="3904E492"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Evaluación de la seguridad de las instalaciones y actividades. Requisitos de Seguridad Generales, Parte 4.</w:t>
      </w:r>
    </w:p>
    <w:p w14:paraId="0BC17C13"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Gestión previa a la disposición final de desechos radiactivos. Requisitos de Seguridad Generales, Parte 5.</w:t>
      </w:r>
    </w:p>
    <w:p w14:paraId="18C19FE0"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Clausura de instalaciones. Requisitos de Seguridad Generales, Parte 6.</w:t>
      </w:r>
    </w:p>
    <w:p w14:paraId="571F05FA"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Preparación y respuesta para emergencia nuclear o radiológica. Requisitos de Seguridad Generales, Parte 7.</w:t>
      </w:r>
    </w:p>
    <w:p w14:paraId="5C352B19" w14:textId="77777777" w:rsidR="00312CCF" w:rsidRDefault="00312CCF" w:rsidP="00312CCF">
      <w:pPr>
        <w:numPr>
          <w:ilvl w:val="0"/>
          <w:numId w:val="69"/>
        </w:numPr>
        <w:spacing w:before="120" w:after="0" w:line="240" w:lineRule="auto"/>
        <w:ind w:left="567" w:hanging="567"/>
        <w:rPr>
          <w:rFonts w:cstheme="minorHAnsi"/>
          <w:iCs/>
          <w:sz w:val="24"/>
          <w:szCs w:val="24"/>
        </w:rPr>
      </w:pPr>
      <w:r>
        <w:rPr>
          <w:rFonts w:cstheme="minorHAnsi"/>
          <w:iCs/>
          <w:sz w:val="24"/>
          <w:szCs w:val="24"/>
        </w:rPr>
        <w:t>Reglamento para el Transporte Seguro de Materiales Radiactivos. Requisitos de Seguridad Específicos N° SSR-6 (Rev.1) (2018).</w:t>
      </w:r>
    </w:p>
    <w:p w14:paraId="7EC351C5" w14:textId="77777777" w:rsidR="00312CCF" w:rsidRDefault="00312CCF" w:rsidP="00312CCF">
      <w:pPr>
        <w:numPr>
          <w:ilvl w:val="0"/>
          <w:numId w:val="69"/>
        </w:numPr>
        <w:spacing w:after="0" w:line="240" w:lineRule="auto"/>
        <w:ind w:left="567" w:hanging="567"/>
        <w:contextualSpacing/>
        <w:jc w:val="both"/>
        <w:rPr>
          <w:rFonts w:cstheme="minorHAnsi"/>
          <w:iCs/>
          <w:sz w:val="24"/>
          <w:szCs w:val="24"/>
        </w:rPr>
      </w:pPr>
      <w:r>
        <w:rPr>
          <w:rFonts w:cstheme="minorHAnsi"/>
          <w:iCs/>
          <w:sz w:val="24"/>
          <w:szCs w:val="24"/>
        </w:rPr>
        <w:t>Antecedentes, Metodología y Proceso de Elaboración del PER para América Latina y El Caribe.</w:t>
      </w:r>
    </w:p>
    <w:p w14:paraId="2624DDCA" w14:textId="77777777" w:rsidR="00312CCF" w:rsidRDefault="00312CCF" w:rsidP="00312CCF">
      <w:pPr>
        <w:numPr>
          <w:ilvl w:val="0"/>
          <w:numId w:val="69"/>
        </w:numPr>
        <w:spacing w:after="0" w:line="240" w:lineRule="auto"/>
        <w:ind w:left="567" w:hanging="567"/>
        <w:contextualSpacing/>
        <w:jc w:val="both"/>
        <w:rPr>
          <w:rFonts w:cstheme="minorHAnsi"/>
          <w:iCs/>
          <w:sz w:val="24"/>
          <w:szCs w:val="24"/>
        </w:rPr>
      </w:pPr>
      <w:r>
        <w:rPr>
          <w:rFonts w:cstheme="minorHAnsi"/>
          <w:iCs/>
          <w:sz w:val="24"/>
          <w:szCs w:val="24"/>
        </w:rPr>
        <w:lastRenderedPageBreak/>
        <w:t>Objetivos de Desarrollo Sostenibles de la Organización de las Naciones Unidas.</w:t>
      </w:r>
    </w:p>
    <w:p w14:paraId="6F5D6586" w14:textId="77777777" w:rsidR="00312CCF" w:rsidRDefault="00312CCF" w:rsidP="00312CCF"/>
    <w:p w14:paraId="7377A3AE" w14:textId="4690886A" w:rsidR="008A4588" w:rsidRPr="00594227" w:rsidRDefault="008A4588" w:rsidP="008A4588">
      <w:pPr>
        <w:rPr>
          <w:rFonts w:ascii="Times New Roman" w:hAnsi="Times New Roman" w:cs="Times New Roman"/>
          <w:i/>
          <w:iCs/>
          <w:color w:val="548DD4" w:themeColor="text2" w:themeTint="99"/>
          <w:sz w:val="24"/>
          <w:szCs w:val="24"/>
        </w:rPr>
      </w:pPr>
      <w:r w:rsidRPr="00594227">
        <w:rPr>
          <w:rFonts w:ascii="Times New Roman" w:hAnsi="Times New Roman" w:cs="Times New Roman"/>
          <w:i/>
          <w:iCs/>
          <w:color w:val="548DD4" w:themeColor="text2" w:themeTint="99"/>
          <w:sz w:val="24"/>
          <w:szCs w:val="24"/>
        </w:rPr>
        <w:t>Tecnologías</w:t>
      </w:r>
      <w:r w:rsidR="00D136BB" w:rsidRPr="00594227">
        <w:rPr>
          <w:rFonts w:ascii="Times New Roman" w:hAnsi="Times New Roman" w:cs="Times New Roman"/>
          <w:i/>
          <w:iCs/>
          <w:color w:val="548DD4" w:themeColor="text2" w:themeTint="99"/>
          <w:sz w:val="24"/>
          <w:szCs w:val="24"/>
        </w:rPr>
        <w:t xml:space="preserve"> </w:t>
      </w:r>
      <w:r w:rsidRPr="00594227">
        <w:rPr>
          <w:rFonts w:ascii="Times New Roman" w:hAnsi="Times New Roman" w:cs="Times New Roman"/>
          <w:i/>
          <w:iCs/>
          <w:color w:val="548DD4" w:themeColor="text2" w:themeTint="99"/>
          <w:sz w:val="24"/>
          <w:szCs w:val="24"/>
        </w:rPr>
        <w:t>con</w:t>
      </w:r>
      <w:r w:rsidR="00D136BB" w:rsidRPr="00594227">
        <w:rPr>
          <w:rFonts w:ascii="Times New Roman" w:hAnsi="Times New Roman" w:cs="Times New Roman"/>
          <w:i/>
          <w:iCs/>
          <w:color w:val="548DD4" w:themeColor="text2" w:themeTint="99"/>
          <w:sz w:val="24"/>
          <w:szCs w:val="24"/>
        </w:rPr>
        <w:t xml:space="preserve"> </w:t>
      </w:r>
      <w:r w:rsidRPr="00594227">
        <w:rPr>
          <w:rFonts w:ascii="Times New Roman" w:hAnsi="Times New Roman" w:cs="Times New Roman"/>
          <w:i/>
          <w:iCs/>
          <w:color w:val="548DD4" w:themeColor="text2" w:themeTint="99"/>
          <w:sz w:val="24"/>
          <w:szCs w:val="24"/>
        </w:rPr>
        <w:t>Radiación</w:t>
      </w:r>
    </w:p>
    <w:p w14:paraId="4FCF3522" w14:textId="77777777" w:rsidR="008A4588" w:rsidRPr="00594227" w:rsidRDefault="008A4588" w:rsidP="008A4588">
      <w:pPr>
        <w:pStyle w:val="Heading1"/>
        <w:numPr>
          <w:ilvl w:val="0"/>
          <w:numId w:val="0"/>
        </w:numPr>
        <w:rPr>
          <w:rFonts w:ascii="Times New Roman" w:hAnsi="Times New Roman" w:cs="Times New Roman"/>
          <w:sz w:val="24"/>
          <w:szCs w:val="24"/>
        </w:rPr>
      </w:pPr>
      <w:r w:rsidRPr="00594227">
        <w:rPr>
          <w:rFonts w:ascii="Times New Roman" w:hAnsi="Times New Roman" w:cs="Times New Roman"/>
          <w:sz w:val="24"/>
          <w:szCs w:val="24"/>
        </w:rPr>
        <w:fldChar w:fldCharType="begin"/>
      </w:r>
      <w:r w:rsidRPr="00594227">
        <w:rPr>
          <w:rFonts w:ascii="Times New Roman" w:hAnsi="Times New Roman" w:cs="Times New Roman"/>
          <w:sz w:val="24"/>
          <w:szCs w:val="24"/>
        </w:rPr>
        <w:instrText xml:space="preserve"> SEQ Ref \h \r0 \* MERGEFORMAT </w:instrText>
      </w:r>
      <w:r w:rsidRPr="00594227">
        <w:rPr>
          <w:rFonts w:ascii="Times New Roman" w:hAnsi="Times New Roman" w:cs="Times New Roman"/>
          <w:sz w:val="24"/>
          <w:szCs w:val="24"/>
        </w:rPr>
        <w:fldChar w:fldCharType="end"/>
      </w:r>
    </w:p>
    <w:p w14:paraId="5B363AFB" w14:textId="53B18122"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Protection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Safety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Sources: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Basic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Safety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Standards,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(2011).</w:t>
      </w:r>
    </w:p>
    <w:p w14:paraId="4A81A306" w14:textId="12ECABB6"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Sitio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web</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Banco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Mundial;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http://datos.bancomundial.org/region/LAC</w:t>
      </w:r>
      <w:r w:rsidR="00D136BB" w:rsidRPr="00594227">
        <w:rPr>
          <w:rFonts w:ascii="Times New Roman" w:hAnsi="Times New Roman" w:cs="Times New Roman"/>
          <w:sz w:val="24"/>
          <w:szCs w:val="24"/>
          <w:lang w:val="es-ES"/>
        </w:rPr>
        <w:t xml:space="preserve"> </w:t>
      </w:r>
    </w:p>
    <w:p w14:paraId="6A57EFF9" w14:textId="1ED6A6F5"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ORGANIZACIÓN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NACIONES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UNIDAS.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Objetivos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Desarrollo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Milenio,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Informe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2013,</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ONU,</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(2013).</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Disponible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w:t>
      </w:r>
      <w:r w:rsidR="00D136BB" w:rsidRPr="00594227">
        <w:rPr>
          <w:rFonts w:ascii="Times New Roman" w:hAnsi="Times New Roman" w:cs="Times New Roman"/>
          <w:sz w:val="24"/>
          <w:szCs w:val="24"/>
          <w:lang w:val="es-ES"/>
        </w:rPr>
        <w:t xml:space="preserve"> </w:t>
      </w:r>
      <w:hyperlink r:id="rId62" w:history="1">
        <w:r w:rsidRPr="00594227">
          <w:rPr>
            <w:rStyle w:val="Hyperlink"/>
            <w:rFonts w:ascii="Times New Roman" w:hAnsi="Times New Roman" w:cs="Times New Roman"/>
            <w:sz w:val="24"/>
            <w:szCs w:val="24"/>
            <w:lang w:val="es-ES"/>
          </w:rPr>
          <w:t>http://www.un.org/es/millenniumgoals/pdf/mdg-report-2013-spanish.pdf</w:t>
        </w:r>
      </w:hyperlink>
      <w:r w:rsidR="00D136BB" w:rsidRPr="00594227">
        <w:rPr>
          <w:rFonts w:ascii="Times New Roman" w:hAnsi="Times New Roman" w:cs="Times New Roman"/>
          <w:sz w:val="24"/>
          <w:szCs w:val="24"/>
          <w:lang w:val="es-ES"/>
        </w:rPr>
        <w:t xml:space="preserve"> </w:t>
      </w:r>
    </w:p>
    <w:p w14:paraId="4A9E18A5" w14:textId="668EDB3C"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OCDE-CEPAL.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Perspectivas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Económicas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América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Latina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2013,</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(2013).</w:t>
      </w:r>
      <w:r w:rsidR="00D136BB" w:rsidRPr="00594227">
        <w:rPr>
          <w:rFonts w:ascii="Times New Roman" w:hAnsi="Times New Roman" w:cs="Times New Roman"/>
          <w:sz w:val="24"/>
          <w:szCs w:val="24"/>
          <w:lang w:val="es-ES"/>
        </w:rPr>
        <w:t xml:space="preserve"> </w:t>
      </w:r>
      <w:hyperlink r:id="rId63" w:history="1">
        <w:r w:rsidRPr="00594227">
          <w:rPr>
            <w:rStyle w:val="Hyperlink"/>
            <w:rFonts w:ascii="Times New Roman" w:hAnsi="Times New Roman" w:cs="Times New Roman"/>
            <w:sz w:val="24"/>
            <w:szCs w:val="24"/>
            <w:lang w:val="es-ES"/>
          </w:rPr>
          <w:t>http://www.eclac.org/publicaciones/xml/4/48374/LEO_2013.pdf</w:t>
        </w:r>
      </w:hyperlink>
      <w:r w:rsidR="00D136BB" w:rsidRPr="00594227">
        <w:rPr>
          <w:rFonts w:ascii="Times New Roman" w:hAnsi="Times New Roman" w:cs="Times New Roman"/>
          <w:sz w:val="24"/>
          <w:szCs w:val="24"/>
          <w:lang w:val="es-ES"/>
        </w:rPr>
        <w:t xml:space="preserve"> </w:t>
      </w:r>
    </w:p>
    <w:p w14:paraId="2E244F14" w14:textId="40CD7192"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COMISIÓN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ECONÓMICA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PARA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AMÉRICA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LATINA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CARIBE,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Estudio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Económico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América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Latina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Caribe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2013,</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CEPAL,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(2013).</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Disponible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http://www.eclac.cl/cgi-bin/getProd.asp?xml=/publicaciones/xml/4/50484/P50484.xml&amp;xsl=/publicaciones/ficha.xsl&amp;base=/publicaciones/top_publicaciones.xsl</w:t>
      </w:r>
    </w:p>
    <w:p w14:paraId="41FA83A3" w14:textId="617BE154"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BANCO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INTERAMERICANO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DESARROLLO,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Informe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1999,</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IDB,</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(2000).</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Disponible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http://www8.iadb.org/en/publications/publications,4126.html?country=country_en%3D%3DGuyana&amp;doctype=&amp;docTypeID=AllPublic&amp;searchLang=&amp;keyword=&amp;selectList=All&amp;topicDetail=0&amp;tagDetail=0&amp;jelcodeDetail=0&amp;publicationCover=0&amp;topic=BIOF%3BAGRI7.</w:t>
      </w:r>
      <w:r w:rsidR="00D136BB" w:rsidRPr="00594227">
        <w:rPr>
          <w:rFonts w:ascii="Times New Roman" w:hAnsi="Times New Roman" w:cs="Times New Roman"/>
          <w:sz w:val="24"/>
          <w:szCs w:val="24"/>
          <w:lang w:val="es-ES"/>
        </w:rPr>
        <w:t xml:space="preserve"> </w:t>
      </w:r>
    </w:p>
    <w:p w14:paraId="4298E818" w14:textId="689A5783"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ORGANIZACION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NACIONES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UNIDAS,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GEO,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Anuario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2006.</w:t>
      </w:r>
    </w:p>
    <w:p w14:paraId="7F0CBF6D" w14:textId="77DF4F56"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COMISIÓN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ECONÓMICA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PARA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AMÉRICA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LATINA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CARIBE,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Anuario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Estadístico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América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Latina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Caribe,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CEPAL,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Santiago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Chile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(2012).</w:t>
      </w:r>
    </w:p>
    <w:p w14:paraId="2718A937" w14:textId="28819B21"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ORGANISMO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INTERNACIONAL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ENERGÍA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ATOMICA,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“Principios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fundamentales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seguridad”,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Colección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Normas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Seguridad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OIEA,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SF-1,</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OIEA,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Viena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(2007).</w:t>
      </w:r>
    </w:p>
    <w:p w14:paraId="78207D1E" w14:textId="143FD288"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ORGANISMO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INTERNACIONAL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ENERGÍA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ATOMICA,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“Marco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Gubernamental,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Jurídico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Regulador</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para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Seguridad”,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Colección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Normas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Seguridad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OIEA,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GSR</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Parte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1,</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OIEA,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Viena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(2010).</w:t>
      </w:r>
    </w:p>
    <w:p w14:paraId="116CD572" w14:textId="1CB2DA91"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ORGANISMO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INTERNACIONAL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ENERGÍA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ATOMICA,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“Protección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Radiológica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Seguridad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Fuentes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Radiación: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Normas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Básicas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Internacionales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Seguridad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Edición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provisional”,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GSR</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Parte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3,</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OIEA,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Viena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(2011).</w:t>
      </w:r>
    </w:p>
    <w:p w14:paraId="17453F79" w14:textId="0F566A9C"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ORGANISMO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INTERNACIONAL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ENERGÍA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ATOMICA,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“Gestión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Previa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Disposición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Final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Desechos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Radiactivos”,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Colección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Normas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Seguridad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OIEA,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GSR</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Parte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5,</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OIEA,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Viena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(2010).</w:t>
      </w:r>
    </w:p>
    <w:p w14:paraId="56A0BC41" w14:textId="0042D7E6"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Brochure,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Radioisotope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troubleshooting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optimizing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processes,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(2002).</w:t>
      </w:r>
    </w:p>
    <w:p w14:paraId="6F62E566" w14:textId="1328F1FA"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Brochure,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Tracer’s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oil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field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investigations,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(2003).</w:t>
      </w:r>
    </w:p>
    <w:p w14:paraId="40076773" w14:textId="5A717966"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lastRenderedPageBreak/>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Brochure,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leak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detection,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(2004).</w:t>
      </w:r>
    </w:p>
    <w:p w14:paraId="7718881B" w14:textId="66510EC6"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Brochure,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Diagnosis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reactors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RTD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(2005).</w:t>
      </w:r>
    </w:p>
    <w:p w14:paraId="032A7224" w14:textId="15908557"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Jiri</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Thyn,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Rudolf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Zitny,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et.al,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Analysis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Diagnostics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Processes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Radioisotope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Sealed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Sources,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Vydavatelstvi</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CVUT,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Praha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(2000).</w:t>
      </w:r>
    </w:p>
    <w:p w14:paraId="0E698C26" w14:textId="10E65588"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fr-FR"/>
        </w:rPr>
      </w:pPr>
      <w:r w:rsidRPr="00594227">
        <w:rPr>
          <w:rFonts w:ascii="Times New Roman" w:hAnsi="Times New Roman" w:cs="Times New Roman"/>
          <w:sz w:val="24"/>
          <w:szCs w:val="24"/>
          <w:lang w:val="fr-FR"/>
        </w:rPr>
        <w:t>Alain</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Caillot,</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La</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radioactivité</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au</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Service</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de</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L’industrie</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et</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de</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L’environnement,</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Lavoisier</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ISBN:</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2-7430-0491-6,</w:t>
      </w:r>
      <w:r w:rsidR="00D136BB" w:rsidRPr="00594227">
        <w:rPr>
          <w:rFonts w:ascii="Times New Roman" w:hAnsi="Times New Roman" w:cs="Times New Roman"/>
          <w:sz w:val="24"/>
          <w:szCs w:val="24"/>
          <w:lang w:val="fr-FR"/>
        </w:rPr>
        <w:t xml:space="preserve"> </w:t>
      </w:r>
      <w:r w:rsidRPr="00594227">
        <w:rPr>
          <w:rFonts w:ascii="Times New Roman" w:hAnsi="Times New Roman" w:cs="Times New Roman"/>
          <w:sz w:val="24"/>
          <w:szCs w:val="24"/>
          <w:lang w:val="fr-FR"/>
        </w:rPr>
        <w:t>(2002).</w:t>
      </w:r>
    </w:p>
    <w:p w14:paraId="023242B6" w14:textId="53216B25"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n-US"/>
        </w:rPr>
        <w:t>Geir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Anton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Johansen,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Peter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Jackson,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Radioisotope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Gauges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Process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Measurements,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John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Wiley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&amp;Sons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Ltd.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s-ES"/>
        </w:rPr>
        <w:t>ISBN:</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0-471-48999-9,</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(2004).</w:t>
      </w:r>
    </w:p>
    <w:p w14:paraId="5D35ED5F" w14:textId="3AA58D32"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Cleland,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Electron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Accelerators.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CERN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Accelerator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School.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Available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w:t>
      </w:r>
      <w:r w:rsidR="00D136BB" w:rsidRPr="00594227">
        <w:rPr>
          <w:rFonts w:ascii="Times New Roman" w:hAnsi="Times New Roman" w:cs="Times New Roman"/>
          <w:sz w:val="24"/>
          <w:szCs w:val="24"/>
          <w:lang w:val="en-US"/>
        </w:rPr>
        <w:t xml:space="preserve">  </w:t>
      </w:r>
      <w:hyperlink r:id="rId64" w:history="1">
        <w:r w:rsidRPr="00594227">
          <w:rPr>
            <w:rStyle w:val="Hyperlink"/>
            <w:rFonts w:ascii="Times New Roman" w:hAnsi="Times New Roman" w:cs="Times New Roman"/>
            <w:sz w:val="24"/>
            <w:szCs w:val="24"/>
            <w:lang w:val="en-US"/>
          </w:rPr>
          <w:t>http://cas.web.cern.ch/cas/Holland/PDF-lectures/Cleland/School-2.pdf</w:t>
        </w:r>
      </w:hyperlink>
      <w:r w:rsidR="00D136BB" w:rsidRPr="00594227">
        <w:rPr>
          <w:rFonts w:ascii="Times New Roman" w:hAnsi="Times New Roman" w:cs="Times New Roman"/>
          <w:sz w:val="24"/>
          <w:szCs w:val="24"/>
          <w:lang w:val="en-US"/>
        </w:rPr>
        <w:t xml:space="preserve"> </w:t>
      </w:r>
    </w:p>
    <w:p w14:paraId="78E04AA0" w14:textId="20F4E5CD"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Technology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Techniques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interwell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studies,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3,</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(2012).</w:t>
      </w:r>
    </w:p>
    <w:p w14:paraId="4F9BC94B" w14:textId="37788AFD"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Technology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generators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5,</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(2013).</w:t>
      </w:r>
    </w:p>
    <w:p w14:paraId="2686351D" w14:textId="454D0461"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Layer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Activation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method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its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924,</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(1997).</w:t>
      </w:r>
    </w:p>
    <w:p w14:paraId="05B05E79" w14:textId="51B96F95"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Emerging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new</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nucleonic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control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systems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1142,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(2000).</w:t>
      </w:r>
    </w:p>
    <w:p w14:paraId="5A24FFA1" w14:textId="0609644E"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Integration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tracing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with</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computational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fluid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dynamics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process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investigation,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1142,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(2004).</w:t>
      </w:r>
    </w:p>
    <w:p w14:paraId="586F9BC1" w14:textId="6DF1B010"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Technical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data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nucleonic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gauges,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1459,</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(2005).</w:t>
      </w:r>
    </w:p>
    <w:p w14:paraId="4CB713E7" w14:textId="7DF99965"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process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gamma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tomography,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1589,</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(2008).</w:t>
      </w:r>
    </w:p>
    <w:p w14:paraId="26836820" w14:textId="65FFC439"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technology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applied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1262,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(2001).</w:t>
      </w:r>
    </w:p>
    <w:p w14:paraId="1A3E59FC" w14:textId="57DC30C3"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Residence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Time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Distribution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method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environmental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31,</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(2008).</w:t>
      </w:r>
    </w:p>
    <w:p w14:paraId="650EE186" w14:textId="601542A8"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Leak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detection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heat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exchangers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underground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pipelines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using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38,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(2009).</w:t>
      </w:r>
    </w:p>
    <w:p w14:paraId="06EECEBD" w14:textId="6F970C6D"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Radiotracers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applications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wastewater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treatment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plants,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No.49,</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(2011).</w:t>
      </w:r>
    </w:p>
    <w:p w14:paraId="127DE235" w14:textId="5E605A57"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Non-destructive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Guidebook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management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quality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control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personnel,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No.9,</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(1999).</w:t>
      </w:r>
    </w:p>
    <w:p w14:paraId="025BD1EA" w14:textId="0AE5AB83"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lastRenderedPageBreak/>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Ultrasonic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Materials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level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manual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syllabi</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contained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IAEA-TECDOC-628,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No.10,</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(1999).</w:t>
      </w:r>
    </w:p>
    <w:p w14:paraId="1790BC80" w14:textId="3BB18152"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Industrial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Radiography,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manual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syllabi</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contained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IAEA-TECDOC-628,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No.3,</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(2000).</w:t>
      </w:r>
    </w:p>
    <w:p w14:paraId="269C40B6" w14:textId="576C5B9A"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Liquid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penetrant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magnetic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particle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level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manual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syllabi</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contained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IAEA-TECDOC-628,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No.11,</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(2000).</w:t>
      </w:r>
    </w:p>
    <w:p w14:paraId="536B582A" w14:textId="0B1CA2AF"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Guidebook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fabrication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non-destructive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specimens,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13,</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(2001).</w:t>
      </w:r>
    </w:p>
    <w:p w14:paraId="58221920" w14:textId="53509125"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NDT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techniques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plant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life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assessment,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26,</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(2005).</w:t>
      </w:r>
    </w:p>
    <w:p w14:paraId="2F2AC09C" w14:textId="2E66B990"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Guidebook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establishing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sustainable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accredited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system</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qualification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certification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personnel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non-destructive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No.34,</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(2009).</w:t>
      </w:r>
    </w:p>
    <w:p w14:paraId="162BEE4D" w14:textId="58B3DBB6"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NDT,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sample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questions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conduct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examinations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Levels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No.5,</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(2010).</w:t>
      </w:r>
    </w:p>
    <w:p w14:paraId="2E61BA58" w14:textId="1D13D846"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Eddy-current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Level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manual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Syllabi</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contained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TECDOC-628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Rev.</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No.48,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(2011).</w:t>
      </w:r>
    </w:p>
    <w:p w14:paraId="7636888C" w14:textId="123C10D9"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guidelines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NDT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techniques: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Manual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leak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Level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No.52,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(2012).</w:t>
      </w:r>
    </w:p>
    <w:p w14:paraId="2521671C" w14:textId="286C2564"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guidelines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NDT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techniques: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Manual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visual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Level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Course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Series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No.54,</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(2013).</w:t>
      </w:r>
    </w:p>
    <w:p w14:paraId="0D7D6794" w14:textId="0EAB6B01"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Guidelines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Non-Destructive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Techniques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No.628,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(1991).</w:t>
      </w:r>
    </w:p>
    <w:p w14:paraId="1EFB5A68" w14:textId="29474B7F"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Guidelines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Non-Destructive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Techniques,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No.628,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Revision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1,</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(2002).</w:t>
      </w:r>
    </w:p>
    <w:p w14:paraId="2BC7FFC1" w14:textId="0A15CE2C"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Training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Guidelines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Non-Destructive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Testing</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Techniques,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No.628,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Revision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(2008).</w:t>
      </w:r>
    </w:p>
    <w:p w14:paraId="32AB5CE4" w14:textId="1E6E0306"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INTERNATIONAL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ENERGY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AGENCY,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Development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protocols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corrosion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deposit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evaluation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large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diameter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pipes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radiography,</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TECDOCS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No.1445,</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IAEA,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Vienna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(2005).</w:t>
      </w:r>
    </w:p>
    <w:p w14:paraId="73175F22" w14:textId="5A5E01D2"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t>World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Bank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Indicators.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Available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at:</w:t>
      </w:r>
      <w:r w:rsidR="00D136BB" w:rsidRPr="00594227">
        <w:rPr>
          <w:rFonts w:ascii="Times New Roman" w:hAnsi="Times New Roman" w:cs="Times New Roman"/>
          <w:sz w:val="24"/>
          <w:szCs w:val="24"/>
          <w:lang w:val="en-US"/>
        </w:rPr>
        <w:t xml:space="preserve"> </w:t>
      </w:r>
      <w:hyperlink r:id="rId65" w:history="1">
        <w:r w:rsidRPr="00594227">
          <w:rPr>
            <w:rStyle w:val="Hyperlink"/>
            <w:rFonts w:ascii="Times New Roman" w:hAnsi="Times New Roman" w:cs="Times New Roman"/>
            <w:sz w:val="24"/>
            <w:szCs w:val="24"/>
            <w:lang w:val="en-US"/>
          </w:rPr>
          <w:t>http://data.worldbank.org/indicator</w:t>
        </w:r>
      </w:hyperlink>
      <w:r w:rsidR="00D136BB" w:rsidRPr="00594227">
        <w:rPr>
          <w:rFonts w:ascii="Times New Roman" w:hAnsi="Times New Roman" w:cs="Times New Roman"/>
          <w:sz w:val="24"/>
          <w:szCs w:val="24"/>
          <w:lang w:val="en-US"/>
        </w:rPr>
        <w:t xml:space="preserve"> </w:t>
      </w:r>
    </w:p>
    <w:p w14:paraId="62A9800E" w14:textId="1B4F41AC"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s-ES"/>
        </w:rPr>
        <w:t>BANCO</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MUNDIAL,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"América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Latina</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y</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el</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Caribe."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Datos,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Web.</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6,</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(2014).</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Disponible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en:</w:t>
      </w:r>
      <w:r w:rsidR="00D136BB" w:rsidRPr="00594227">
        <w:rPr>
          <w:rFonts w:ascii="Times New Roman" w:hAnsi="Times New Roman" w:cs="Times New Roman"/>
          <w:sz w:val="24"/>
          <w:szCs w:val="24"/>
          <w:lang w:val="es-ES"/>
        </w:rPr>
        <w:t xml:space="preserve"> </w:t>
      </w:r>
      <w:hyperlink r:id="rId66" w:history="1">
        <w:r w:rsidRPr="00594227">
          <w:rPr>
            <w:rStyle w:val="Hyperlink"/>
            <w:rFonts w:ascii="Times New Roman" w:hAnsi="Times New Roman" w:cs="Times New Roman"/>
            <w:sz w:val="24"/>
            <w:szCs w:val="24"/>
            <w:lang w:val="es-ES"/>
          </w:rPr>
          <w:t>http://datos.bancomundial.org/region/LAC</w:t>
        </w:r>
      </w:hyperlink>
      <w:r w:rsidR="00D136BB" w:rsidRPr="00594227">
        <w:rPr>
          <w:rFonts w:ascii="Times New Roman" w:hAnsi="Times New Roman" w:cs="Times New Roman"/>
          <w:sz w:val="24"/>
          <w:szCs w:val="24"/>
          <w:lang w:val="es-ES"/>
        </w:rPr>
        <w:t xml:space="preserve"> </w:t>
      </w:r>
    </w:p>
    <w:p w14:paraId="1BA277B9" w14:textId="154B678E"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n-US"/>
        </w:rPr>
        <w:t>World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Population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Prospects: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2008</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Revision.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s-ES"/>
        </w:rPr>
        <w:t>United</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Nations,</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(2009).</w:t>
      </w:r>
    </w:p>
    <w:p w14:paraId="42D7B77E" w14:textId="78BED5E0"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s-ES"/>
        </w:rPr>
      </w:pPr>
      <w:r w:rsidRPr="00594227">
        <w:rPr>
          <w:rFonts w:ascii="Times New Roman" w:hAnsi="Times New Roman" w:cs="Times New Roman"/>
          <w:sz w:val="24"/>
          <w:szCs w:val="24"/>
          <w:lang w:val="en-US"/>
        </w:rPr>
        <w:t>Population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Division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Department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Economic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Social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Affairs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of</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United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Nations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Secretariat</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World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Population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Prospects:</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2012</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Revision,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UN,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New</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York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(2013).</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s-ES"/>
        </w:rPr>
        <w:t>Available</w:t>
      </w:r>
      <w:r w:rsidR="00D136BB" w:rsidRPr="00594227">
        <w:rPr>
          <w:rFonts w:ascii="Times New Roman" w:hAnsi="Times New Roman" w:cs="Times New Roman"/>
          <w:sz w:val="24"/>
          <w:szCs w:val="24"/>
          <w:lang w:val="es-ES"/>
        </w:rPr>
        <w:t xml:space="preserve"> </w:t>
      </w:r>
      <w:r w:rsidRPr="00594227">
        <w:rPr>
          <w:rFonts w:ascii="Times New Roman" w:hAnsi="Times New Roman" w:cs="Times New Roman"/>
          <w:sz w:val="24"/>
          <w:szCs w:val="24"/>
          <w:lang w:val="es-ES"/>
        </w:rPr>
        <w:t>at:</w:t>
      </w:r>
      <w:r w:rsidR="00D136BB" w:rsidRPr="00594227">
        <w:rPr>
          <w:rFonts w:ascii="Times New Roman" w:hAnsi="Times New Roman" w:cs="Times New Roman"/>
          <w:sz w:val="24"/>
          <w:szCs w:val="24"/>
          <w:lang w:val="es-ES"/>
        </w:rPr>
        <w:t xml:space="preserve"> </w:t>
      </w:r>
      <w:hyperlink r:id="rId67" w:history="1">
        <w:r w:rsidRPr="00594227">
          <w:rPr>
            <w:rStyle w:val="Hyperlink"/>
            <w:rFonts w:ascii="Times New Roman" w:hAnsi="Times New Roman" w:cs="Times New Roman"/>
            <w:sz w:val="24"/>
            <w:szCs w:val="24"/>
            <w:lang w:val="es-ES"/>
          </w:rPr>
          <w:t>http://esa.un.org/wpp/</w:t>
        </w:r>
      </w:hyperlink>
      <w:r w:rsidR="00D136BB" w:rsidRPr="00594227">
        <w:rPr>
          <w:rFonts w:ascii="Times New Roman" w:hAnsi="Times New Roman" w:cs="Times New Roman"/>
          <w:sz w:val="24"/>
          <w:szCs w:val="24"/>
          <w:lang w:val="es-ES"/>
        </w:rPr>
        <w:t xml:space="preserve">  </w:t>
      </w:r>
    </w:p>
    <w:p w14:paraId="68A73AF5" w14:textId="26AE2103" w:rsidR="008A4588" w:rsidRPr="00594227" w:rsidRDefault="008A4588" w:rsidP="008A4588">
      <w:pPr>
        <w:pStyle w:val="ListParagraph"/>
        <w:numPr>
          <w:ilvl w:val="0"/>
          <w:numId w:val="14"/>
        </w:numPr>
        <w:spacing w:after="200" w:line="276" w:lineRule="auto"/>
        <w:jc w:val="both"/>
        <w:rPr>
          <w:rFonts w:ascii="Times New Roman" w:hAnsi="Times New Roman" w:cs="Times New Roman"/>
          <w:sz w:val="24"/>
          <w:szCs w:val="24"/>
          <w:lang w:val="en-US"/>
        </w:rPr>
      </w:pPr>
      <w:r w:rsidRPr="00594227">
        <w:rPr>
          <w:rFonts w:ascii="Times New Roman" w:hAnsi="Times New Roman" w:cs="Times New Roman"/>
          <w:sz w:val="24"/>
          <w:szCs w:val="24"/>
          <w:lang w:val="en-US"/>
        </w:rPr>
        <w:lastRenderedPageBreak/>
        <w:t>ECONOMIC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COMISSION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LATIN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AMERICA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CARIBBEAN,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Statistical</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Yearbook</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for</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Latin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America</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and</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the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Caribbean,</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ECLAC,</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Santiago</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de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Chile</w:t>
      </w:r>
      <w:r w:rsidR="00D136BB" w:rsidRPr="00594227">
        <w:rPr>
          <w:rFonts w:ascii="Times New Roman" w:hAnsi="Times New Roman" w:cs="Times New Roman"/>
          <w:sz w:val="24"/>
          <w:szCs w:val="24"/>
          <w:lang w:val="en-US"/>
        </w:rPr>
        <w:t xml:space="preserve"> </w:t>
      </w:r>
      <w:r w:rsidRPr="00594227">
        <w:rPr>
          <w:rFonts w:ascii="Times New Roman" w:hAnsi="Times New Roman" w:cs="Times New Roman"/>
          <w:sz w:val="24"/>
          <w:szCs w:val="24"/>
          <w:lang w:val="en-US"/>
        </w:rPr>
        <w:t>(2012).</w:t>
      </w:r>
    </w:p>
    <w:p w14:paraId="728DAF34" w14:textId="6F93B87B" w:rsidR="008A4588" w:rsidRPr="00594227" w:rsidRDefault="00D136BB" w:rsidP="008A4588">
      <w:pPr>
        <w:rPr>
          <w:rFonts w:ascii="Times New Roman" w:hAnsi="Times New Roman" w:cs="Times New Roman"/>
          <w:color w:val="595959" w:themeColor="text1" w:themeTint="A6"/>
          <w:sz w:val="24"/>
          <w:szCs w:val="24"/>
          <w:lang w:val="en-GB"/>
        </w:rPr>
      </w:pPr>
      <w:r w:rsidRPr="00594227">
        <w:rPr>
          <w:rFonts w:ascii="Times New Roman" w:hAnsi="Times New Roman" w:cs="Times New Roman"/>
          <w:color w:val="595959" w:themeColor="text1" w:themeTint="A6"/>
          <w:sz w:val="24"/>
          <w:szCs w:val="24"/>
          <w:lang w:val="en-GB"/>
        </w:rPr>
        <w:t xml:space="preserve"> </w:t>
      </w:r>
    </w:p>
    <w:p w14:paraId="22CD2081" w14:textId="29129562" w:rsidR="00892476" w:rsidRPr="001A293D" w:rsidRDefault="008A4588" w:rsidP="001A293D">
      <w:pPr>
        <w:rPr>
          <w:rFonts w:ascii="Times New Roman" w:eastAsia="Times New Roman" w:hAnsi="Times New Roman" w:cs="Times New Roman"/>
          <w:bCs/>
          <w:iCs/>
          <w:caps/>
          <w:noProof/>
          <w:sz w:val="24"/>
          <w:szCs w:val="28"/>
          <w:lang w:val="en-GB"/>
        </w:rPr>
      </w:pPr>
      <w:r w:rsidRPr="006C45C9">
        <w:rPr>
          <w:lang w:val="en-US"/>
        </w:rPr>
        <w:br w:type="page"/>
      </w:r>
    </w:p>
    <w:p w14:paraId="08E0FE0F" w14:textId="3D98C6E2" w:rsidR="00892476" w:rsidRPr="006C45C9" w:rsidRDefault="000B54EB" w:rsidP="00892476">
      <w:pPr>
        <w:pStyle w:val="TOC1"/>
        <w:rPr>
          <w:lang w:val="es-419"/>
        </w:rPr>
      </w:pPr>
      <w:r w:rsidRPr="006C45C9">
        <w:rPr>
          <w:lang w:val="es-419"/>
        </w:rPr>
        <w:lastRenderedPageBreak/>
        <w:t>ANEXO</w:t>
      </w:r>
      <w:r w:rsidR="00D136BB">
        <w:rPr>
          <w:lang w:val="es-419"/>
        </w:rPr>
        <w:t xml:space="preserve"> </w:t>
      </w:r>
      <w:r w:rsidRPr="006C45C9">
        <w:rPr>
          <w:lang w:val="es-419"/>
        </w:rPr>
        <w:t>1.</w:t>
      </w:r>
      <w:r w:rsidR="00D136BB">
        <w:rPr>
          <w:lang w:val="es-419"/>
        </w:rPr>
        <w:t xml:space="preserve"> </w:t>
      </w:r>
      <w:r w:rsidRPr="006C45C9">
        <w:rPr>
          <w:lang w:val="es-419"/>
        </w:rPr>
        <w:t>PER</w:t>
      </w:r>
      <w:r w:rsidR="00D136BB">
        <w:rPr>
          <w:lang w:val="es-419"/>
        </w:rPr>
        <w:t xml:space="preserve"> </w:t>
      </w:r>
      <w:r w:rsidRPr="006C45C9">
        <w:rPr>
          <w:lang w:val="es-419"/>
        </w:rPr>
        <w:t>20</w:t>
      </w:r>
      <w:r w:rsidR="001A293D">
        <w:rPr>
          <w:lang w:val="es-419"/>
        </w:rPr>
        <w:t>22</w:t>
      </w:r>
      <w:r w:rsidRPr="006C45C9">
        <w:rPr>
          <w:lang w:val="es-419"/>
        </w:rPr>
        <w:t>/201</w:t>
      </w:r>
      <w:r w:rsidR="001A293D">
        <w:rPr>
          <w:lang w:val="es-419"/>
        </w:rPr>
        <w:t>9</w:t>
      </w:r>
      <w:r w:rsidRPr="006C45C9">
        <w:rPr>
          <w:lang w:val="es-419"/>
        </w:rPr>
        <w:t>.</w:t>
      </w:r>
      <w:r w:rsidR="00D136BB">
        <w:rPr>
          <w:lang w:val="es-419"/>
        </w:rPr>
        <w:t xml:space="preserve"> </w:t>
      </w:r>
      <w:r w:rsidRPr="006C45C9">
        <w:rPr>
          <w:lang w:val="es-419"/>
        </w:rPr>
        <w:t>METODOLOGÍA</w:t>
      </w:r>
      <w:r w:rsidR="00D136BB">
        <w:rPr>
          <w:lang w:val="es-419"/>
        </w:rPr>
        <w:t xml:space="preserve"> </w:t>
      </w:r>
      <w:r w:rsidRPr="006C45C9">
        <w:rPr>
          <w:lang w:val="es-419"/>
        </w:rPr>
        <w:t>PARA</w:t>
      </w:r>
      <w:r w:rsidR="00D136BB">
        <w:rPr>
          <w:lang w:val="es-419"/>
        </w:rPr>
        <w:t xml:space="preserve"> </w:t>
      </w:r>
      <w:r w:rsidRPr="006C45C9">
        <w:rPr>
          <w:lang w:val="es-419"/>
        </w:rPr>
        <w:t>LA</w:t>
      </w:r>
      <w:r w:rsidR="00D136BB">
        <w:rPr>
          <w:lang w:val="es-419"/>
        </w:rPr>
        <w:t xml:space="preserve"> </w:t>
      </w:r>
      <w:r w:rsidRPr="006C45C9">
        <w:rPr>
          <w:lang w:val="es-419"/>
        </w:rPr>
        <w:t>PRIORIZACIÓN</w:t>
      </w:r>
      <w:r w:rsidRPr="006C45C9">
        <w:rPr>
          <w:lang w:val="es-419"/>
        </w:rPr>
        <w:tab/>
        <w:t>XXX</w:t>
      </w:r>
    </w:p>
    <w:p w14:paraId="1503602B" w14:textId="77777777" w:rsidR="001A293D" w:rsidRPr="002C0430" w:rsidRDefault="001A293D" w:rsidP="001A293D">
      <w:pPr>
        <w:spacing w:after="0" w:line="240" w:lineRule="auto"/>
        <w:rPr>
          <w:rFonts w:ascii="Arial" w:eastAsia="Times New Roman" w:hAnsi="Arial" w:cs="Arial"/>
          <w:b/>
          <w:color w:val="000000"/>
          <w:sz w:val="24"/>
          <w:szCs w:val="24"/>
        </w:rPr>
      </w:pPr>
    </w:p>
    <w:p w14:paraId="3D8D0360" w14:textId="77777777" w:rsidR="001A293D" w:rsidRPr="00052E76" w:rsidRDefault="001A293D" w:rsidP="001A293D">
      <w:pPr>
        <w:spacing w:after="0" w:line="240" w:lineRule="auto"/>
        <w:jc w:val="center"/>
        <w:rPr>
          <w:rFonts w:ascii="Arial" w:eastAsia="Times New Roman" w:hAnsi="Arial" w:cs="Arial"/>
          <w:b/>
          <w:color w:val="000000"/>
          <w:sz w:val="24"/>
          <w:szCs w:val="24"/>
          <w:u w:val="single"/>
        </w:rPr>
      </w:pPr>
      <w:r w:rsidRPr="00052E76">
        <w:rPr>
          <w:rFonts w:ascii="Arial" w:eastAsia="Times New Roman" w:hAnsi="Arial" w:cs="Arial"/>
          <w:b/>
          <w:color w:val="000000"/>
          <w:sz w:val="24"/>
          <w:szCs w:val="24"/>
          <w:u w:val="single"/>
        </w:rPr>
        <w:t>Metodología para la Priorización</w:t>
      </w:r>
    </w:p>
    <w:p w14:paraId="65C744BA" w14:textId="77777777" w:rsidR="001A293D" w:rsidRPr="002C0430" w:rsidRDefault="001A293D" w:rsidP="001A293D">
      <w:pPr>
        <w:spacing w:after="0" w:line="240" w:lineRule="auto"/>
        <w:jc w:val="center"/>
        <w:rPr>
          <w:rFonts w:ascii="Arial" w:eastAsia="Times New Roman" w:hAnsi="Arial" w:cs="Arial"/>
          <w:color w:val="000000"/>
          <w:sz w:val="24"/>
          <w:szCs w:val="24"/>
        </w:rPr>
      </w:pPr>
    </w:p>
    <w:p w14:paraId="28A47F05" w14:textId="77777777" w:rsidR="001A293D" w:rsidRPr="002C0430" w:rsidRDefault="001A293D" w:rsidP="001A293D">
      <w:pPr>
        <w:spacing w:after="0" w:line="240" w:lineRule="auto"/>
        <w:jc w:val="both"/>
        <w:rPr>
          <w:rFonts w:ascii="Arial" w:eastAsia="Times New Roman" w:hAnsi="Arial" w:cs="Arial"/>
          <w:b/>
          <w:color w:val="000000"/>
          <w:sz w:val="24"/>
          <w:szCs w:val="24"/>
        </w:rPr>
      </w:pPr>
      <w:r w:rsidRPr="002C0430">
        <w:rPr>
          <w:rFonts w:ascii="Arial" w:eastAsia="Times New Roman" w:hAnsi="Arial" w:cs="Arial"/>
          <w:b/>
          <w:color w:val="000000"/>
          <w:sz w:val="24"/>
          <w:szCs w:val="24"/>
        </w:rPr>
        <w:t>1 Introducción</w:t>
      </w:r>
    </w:p>
    <w:p w14:paraId="49A9A86D" w14:textId="77777777" w:rsidR="001A293D" w:rsidRPr="002C0430" w:rsidRDefault="001A293D" w:rsidP="001A293D">
      <w:pPr>
        <w:spacing w:after="0" w:line="240" w:lineRule="auto"/>
        <w:ind w:left="360"/>
        <w:jc w:val="both"/>
        <w:rPr>
          <w:rFonts w:ascii="Arial" w:eastAsia="Times New Roman" w:hAnsi="Arial" w:cs="Arial"/>
          <w:color w:val="000000"/>
          <w:sz w:val="24"/>
          <w:szCs w:val="24"/>
        </w:rPr>
      </w:pPr>
    </w:p>
    <w:p w14:paraId="0CAF2DA0"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Para la preparación del Perfil Est</w:t>
      </w:r>
      <w:r>
        <w:rPr>
          <w:rFonts w:ascii="Arial" w:eastAsia="Times New Roman" w:hAnsi="Arial" w:cs="Arial"/>
          <w:color w:val="000000"/>
          <w:sz w:val="24"/>
          <w:szCs w:val="24"/>
        </w:rPr>
        <w:t xml:space="preserve">ratégico Regional (PER) para América Latina y El Caribe, </w:t>
      </w:r>
      <w:r w:rsidRPr="002C0430">
        <w:rPr>
          <w:rFonts w:ascii="Arial" w:eastAsia="Times New Roman" w:hAnsi="Arial" w:cs="Arial"/>
          <w:color w:val="000000"/>
          <w:sz w:val="24"/>
          <w:szCs w:val="24"/>
        </w:rPr>
        <w:t xml:space="preserve">se </w:t>
      </w:r>
      <w:r>
        <w:rPr>
          <w:rFonts w:ascii="Arial" w:eastAsia="Times New Roman" w:hAnsi="Arial" w:cs="Arial"/>
          <w:color w:val="000000"/>
          <w:sz w:val="24"/>
          <w:szCs w:val="24"/>
        </w:rPr>
        <w:t xml:space="preserve">adoptó la misma  </w:t>
      </w:r>
      <w:r w:rsidRPr="002C0430">
        <w:rPr>
          <w:rFonts w:ascii="Arial" w:eastAsia="Times New Roman" w:hAnsi="Arial" w:cs="Arial"/>
          <w:color w:val="000000"/>
          <w:sz w:val="24"/>
          <w:szCs w:val="24"/>
        </w:rPr>
        <w:t xml:space="preserve">metodología de priorización </w:t>
      </w:r>
      <w:r>
        <w:rPr>
          <w:rFonts w:ascii="Arial" w:eastAsia="Times New Roman" w:hAnsi="Arial" w:cs="Arial"/>
          <w:color w:val="000000"/>
          <w:sz w:val="24"/>
          <w:szCs w:val="24"/>
        </w:rPr>
        <w:t xml:space="preserve">utilizada en el PER anterior, con algunos ajustes y actualización, </w:t>
      </w:r>
      <w:r w:rsidRPr="002C0430">
        <w:rPr>
          <w:rFonts w:ascii="Arial" w:eastAsia="Times New Roman" w:hAnsi="Arial" w:cs="Arial"/>
          <w:color w:val="000000"/>
          <w:sz w:val="24"/>
          <w:szCs w:val="24"/>
        </w:rPr>
        <w:t>cuyo enfoque se  viene utiliza</w:t>
      </w:r>
      <w:r>
        <w:rPr>
          <w:rFonts w:ascii="Arial" w:eastAsia="Times New Roman" w:hAnsi="Arial" w:cs="Arial"/>
          <w:color w:val="000000"/>
          <w:sz w:val="24"/>
          <w:szCs w:val="24"/>
        </w:rPr>
        <w:t>ndo a lo largo de los últimos 30</w:t>
      </w:r>
      <w:r w:rsidRPr="002C0430">
        <w:rPr>
          <w:rFonts w:ascii="Arial" w:eastAsia="Times New Roman" w:hAnsi="Arial" w:cs="Arial"/>
          <w:color w:val="000000"/>
          <w:sz w:val="24"/>
          <w:szCs w:val="24"/>
        </w:rPr>
        <w:t xml:space="preserve"> años por diversas instituciones públicas y privadas, así como por diferentes organismos internacionales tanto de fomento como de desarrollo.</w:t>
      </w:r>
    </w:p>
    <w:p w14:paraId="3776064D"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45DC9422"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Para la asignación de prioridades dentro de un conjunto de necesidades/problemas, de naturaleza estratégica, identificadas dentro de diferentes sectores de actuación, la metodología considera la adopción de atributos específicos para los cuales se establece una graduación de valores para cada necesidad/problema, y que, al fin del proceso, posibilita una comparación cuantitativa entre ellos.</w:t>
      </w:r>
    </w:p>
    <w:p w14:paraId="3A2BC63A"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3C606BCC"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Es necesario destacar que todo proceso de priorización significa atribuir valores cuantitativos a una evaluación cualitativa, lo cual siempre introduce un componente de subjetividad al proceso. En este caso, el mecanismo que se debe adoptar para minimizar ese efecto y, simultáneamente, enriquecerlo es por medio de la justificación de cada necesidad/problema, así como la justificación de cada grado asignado a los respectivos atributos. Además, cuando se hace una evaluación colectiva de los problemas identificados en el marco del PER, es conveniente que se desarrolle un proceso de discusión y debates entre los participantes hasta que se genere el consenso y lograr un valor único para c</w:t>
      </w:r>
      <w:r>
        <w:rPr>
          <w:rFonts w:ascii="Arial" w:eastAsia="Times New Roman" w:hAnsi="Arial" w:cs="Arial"/>
          <w:color w:val="000000"/>
          <w:sz w:val="24"/>
          <w:szCs w:val="24"/>
        </w:rPr>
        <w:t xml:space="preserve">ada uno de los grados asignado </w:t>
      </w:r>
      <w:r w:rsidRPr="002C0430">
        <w:rPr>
          <w:rFonts w:ascii="Arial" w:eastAsia="Times New Roman" w:hAnsi="Arial" w:cs="Arial"/>
          <w:color w:val="000000"/>
          <w:sz w:val="24"/>
          <w:szCs w:val="24"/>
        </w:rPr>
        <w:t>a cada atributo.</w:t>
      </w:r>
    </w:p>
    <w:p w14:paraId="5A144AF2"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578C1DF3"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Otro aspecto importante de la metodología es la elección de los perfiles de las personas que parti</w:t>
      </w:r>
      <w:r>
        <w:rPr>
          <w:rFonts w:ascii="Arial" w:eastAsia="Times New Roman" w:hAnsi="Arial" w:cs="Arial"/>
          <w:color w:val="000000"/>
          <w:sz w:val="24"/>
          <w:szCs w:val="24"/>
        </w:rPr>
        <w:t xml:space="preserve">cipan en el proceso. Para esta </w:t>
      </w:r>
      <w:r w:rsidRPr="002C0430">
        <w:rPr>
          <w:rFonts w:ascii="Arial" w:eastAsia="Times New Roman" w:hAnsi="Arial" w:cs="Arial"/>
          <w:color w:val="000000"/>
          <w:sz w:val="24"/>
          <w:szCs w:val="24"/>
        </w:rPr>
        <w:t>elección debe considerarse la formación técnica, la experiencia profesional y los conocimientos específicos necesarios para la correcta caracterización de cada problema.</w:t>
      </w:r>
    </w:p>
    <w:p w14:paraId="3565CCAB"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1D698A59"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 xml:space="preserve">En el caso </w:t>
      </w:r>
      <w:r>
        <w:rPr>
          <w:rFonts w:ascii="Arial" w:eastAsia="Times New Roman" w:hAnsi="Arial" w:cs="Arial"/>
          <w:color w:val="000000"/>
          <w:sz w:val="24"/>
          <w:szCs w:val="24"/>
        </w:rPr>
        <w:t xml:space="preserve">del PER es importante destacar </w:t>
      </w:r>
      <w:r w:rsidRPr="002C0430">
        <w:rPr>
          <w:rFonts w:ascii="Arial" w:eastAsia="Times New Roman" w:hAnsi="Arial" w:cs="Arial"/>
          <w:color w:val="000000"/>
          <w:sz w:val="24"/>
          <w:szCs w:val="24"/>
        </w:rPr>
        <w:t xml:space="preserve">la naturaleza estratégica del documento, el cual se basa en la identificación de las necesidades/problemas de la Región y sirve para la elaboración de una alianza estratégica entre, ARCAL y </w:t>
      </w:r>
      <w:r>
        <w:rPr>
          <w:rFonts w:ascii="Arial" w:eastAsia="Times New Roman" w:hAnsi="Arial" w:cs="Arial"/>
          <w:color w:val="000000"/>
          <w:sz w:val="24"/>
          <w:szCs w:val="24"/>
        </w:rPr>
        <w:t xml:space="preserve">otros socios institucionales, entre ellos la </w:t>
      </w:r>
      <w:r w:rsidRPr="002C0430">
        <w:rPr>
          <w:rFonts w:ascii="Arial" w:eastAsia="Times New Roman" w:hAnsi="Arial" w:cs="Arial"/>
          <w:color w:val="000000"/>
          <w:sz w:val="24"/>
          <w:szCs w:val="24"/>
        </w:rPr>
        <w:t>OIEA. Esta alianza solamente puede ser alcanzada bajo un proceso de planificación estratégica que posibilite la adecuada identificación y caracterización de cada necesidad/problema.</w:t>
      </w:r>
    </w:p>
    <w:p w14:paraId="74ED4415"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4D59CBF8"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Otro aspecto relevante para la elaboración del Perfil Estratégico Regional es que se debe tomar en cuenta los diferentes niveles de desarrollo de cada país de la región, en particular cuando se consideran los</w:t>
      </w:r>
      <w:r>
        <w:rPr>
          <w:rFonts w:ascii="Arial" w:eastAsia="Times New Roman" w:hAnsi="Arial" w:cs="Arial"/>
          <w:color w:val="000000"/>
          <w:sz w:val="24"/>
          <w:szCs w:val="24"/>
        </w:rPr>
        <w:t xml:space="preserve"> seis</w:t>
      </w:r>
      <w:r w:rsidRPr="002C0430">
        <w:rPr>
          <w:rFonts w:ascii="Arial" w:eastAsia="Times New Roman" w:hAnsi="Arial" w:cs="Arial"/>
          <w:color w:val="000000"/>
          <w:sz w:val="24"/>
          <w:szCs w:val="24"/>
        </w:rPr>
        <w:t xml:space="preserve"> sectores elegidos para la elaboración del Perfil: Seguridad Alimentaría, Salud Hu</w:t>
      </w:r>
      <w:r>
        <w:rPr>
          <w:rFonts w:ascii="Arial" w:eastAsia="Times New Roman" w:hAnsi="Arial" w:cs="Arial"/>
          <w:color w:val="000000"/>
          <w:sz w:val="24"/>
          <w:szCs w:val="24"/>
        </w:rPr>
        <w:t xml:space="preserve">mana, Medio Ambiente, Energía, </w:t>
      </w:r>
      <w:r w:rsidRPr="002C0430">
        <w:rPr>
          <w:rFonts w:ascii="Arial" w:eastAsia="Times New Roman" w:hAnsi="Arial" w:cs="Arial"/>
          <w:color w:val="000000"/>
          <w:sz w:val="24"/>
          <w:szCs w:val="24"/>
        </w:rPr>
        <w:t>Seguridad Radiológica</w:t>
      </w:r>
      <w:r>
        <w:rPr>
          <w:rFonts w:ascii="Arial" w:eastAsia="Times New Roman" w:hAnsi="Arial" w:cs="Arial"/>
          <w:color w:val="000000"/>
          <w:sz w:val="24"/>
          <w:szCs w:val="24"/>
        </w:rPr>
        <w:t xml:space="preserve"> y Tecnología con Radiación</w:t>
      </w:r>
      <w:r w:rsidRPr="002C0430">
        <w:rPr>
          <w:rFonts w:ascii="Arial" w:eastAsia="Times New Roman" w:hAnsi="Arial" w:cs="Arial"/>
          <w:color w:val="000000"/>
          <w:sz w:val="24"/>
          <w:szCs w:val="24"/>
        </w:rPr>
        <w:t>.</w:t>
      </w:r>
    </w:p>
    <w:p w14:paraId="08F2CA21" w14:textId="77777777" w:rsidR="001A293D" w:rsidRPr="002C0430" w:rsidRDefault="001A293D" w:rsidP="001A293D">
      <w:pPr>
        <w:spacing w:after="0" w:line="240" w:lineRule="auto"/>
        <w:jc w:val="both"/>
        <w:rPr>
          <w:rFonts w:ascii="Arial" w:eastAsia="Times New Roman" w:hAnsi="Arial" w:cs="Arial"/>
          <w:b/>
          <w:color w:val="000000"/>
          <w:sz w:val="24"/>
          <w:szCs w:val="24"/>
        </w:rPr>
      </w:pPr>
      <w:r w:rsidRPr="002C0430">
        <w:rPr>
          <w:rFonts w:ascii="Arial" w:eastAsia="Times New Roman" w:hAnsi="Arial" w:cs="Arial"/>
          <w:b/>
          <w:color w:val="000000"/>
          <w:sz w:val="24"/>
          <w:szCs w:val="24"/>
        </w:rPr>
        <w:t xml:space="preserve"> </w:t>
      </w:r>
    </w:p>
    <w:p w14:paraId="65411014" w14:textId="77777777" w:rsidR="001A293D" w:rsidRPr="002C0430" w:rsidRDefault="001A293D" w:rsidP="001A293D">
      <w:pPr>
        <w:spacing w:after="0" w:line="240" w:lineRule="auto"/>
        <w:jc w:val="both"/>
        <w:rPr>
          <w:rFonts w:ascii="Arial" w:eastAsia="Times New Roman" w:hAnsi="Arial" w:cs="Arial"/>
          <w:color w:val="000000"/>
          <w:sz w:val="24"/>
          <w:szCs w:val="24"/>
        </w:rPr>
      </w:pPr>
      <w:r>
        <w:rPr>
          <w:rFonts w:ascii="Arial" w:eastAsia="Times New Roman" w:hAnsi="Arial" w:cs="Arial"/>
          <w:b/>
          <w:color w:val="000000"/>
          <w:sz w:val="24"/>
          <w:szCs w:val="24"/>
        </w:rPr>
        <w:t>2</w:t>
      </w:r>
      <w:r w:rsidRPr="002C0430">
        <w:rPr>
          <w:rFonts w:ascii="Arial" w:eastAsia="Times New Roman" w:hAnsi="Arial" w:cs="Arial"/>
          <w:b/>
          <w:color w:val="000000"/>
          <w:sz w:val="24"/>
          <w:szCs w:val="24"/>
        </w:rPr>
        <w:t xml:space="preserve"> Atributos para la Priorización</w:t>
      </w:r>
    </w:p>
    <w:p w14:paraId="0C12C309"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46D0D5BC"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lastRenderedPageBreak/>
        <w:t>Se adoptaron cinco atributos para la evaluación de las necesidades/problemas, tomándose en cuenta la naturaleza estratégica del PER, los cuales se presentan a continuación:</w:t>
      </w:r>
    </w:p>
    <w:p w14:paraId="54A4603E" w14:textId="77777777" w:rsidR="001A293D" w:rsidRPr="002C0430" w:rsidRDefault="001A293D" w:rsidP="001A293D">
      <w:pPr>
        <w:spacing w:after="0" w:line="240" w:lineRule="auto"/>
        <w:jc w:val="both"/>
        <w:rPr>
          <w:rFonts w:ascii="Arial" w:eastAsia="Times New Roman" w:hAnsi="Arial" w:cs="Arial"/>
          <w:color w:val="000000"/>
          <w:sz w:val="24"/>
          <w:szCs w:val="24"/>
        </w:rPr>
      </w:pPr>
    </w:p>
    <w:tbl>
      <w:tblPr>
        <w:tblW w:w="0" w:type="auto"/>
        <w:jc w:val="center"/>
        <w:tblCellMar>
          <w:left w:w="10" w:type="dxa"/>
          <w:right w:w="10" w:type="dxa"/>
        </w:tblCellMar>
        <w:tblLook w:val="04A0" w:firstRow="1" w:lastRow="0" w:firstColumn="1" w:lastColumn="0" w:noHBand="0" w:noVBand="1"/>
      </w:tblPr>
      <w:tblGrid>
        <w:gridCol w:w="3822"/>
        <w:gridCol w:w="4670"/>
      </w:tblGrid>
      <w:tr w:rsidR="001A293D" w:rsidRPr="00052E76" w14:paraId="3C1E3153" w14:textId="77777777" w:rsidTr="009B6E81">
        <w:trPr>
          <w:jc w:val="center"/>
        </w:trPr>
        <w:tc>
          <w:tcPr>
            <w:tcW w:w="382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10D0749" w14:textId="77777777" w:rsidR="001A293D" w:rsidRDefault="001A293D" w:rsidP="009B6E81">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SEVERIDAD</w:t>
            </w:r>
          </w:p>
          <w:p w14:paraId="2BDD506A" w14:textId="77777777" w:rsidR="001A293D" w:rsidRPr="002C0430" w:rsidRDefault="001A293D" w:rsidP="009B6E81">
            <w:pPr>
              <w:spacing w:after="0" w:line="240" w:lineRule="auto"/>
              <w:jc w:val="both"/>
              <w:rPr>
                <w:rFonts w:ascii="Arial" w:eastAsia="Times New Roman" w:hAnsi="Arial" w:cs="Arial"/>
                <w:b/>
                <w:color w:val="000000"/>
                <w:sz w:val="24"/>
                <w:szCs w:val="24"/>
              </w:rPr>
            </w:pPr>
            <w:r>
              <w:rPr>
                <w:rFonts w:ascii="Arial" w:eastAsia="Times New Roman" w:hAnsi="Arial" w:cs="Arial"/>
                <w:b/>
                <w:color w:val="000000"/>
                <w:sz w:val="24"/>
                <w:szCs w:val="24"/>
              </w:rPr>
              <w:t>(</w:t>
            </w:r>
            <w:r w:rsidRPr="002C0430">
              <w:rPr>
                <w:rFonts w:ascii="Arial" w:eastAsia="Times New Roman" w:hAnsi="Arial" w:cs="Arial"/>
                <w:b/>
                <w:color w:val="000000"/>
                <w:sz w:val="24"/>
                <w:szCs w:val="24"/>
              </w:rPr>
              <w:t>GRAV</w:t>
            </w:r>
            <w:r>
              <w:rPr>
                <w:rFonts w:ascii="Arial" w:eastAsia="Times New Roman" w:hAnsi="Arial" w:cs="Arial"/>
                <w:b/>
                <w:color w:val="000000"/>
                <w:sz w:val="24"/>
                <w:szCs w:val="24"/>
              </w:rPr>
              <w:t>I</w:t>
            </w:r>
            <w:r w:rsidRPr="002C0430">
              <w:rPr>
                <w:rFonts w:ascii="Arial" w:eastAsia="Times New Roman" w:hAnsi="Arial" w:cs="Arial"/>
                <w:b/>
                <w:color w:val="000000"/>
                <w:sz w:val="24"/>
                <w:szCs w:val="24"/>
              </w:rPr>
              <w:t>DAD</w:t>
            </w:r>
            <w:r>
              <w:rPr>
                <w:rFonts w:ascii="Arial" w:eastAsia="Times New Roman" w:hAnsi="Arial" w:cs="Arial"/>
                <w:b/>
                <w:color w:val="000000"/>
                <w:sz w:val="24"/>
                <w:szCs w:val="24"/>
              </w:rPr>
              <w:t>)</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462C4A1" w14:textId="77777777" w:rsidR="001A293D" w:rsidRPr="002C0430" w:rsidRDefault="001A293D" w:rsidP="009B6E81">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Es una medida  del  grado de severidad de la necesidad/problema considerando los impactos negativos que genera la no atención de la misma.</w:t>
            </w:r>
          </w:p>
        </w:tc>
      </w:tr>
      <w:tr w:rsidR="001A293D" w:rsidRPr="00052E76" w14:paraId="3A1E4B6D" w14:textId="77777777" w:rsidTr="009B6E81">
        <w:trPr>
          <w:jc w:val="center"/>
        </w:trPr>
        <w:tc>
          <w:tcPr>
            <w:tcW w:w="382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D571903" w14:textId="77777777" w:rsidR="001A293D" w:rsidRPr="002C0430" w:rsidRDefault="001A293D" w:rsidP="009B6E81">
            <w:pPr>
              <w:spacing w:after="0" w:line="240" w:lineRule="auto"/>
              <w:jc w:val="both"/>
              <w:rPr>
                <w:rFonts w:ascii="Arial" w:eastAsia="Times New Roman" w:hAnsi="Arial" w:cs="Arial"/>
                <w:b/>
                <w:color w:val="000000"/>
                <w:sz w:val="24"/>
                <w:szCs w:val="24"/>
              </w:rPr>
            </w:pPr>
            <w:r w:rsidRPr="002C0430">
              <w:rPr>
                <w:rFonts w:ascii="Arial" w:eastAsia="Times New Roman" w:hAnsi="Arial" w:cs="Arial"/>
                <w:b/>
                <w:color w:val="000000"/>
                <w:sz w:val="24"/>
                <w:szCs w:val="24"/>
              </w:rPr>
              <w:t>TIEMPO</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1677C74" w14:textId="77777777" w:rsidR="001A293D" w:rsidRPr="002C0430" w:rsidRDefault="001A293D" w:rsidP="009B6E81">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Está   relacionado    con   el   grado  de   urgencia  de atender la necesidad/problema, su  tendencia  de  agravarse   y   las consecuencias futuras</w:t>
            </w:r>
          </w:p>
        </w:tc>
      </w:tr>
      <w:tr w:rsidR="001A293D" w:rsidRPr="00052E76" w14:paraId="509824D4" w14:textId="77777777" w:rsidTr="009B6E81">
        <w:trPr>
          <w:jc w:val="center"/>
        </w:trPr>
        <w:tc>
          <w:tcPr>
            <w:tcW w:w="382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74073E8" w14:textId="77777777" w:rsidR="001A293D" w:rsidRPr="002C0430" w:rsidRDefault="001A293D" w:rsidP="009B6E81">
            <w:pPr>
              <w:spacing w:after="0" w:line="240" w:lineRule="auto"/>
              <w:jc w:val="both"/>
              <w:rPr>
                <w:rFonts w:ascii="Arial" w:eastAsia="Times New Roman" w:hAnsi="Arial" w:cs="Arial"/>
                <w:b/>
                <w:color w:val="000000"/>
                <w:sz w:val="24"/>
                <w:szCs w:val="24"/>
              </w:rPr>
            </w:pPr>
            <w:r w:rsidRPr="002C0430">
              <w:rPr>
                <w:rFonts w:ascii="Arial" w:eastAsia="Times New Roman" w:hAnsi="Arial" w:cs="Arial"/>
                <w:b/>
                <w:color w:val="000000"/>
                <w:sz w:val="24"/>
                <w:szCs w:val="24"/>
              </w:rPr>
              <w:t>EXTENSIÓN</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EAB66EB" w14:textId="77777777" w:rsidR="001A293D" w:rsidRPr="002C0430" w:rsidRDefault="001A293D" w:rsidP="009B6E81">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Determina el grado de impacto regional de la necesidad/problema tomándose en cuenta, por ejemplo, la cantidad de países afectados.</w:t>
            </w:r>
          </w:p>
        </w:tc>
      </w:tr>
      <w:tr w:rsidR="001A293D" w:rsidRPr="00052E76" w14:paraId="7A6586DC" w14:textId="77777777" w:rsidTr="009B6E81">
        <w:trPr>
          <w:jc w:val="center"/>
        </w:trPr>
        <w:tc>
          <w:tcPr>
            <w:tcW w:w="382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7C9C296" w14:textId="77777777" w:rsidR="001A293D" w:rsidRPr="002C0430" w:rsidRDefault="001A293D" w:rsidP="009B6E81">
            <w:pPr>
              <w:spacing w:after="0" w:line="240" w:lineRule="auto"/>
              <w:jc w:val="both"/>
              <w:rPr>
                <w:rFonts w:ascii="Arial" w:eastAsia="Times New Roman" w:hAnsi="Arial" w:cs="Arial"/>
                <w:color w:val="000000"/>
                <w:sz w:val="24"/>
                <w:szCs w:val="24"/>
              </w:rPr>
            </w:pPr>
            <w:r w:rsidRPr="002C0430">
              <w:rPr>
                <w:rFonts w:ascii="Arial" w:eastAsia="Times New Roman" w:hAnsi="Arial" w:cs="Arial"/>
                <w:b/>
                <w:color w:val="000000"/>
                <w:sz w:val="24"/>
                <w:szCs w:val="24"/>
              </w:rPr>
              <w:t xml:space="preserve">RELEVANCIA                                     </w:t>
            </w:r>
            <w:r w:rsidRPr="002C0430">
              <w:rPr>
                <w:rFonts w:ascii="Arial" w:eastAsia="Times New Roman" w:hAnsi="Arial" w:cs="Arial"/>
                <w:color w:val="000000"/>
                <w:sz w:val="24"/>
                <w:szCs w:val="24"/>
              </w:rPr>
              <w:t>de/para las Técnicas  Nucleares</w:t>
            </w:r>
            <w:r w:rsidRPr="002C0430">
              <w:rPr>
                <w:rFonts w:ascii="Arial" w:eastAsia="Times New Roman" w:hAnsi="Arial" w:cs="Arial"/>
                <w:b/>
                <w:color w:val="000000"/>
                <w:sz w:val="24"/>
                <w:szCs w:val="24"/>
              </w:rPr>
              <w:t xml:space="preserve">  </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23AF213" w14:textId="77777777" w:rsidR="001A293D" w:rsidRPr="002C0430" w:rsidRDefault="001A293D" w:rsidP="009B6E81">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Por una parte, mide    qué   tanto   pueden    contribuir las   aplicaciones nucleares a la  atención/solución de la necesidad/problema. Por otra, se considera qué tanto la solución del problema es relevante para las aplicaciones nucleares.</w:t>
            </w:r>
          </w:p>
        </w:tc>
      </w:tr>
      <w:tr w:rsidR="001A293D" w:rsidRPr="00052E76" w14:paraId="7231FFD8" w14:textId="77777777" w:rsidTr="009B6E81">
        <w:trPr>
          <w:jc w:val="center"/>
        </w:trPr>
        <w:tc>
          <w:tcPr>
            <w:tcW w:w="382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3F39C76" w14:textId="77777777" w:rsidR="001A293D" w:rsidRPr="002C0430" w:rsidRDefault="001A293D" w:rsidP="009B6E81">
            <w:pPr>
              <w:spacing w:after="0" w:line="240" w:lineRule="auto"/>
              <w:jc w:val="both"/>
              <w:rPr>
                <w:rFonts w:ascii="Arial" w:eastAsia="Times New Roman" w:hAnsi="Arial" w:cs="Arial"/>
                <w:b/>
                <w:color w:val="000000"/>
                <w:sz w:val="24"/>
                <w:szCs w:val="24"/>
              </w:rPr>
            </w:pPr>
            <w:r w:rsidRPr="002C0430">
              <w:rPr>
                <w:rFonts w:ascii="Arial" w:eastAsia="Times New Roman" w:hAnsi="Arial" w:cs="Arial"/>
                <w:b/>
                <w:color w:val="000000"/>
                <w:sz w:val="24"/>
                <w:szCs w:val="24"/>
              </w:rPr>
              <w:t>NIVEL DE DIFICULTAD</w:t>
            </w:r>
          </w:p>
        </w:tc>
        <w:tc>
          <w:tcPr>
            <w:tcW w:w="46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3C61C21" w14:textId="77777777" w:rsidR="001A293D" w:rsidRPr="002C0430" w:rsidRDefault="001A293D" w:rsidP="009B6E81">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Mide el grado de dificultad para la implementación de la   solución   de  la necesidad/problema     identificada,   el   cual puede     estar    relacionado con: infra­­­estructuras, recursos, tecnología, legis­lación,    compromisos intergubernamentales, etc.</w:t>
            </w:r>
          </w:p>
        </w:tc>
      </w:tr>
    </w:tbl>
    <w:p w14:paraId="0330E3DB"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05A1E8B5" w14:textId="77777777" w:rsidR="001A293D" w:rsidRPr="002C0430" w:rsidRDefault="001A293D" w:rsidP="001A293D">
      <w:pPr>
        <w:spacing w:after="0" w:line="240" w:lineRule="auto"/>
        <w:jc w:val="both"/>
        <w:rPr>
          <w:rFonts w:ascii="Arial" w:eastAsia="Times New Roman" w:hAnsi="Arial" w:cs="Arial"/>
          <w:b/>
          <w:color w:val="000000"/>
          <w:sz w:val="24"/>
          <w:szCs w:val="24"/>
        </w:rPr>
      </w:pPr>
      <w:r w:rsidRPr="002C0430">
        <w:rPr>
          <w:rFonts w:ascii="Arial" w:eastAsia="Times New Roman" w:hAnsi="Arial" w:cs="Arial"/>
          <w:b/>
          <w:color w:val="000000"/>
          <w:sz w:val="24"/>
          <w:szCs w:val="24"/>
        </w:rPr>
        <w:t>3. Puntuación para la Priorización y la Justificación</w:t>
      </w:r>
    </w:p>
    <w:p w14:paraId="2F691850"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6DD67424"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 xml:space="preserve">Para priorizar las necesidades/problemas, por sector, se utilizan grados de priorización para los atributos GRAVEDAD, TIEMPO, EXTENSIÓN, RELEVANCIA. Estos grados están entre </w:t>
      </w:r>
      <w:r>
        <w:rPr>
          <w:rFonts w:ascii="Arial" w:eastAsia="Times New Roman" w:hAnsi="Arial" w:cs="Arial"/>
          <w:b/>
          <w:color w:val="000000"/>
          <w:sz w:val="24"/>
          <w:szCs w:val="24"/>
        </w:rPr>
        <w:t>1</w:t>
      </w:r>
      <w:r w:rsidRPr="002C0430">
        <w:rPr>
          <w:rFonts w:ascii="Arial" w:eastAsia="Times New Roman" w:hAnsi="Arial" w:cs="Arial"/>
          <w:color w:val="000000"/>
          <w:sz w:val="24"/>
          <w:szCs w:val="24"/>
        </w:rPr>
        <w:t xml:space="preserve"> y  </w:t>
      </w:r>
      <w:r w:rsidRPr="002C0430">
        <w:rPr>
          <w:rFonts w:ascii="Arial" w:eastAsia="Times New Roman" w:hAnsi="Arial" w:cs="Arial"/>
          <w:b/>
          <w:color w:val="000000"/>
          <w:sz w:val="24"/>
          <w:szCs w:val="24"/>
        </w:rPr>
        <w:t>5</w:t>
      </w:r>
      <w:r w:rsidRPr="002C0430">
        <w:rPr>
          <w:rFonts w:ascii="Arial" w:eastAsia="Times New Roman" w:hAnsi="Arial" w:cs="Arial"/>
          <w:color w:val="000000"/>
          <w:sz w:val="24"/>
          <w:szCs w:val="24"/>
        </w:rPr>
        <w:t>, de acuerdo con la siguiente tabla:</w:t>
      </w:r>
    </w:p>
    <w:p w14:paraId="573277C9" w14:textId="77777777" w:rsidR="001A293D" w:rsidRPr="002C0430" w:rsidRDefault="001A293D" w:rsidP="001A293D">
      <w:pPr>
        <w:spacing w:after="0" w:line="240" w:lineRule="auto"/>
        <w:jc w:val="both"/>
        <w:rPr>
          <w:rFonts w:ascii="Arial" w:eastAsia="Times New Roman" w:hAnsi="Arial" w:cs="Arial"/>
          <w:color w:val="000000"/>
          <w:sz w:val="24"/>
          <w:szCs w:val="24"/>
        </w:rPr>
      </w:pPr>
    </w:p>
    <w:tbl>
      <w:tblPr>
        <w:tblW w:w="0" w:type="auto"/>
        <w:jc w:val="center"/>
        <w:tblCellMar>
          <w:left w:w="10" w:type="dxa"/>
          <w:right w:w="10" w:type="dxa"/>
        </w:tblCellMar>
        <w:tblLook w:val="04A0" w:firstRow="1" w:lastRow="0" w:firstColumn="1" w:lastColumn="0" w:noHBand="0" w:noVBand="1"/>
      </w:tblPr>
      <w:tblGrid>
        <w:gridCol w:w="4392"/>
        <w:gridCol w:w="4100"/>
      </w:tblGrid>
      <w:tr w:rsidR="001A293D" w:rsidRPr="002C0430" w14:paraId="68C411EB" w14:textId="77777777" w:rsidTr="009B6E81">
        <w:trPr>
          <w:trHeight w:hRule="exact" w:val="284"/>
          <w:jc w:val="center"/>
        </w:trPr>
        <w:tc>
          <w:tcPr>
            <w:tcW w:w="4392" w:type="dxa"/>
            <w:tcBorders>
              <w:top w:val="single" w:sz="5" w:space="0" w:color="836967"/>
              <w:left w:val="single" w:sz="5" w:space="0" w:color="836967"/>
              <w:bottom w:val="single" w:sz="5" w:space="0" w:color="836967"/>
              <w:right w:val="single" w:sz="5" w:space="0" w:color="836967"/>
            </w:tcBorders>
            <w:shd w:val="clear" w:color="auto" w:fill="C0C0C0"/>
            <w:tcMar>
              <w:left w:w="108" w:type="dxa"/>
              <w:right w:w="108" w:type="dxa"/>
            </w:tcMar>
          </w:tcPr>
          <w:p w14:paraId="462A2F10" w14:textId="77777777" w:rsidR="001A293D" w:rsidRPr="002C0430" w:rsidRDefault="001A293D" w:rsidP="009B6E81">
            <w:pPr>
              <w:spacing w:after="0" w:line="240" w:lineRule="auto"/>
              <w:jc w:val="center"/>
              <w:rPr>
                <w:rFonts w:ascii="Arial" w:eastAsia="Times New Roman" w:hAnsi="Arial" w:cs="Arial"/>
                <w:b/>
                <w:color w:val="000000"/>
                <w:sz w:val="24"/>
                <w:szCs w:val="24"/>
              </w:rPr>
            </w:pPr>
            <w:r w:rsidRPr="002C0430">
              <w:rPr>
                <w:rFonts w:ascii="Arial" w:eastAsia="Times New Roman" w:hAnsi="Arial" w:cs="Arial"/>
                <w:b/>
                <w:color w:val="000000"/>
                <w:sz w:val="24"/>
                <w:szCs w:val="24"/>
              </w:rPr>
              <w:t>Grado</w:t>
            </w:r>
          </w:p>
        </w:tc>
        <w:tc>
          <w:tcPr>
            <w:tcW w:w="4100" w:type="dxa"/>
            <w:tcBorders>
              <w:top w:val="single" w:sz="5" w:space="0" w:color="836967"/>
              <w:left w:val="single" w:sz="5" w:space="0" w:color="836967"/>
              <w:bottom w:val="single" w:sz="5" w:space="0" w:color="836967"/>
              <w:right w:val="single" w:sz="5" w:space="0" w:color="836967"/>
            </w:tcBorders>
            <w:shd w:val="clear" w:color="auto" w:fill="C0C0C0"/>
            <w:tcMar>
              <w:left w:w="108" w:type="dxa"/>
              <w:right w:w="108" w:type="dxa"/>
            </w:tcMar>
            <w:vAlign w:val="center"/>
          </w:tcPr>
          <w:p w14:paraId="5B5C58DF" w14:textId="77777777" w:rsidR="001A293D" w:rsidRDefault="001A293D" w:rsidP="009B6E81">
            <w:pPr>
              <w:spacing w:after="120" w:line="480" w:lineRule="auto"/>
              <w:jc w:val="center"/>
              <w:rPr>
                <w:rFonts w:ascii="Arial" w:eastAsia="Times New Roman" w:hAnsi="Arial" w:cs="Arial"/>
                <w:b/>
                <w:color w:val="000000"/>
                <w:sz w:val="24"/>
                <w:szCs w:val="24"/>
              </w:rPr>
            </w:pPr>
            <w:r w:rsidRPr="002C0430">
              <w:rPr>
                <w:rFonts w:ascii="Arial" w:eastAsia="Times New Roman" w:hAnsi="Arial" w:cs="Arial"/>
                <w:b/>
                <w:color w:val="000000"/>
                <w:sz w:val="24"/>
                <w:szCs w:val="24"/>
              </w:rPr>
              <w:t>Corresponde a</w:t>
            </w:r>
          </w:p>
          <w:p w14:paraId="00CA379C" w14:textId="77777777" w:rsidR="001A293D" w:rsidRPr="002C0430" w:rsidRDefault="001A293D" w:rsidP="009B6E81">
            <w:pPr>
              <w:spacing w:after="120" w:line="480" w:lineRule="auto"/>
              <w:rPr>
                <w:rFonts w:ascii="Arial" w:eastAsia="Times New Roman" w:hAnsi="Arial" w:cs="Arial"/>
                <w:b/>
                <w:color w:val="000000"/>
                <w:sz w:val="24"/>
                <w:szCs w:val="24"/>
              </w:rPr>
            </w:pPr>
          </w:p>
        </w:tc>
      </w:tr>
      <w:tr w:rsidR="001A293D" w:rsidRPr="002C0430" w14:paraId="4DE89B0F" w14:textId="77777777" w:rsidTr="009B6E81">
        <w:trPr>
          <w:trHeight w:hRule="exact" w:val="454"/>
          <w:jc w:val="center"/>
        </w:trPr>
        <w:tc>
          <w:tcPr>
            <w:tcW w:w="43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44F051B1" w14:textId="77777777" w:rsidR="001A293D" w:rsidRPr="00C47A40" w:rsidRDefault="001A293D" w:rsidP="009B6E81">
            <w:pPr>
              <w:spacing w:after="0" w:line="24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1</w:t>
            </w:r>
          </w:p>
        </w:tc>
        <w:tc>
          <w:tcPr>
            <w:tcW w:w="41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527AD921" w14:textId="77777777" w:rsidR="001A293D" w:rsidRPr="00C47A40" w:rsidRDefault="001A293D" w:rsidP="009B6E81">
            <w:pPr>
              <w:spacing w:after="120" w:line="48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Muy Bajo</w:t>
            </w:r>
          </w:p>
        </w:tc>
      </w:tr>
      <w:tr w:rsidR="001A293D" w:rsidRPr="002C0430" w14:paraId="1A25E021" w14:textId="77777777" w:rsidTr="009B6E81">
        <w:trPr>
          <w:trHeight w:hRule="exact" w:val="454"/>
          <w:jc w:val="center"/>
        </w:trPr>
        <w:tc>
          <w:tcPr>
            <w:tcW w:w="43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6F9160A5" w14:textId="77777777" w:rsidR="001A293D" w:rsidRPr="00C47A40" w:rsidRDefault="001A293D" w:rsidP="009B6E81">
            <w:pPr>
              <w:spacing w:after="0" w:line="24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2</w:t>
            </w:r>
          </w:p>
        </w:tc>
        <w:tc>
          <w:tcPr>
            <w:tcW w:w="41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37357DBF" w14:textId="77777777" w:rsidR="001A293D" w:rsidRPr="00C47A40" w:rsidRDefault="001A293D" w:rsidP="009B6E81">
            <w:pPr>
              <w:spacing w:after="120" w:line="48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Bajo</w:t>
            </w:r>
          </w:p>
        </w:tc>
      </w:tr>
      <w:tr w:rsidR="001A293D" w:rsidRPr="002C0430" w14:paraId="431D310E" w14:textId="77777777" w:rsidTr="009B6E81">
        <w:trPr>
          <w:trHeight w:hRule="exact" w:val="454"/>
          <w:jc w:val="center"/>
        </w:trPr>
        <w:tc>
          <w:tcPr>
            <w:tcW w:w="43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3A14205D" w14:textId="77777777" w:rsidR="001A293D" w:rsidRPr="00C47A40" w:rsidRDefault="001A293D" w:rsidP="009B6E81">
            <w:pPr>
              <w:spacing w:after="0" w:line="24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3</w:t>
            </w:r>
          </w:p>
        </w:tc>
        <w:tc>
          <w:tcPr>
            <w:tcW w:w="41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312A697A" w14:textId="77777777" w:rsidR="001A293D" w:rsidRPr="00C47A40" w:rsidRDefault="001A293D" w:rsidP="009B6E81">
            <w:pPr>
              <w:spacing w:after="120" w:line="48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Medio</w:t>
            </w:r>
          </w:p>
        </w:tc>
      </w:tr>
      <w:tr w:rsidR="001A293D" w:rsidRPr="002C0430" w14:paraId="4B323B96" w14:textId="77777777" w:rsidTr="009B6E81">
        <w:trPr>
          <w:trHeight w:hRule="exact" w:val="454"/>
          <w:jc w:val="center"/>
        </w:trPr>
        <w:tc>
          <w:tcPr>
            <w:tcW w:w="43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51EFC7B7" w14:textId="77777777" w:rsidR="001A293D" w:rsidRPr="00C47A40" w:rsidRDefault="001A293D" w:rsidP="009B6E81">
            <w:pPr>
              <w:spacing w:after="0" w:line="24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4</w:t>
            </w:r>
          </w:p>
        </w:tc>
        <w:tc>
          <w:tcPr>
            <w:tcW w:w="41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76CDAB51" w14:textId="77777777" w:rsidR="001A293D" w:rsidRPr="00C47A40" w:rsidRDefault="001A293D" w:rsidP="009B6E81">
            <w:pPr>
              <w:spacing w:after="120" w:line="48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Alto</w:t>
            </w:r>
          </w:p>
        </w:tc>
      </w:tr>
      <w:tr w:rsidR="001A293D" w:rsidRPr="002C0430" w14:paraId="412A4793" w14:textId="77777777" w:rsidTr="009B6E81">
        <w:trPr>
          <w:trHeight w:hRule="exact" w:val="454"/>
          <w:jc w:val="center"/>
        </w:trPr>
        <w:tc>
          <w:tcPr>
            <w:tcW w:w="439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6124B864" w14:textId="77777777" w:rsidR="001A293D" w:rsidRPr="00C47A40" w:rsidRDefault="001A293D" w:rsidP="009B6E81">
            <w:pPr>
              <w:spacing w:after="0" w:line="24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5</w:t>
            </w:r>
          </w:p>
        </w:tc>
        <w:tc>
          <w:tcPr>
            <w:tcW w:w="410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14:paraId="58C2B86E" w14:textId="77777777" w:rsidR="001A293D" w:rsidRPr="00C47A40" w:rsidRDefault="001A293D" w:rsidP="009B6E81">
            <w:pPr>
              <w:spacing w:after="120" w:line="480" w:lineRule="auto"/>
              <w:jc w:val="center"/>
              <w:rPr>
                <w:rFonts w:ascii="Arial" w:eastAsia="Times New Roman" w:hAnsi="Arial" w:cs="Arial"/>
                <w:color w:val="000000"/>
                <w:sz w:val="24"/>
                <w:szCs w:val="24"/>
              </w:rPr>
            </w:pPr>
            <w:r w:rsidRPr="00C47A40">
              <w:rPr>
                <w:rFonts w:ascii="Arial" w:eastAsia="Times New Roman" w:hAnsi="Arial" w:cs="Arial"/>
                <w:color w:val="000000"/>
                <w:sz w:val="24"/>
                <w:szCs w:val="24"/>
              </w:rPr>
              <w:t>Muy alto</w:t>
            </w:r>
          </w:p>
        </w:tc>
      </w:tr>
    </w:tbl>
    <w:p w14:paraId="0E08B6A9"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7F542637"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lastRenderedPageBreak/>
        <w:t xml:space="preserve">El grado de priorización que se asigne a cada atributo debe justificarse y ponerse en una tabla, posteriormente estos valores se suman para obtener el valor TOTAL, el cual corresponde a la puntuación de la priorización de la necesidad/problema. Esta operación se debe realizar para cada uno de los sectores considerados. </w:t>
      </w:r>
    </w:p>
    <w:p w14:paraId="5A4B0E5B"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0C729500" w14:textId="77777777" w:rsidR="001A293D" w:rsidRPr="002C0430" w:rsidRDefault="001A293D" w:rsidP="001A293D">
      <w:pPr>
        <w:spacing w:after="0" w:line="240" w:lineRule="auto"/>
        <w:jc w:val="both"/>
        <w:rPr>
          <w:rFonts w:ascii="Arial" w:eastAsia="Times New Roman" w:hAnsi="Arial" w:cs="Arial"/>
          <w:color w:val="000000"/>
          <w:sz w:val="24"/>
          <w:szCs w:val="24"/>
        </w:rPr>
      </w:pPr>
      <w:r w:rsidRPr="002C0430">
        <w:rPr>
          <w:rFonts w:ascii="Arial" w:eastAsia="Times New Roman" w:hAnsi="Arial" w:cs="Arial"/>
          <w:color w:val="000000"/>
          <w:sz w:val="24"/>
          <w:szCs w:val="24"/>
        </w:rPr>
        <w:t>A continuación se presenta una tabla en la cual se colocan: las necesidades/problemas y los atributos. Una vez descrita la necesidad/problema, en cada celda se ponen los grados asignados para cada atributo con la respectiva justificación y en la columna TOTAL, la sumatoria de estos grados.</w:t>
      </w:r>
    </w:p>
    <w:p w14:paraId="22CACF9C" w14:textId="77777777" w:rsidR="001A293D" w:rsidRPr="002C0430" w:rsidRDefault="001A293D" w:rsidP="001A293D">
      <w:pPr>
        <w:spacing w:after="0" w:line="240" w:lineRule="auto"/>
        <w:jc w:val="both"/>
        <w:rPr>
          <w:rFonts w:ascii="Arial" w:eastAsia="Times New Roman" w:hAnsi="Arial" w:cs="Arial"/>
          <w:color w:val="000000"/>
          <w:sz w:val="24"/>
          <w:szCs w:val="24"/>
        </w:rPr>
      </w:pPr>
    </w:p>
    <w:p w14:paraId="598B4666" w14:textId="77777777" w:rsidR="001A293D" w:rsidRPr="002C0430" w:rsidRDefault="001A293D" w:rsidP="001A293D">
      <w:pPr>
        <w:spacing w:after="120" w:line="480" w:lineRule="auto"/>
        <w:jc w:val="center"/>
        <w:rPr>
          <w:rFonts w:ascii="Arial" w:eastAsia="Times New Roman" w:hAnsi="Arial" w:cs="Arial"/>
          <w:color w:val="000000"/>
          <w:sz w:val="24"/>
          <w:szCs w:val="24"/>
        </w:rPr>
      </w:pPr>
      <w:r w:rsidRPr="002C0430">
        <w:rPr>
          <w:rFonts w:ascii="Arial" w:eastAsia="Times New Roman" w:hAnsi="Arial" w:cs="Arial"/>
          <w:color w:val="000000"/>
          <w:sz w:val="24"/>
          <w:szCs w:val="24"/>
        </w:rPr>
        <w:t>TABLA I. Priorización dentro del sector</w:t>
      </w:r>
    </w:p>
    <w:p w14:paraId="4F188FC5" w14:textId="77777777" w:rsidR="001A293D" w:rsidRPr="002C0430" w:rsidRDefault="001A293D" w:rsidP="001A293D">
      <w:pPr>
        <w:spacing w:after="120" w:line="480" w:lineRule="auto"/>
        <w:rPr>
          <w:rFonts w:ascii="Arial" w:eastAsia="Times New Roman" w:hAnsi="Arial" w:cs="Arial"/>
          <w:color w:val="000000"/>
          <w:sz w:val="24"/>
          <w:szCs w:val="24"/>
        </w:rPr>
      </w:pPr>
      <w:r>
        <w:rPr>
          <w:rFonts w:ascii="Arial" w:eastAsia="Times New Roman" w:hAnsi="Arial" w:cs="Arial"/>
          <w:color w:val="000000"/>
          <w:sz w:val="24"/>
          <w:szCs w:val="24"/>
        </w:rPr>
        <w:t>Sector:</w:t>
      </w:r>
    </w:p>
    <w:tbl>
      <w:tblPr>
        <w:tblW w:w="8581" w:type="dxa"/>
        <w:tblInd w:w="60" w:type="dxa"/>
        <w:tblLayout w:type="fixed"/>
        <w:tblCellMar>
          <w:left w:w="10" w:type="dxa"/>
          <w:right w:w="10" w:type="dxa"/>
        </w:tblCellMar>
        <w:tblLook w:val="04A0" w:firstRow="1" w:lastRow="0" w:firstColumn="1" w:lastColumn="0" w:noHBand="0" w:noVBand="1"/>
      </w:tblPr>
      <w:tblGrid>
        <w:gridCol w:w="2061"/>
        <w:gridCol w:w="1559"/>
        <w:gridCol w:w="1417"/>
        <w:gridCol w:w="1363"/>
        <w:gridCol w:w="1472"/>
        <w:gridCol w:w="709"/>
      </w:tblGrid>
      <w:tr w:rsidR="001A293D" w:rsidRPr="002C0430" w14:paraId="76150C27" w14:textId="77777777" w:rsidTr="009B6E81">
        <w:tc>
          <w:tcPr>
            <w:tcW w:w="2061"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7C5054CD" w14:textId="77777777" w:rsidR="001A293D" w:rsidRPr="002C0430" w:rsidRDefault="001A293D" w:rsidP="009B6E81">
            <w:pPr>
              <w:spacing w:after="0" w:line="240" w:lineRule="auto"/>
              <w:jc w:val="center"/>
              <w:rPr>
                <w:rFonts w:ascii="Arial" w:eastAsia="Times New Roman" w:hAnsi="Arial" w:cs="Arial"/>
                <w:b/>
                <w:color w:val="000000"/>
                <w:sz w:val="24"/>
                <w:szCs w:val="24"/>
              </w:rPr>
            </w:pPr>
          </w:p>
          <w:p w14:paraId="30D22D51" w14:textId="77777777" w:rsidR="001A293D" w:rsidRPr="002C0430" w:rsidRDefault="001A293D" w:rsidP="009B6E81">
            <w:pPr>
              <w:spacing w:after="0" w:line="240" w:lineRule="auto"/>
              <w:jc w:val="center"/>
              <w:rPr>
                <w:rFonts w:ascii="Arial" w:eastAsia="Times New Roman" w:hAnsi="Arial" w:cs="Arial"/>
                <w:b/>
                <w:color w:val="000000"/>
                <w:sz w:val="24"/>
                <w:szCs w:val="24"/>
              </w:rPr>
            </w:pPr>
            <w:r w:rsidRPr="002C0430">
              <w:rPr>
                <w:rFonts w:ascii="Arial" w:eastAsia="Times New Roman" w:hAnsi="Arial" w:cs="Arial"/>
                <w:b/>
                <w:color w:val="000000"/>
                <w:sz w:val="24"/>
                <w:szCs w:val="24"/>
              </w:rPr>
              <w:t xml:space="preserve">   Atributos</w:t>
            </w:r>
          </w:p>
          <w:p w14:paraId="0A21452F" w14:textId="77777777" w:rsidR="001A293D" w:rsidRPr="002C0430" w:rsidRDefault="001A293D" w:rsidP="009B6E81">
            <w:pPr>
              <w:spacing w:after="0" w:line="240" w:lineRule="auto"/>
              <w:rPr>
                <w:rFonts w:ascii="Arial" w:eastAsia="Times New Roman" w:hAnsi="Arial" w:cs="Arial"/>
                <w:b/>
                <w:color w:val="000000"/>
                <w:sz w:val="24"/>
                <w:szCs w:val="24"/>
              </w:rPr>
            </w:pPr>
          </w:p>
          <w:p w14:paraId="3967DDDD" w14:textId="77777777" w:rsidR="001A293D" w:rsidRPr="002C0430" w:rsidRDefault="001A293D" w:rsidP="009B6E81">
            <w:pPr>
              <w:spacing w:after="0" w:line="240" w:lineRule="auto"/>
              <w:rPr>
                <w:rFonts w:ascii="Arial" w:eastAsia="Times New Roman" w:hAnsi="Arial" w:cs="Arial"/>
                <w:b/>
                <w:color w:val="000000"/>
                <w:sz w:val="24"/>
                <w:szCs w:val="24"/>
              </w:rPr>
            </w:pPr>
          </w:p>
          <w:p w14:paraId="60B72D31" w14:textId="77777777" w:rsidR="001A293D" w:rsidRPr="002C0430" w:rsidRDefault="001A293D" w:rsidP="009B6E81">
            <w:pPr>
              <w:spacing w:after="0" w:line="240" w:lineRule="auto"/>
              <w:rPr>
                <w:rFonts w:ascii="Arial" w:eastAsia="Times New Roman" w:hAnsi="Arial" w:cs="Arial"/>
                <w:b/>
                <w:color w:val="000000"/>
                <w:sz w:val="24"/>
                <w:szCs w:val="24"/>
              </w:rPr>
            </w:pPr>
          </w:p>
          <w:p w14:paraId="6E4D9CB2" w14:textId="77777777" w:rsidR="001A293D" w:rsidRPr="002C0430" w:rsidRDefault="001A293D" w:rsidP="009B6E81">
            <w:pPr>
              <w:spacing w:after="0" w:line="240" w:lineRule="auto"/>
              <w:rPr>
                <w:rFonts w:ascii="Arial" w:eastAsia="Times New Roman" w:hAnsi="Arial" w:cs="Arial"/>
                <w:b/>
                <w:color w:val="000000"/>
                <w:sz w:val="24"/>
                <w:szCs w:val="24"/>
              </w:rPr>
            </w:pPr>
          </w:p>
          <w:p w14:paraId="32814815" w14:textId="77777777" w:rsidR="001A293D" w:rsidRDefault="001A293D" w:rsidP="009B6E81">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Necesidad/</w:t>
            </w:r>
          </w:p>
          <w:p w14:paraId="24B72B5E" w14:textId="77777777" w:rsidR="001A293D" w:rsidRPr="002C0430" w:rsidRDefault="001A293D" w:rsidP="009B6E81">
            <w:pPr>
              <w:spacing w:after="0" w:line="240" w:lineRule="auto"/>
              <w:rPr>
                <w:rFonts w:ascii="Arial" w:eastAsia="Times New Roman" w:hAnsi="Arial" w:cs="Arial"/>
                <w:b/>
                <w:color w:val="000000"/>
                <w:sz w:val="24"/>
                <w:szCs w:val="24"/>
              </w:rPr>
            </w:pPr>
            <w:r w:rsidRPr="002C0430">
              <w:rPr>
                <w:rFonts w:ascii="Arial" w:eastAsia="Times New Roman" w:hAnsi="Arial" w:cs="Arial"/>
                <w:b/>
                <w:color w:val="000000"/>
                <w:sz w:val="24"/>
                <w:szCs w:val="24"/>
              </w:rPr>
              <w:t xml:space="preserve">Problema </w:t>
            </w:r>
          </w:p>
        </w:tc>
        <w:tc>
          <w:tcPr>
            <w:tcW w:w="1559"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2207718B" w14:textId="77777777" w:rsidR="001A293D" w:rsidRPr="002C0430" w:rsidRDefault="001A293D" w:rsidP="009B6E81">
            <w:pPr>
              <w:spacing w:after="0" w:line="240" w:lineRule="auto"/>
              <w:jc w:val="center"/>
              <w:rPr>
                <w:rFonts w:ascii="Arial" w:eastAsia="Times New Roman" w:hAnsi="Arial" w:cs="Arial"/>
                <w:b/>
                <w:color w:val="000000"/>
                <w:sz w:val="24"/>
                <w:szCs w:val="24"/>
              </w:rPr>
            </w:pPr>
          </w:p>
          <w:p w14:paraId="129BA469" w14:textId="77777777" w:rsidR="001A293D" w:rsidRPr="002C0430" w:rsidRDefault="001A293D" w:rsidP="009B6E81">
            <w:pPr>
              <w:spacing w:after="0" w:line="240" w:lineRule="auto"/>
              <w:jc w:val="center"/>
              <w:rPr>
                <w:rFonts w:ascii="Arial" w:eastAsia="Times New Roman" w:hAnsi="Arial" w:cs="Arial"/>
                <w:b/>
                <w:color w:val="000000"/>
                <w:sz w:val="24"/>
                <w:szCs w:val="24"/>
              </w:rPr>
            </w:pPr>
            <w:r w:rsidRPr="002C0430">
              <w:rPr>
                <w:rFonts w:ascii="Arial" w:eastAsia="Times New Roman" w:hAnsi="Arial" w:cs="Arial"/>
                <w:b/>
                <w:color w:val="000000"/>
                <w:sz w:val="24"/>
                <w:szCs w:val="24"/>
              </w:rPr>
              <w:t>Gravedad</w:t>
            </w:r>
          </w:p>
        </w:tc>
        <w:tc>
          <w:tcPr>
            <w:tcW w:w="1417"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77FF0B7C" w14:textId="77777777" w:rsidR="001A293D" w:rsidRPr="002C0430" w:rsidRDefault="001A293D" w:rsidP="009B6E81">
            <w:pPr>
              <w:spacing w:after="0" w:line="240" w:lineRule="auto"/>
              <w:jc w:val="center"/>
              <w:rPr>
                <w:rFonts w:ascii="Arial" w:eastAsia="Times New Roman" w:hAnsi="Arial" w:cs="Arial"/>
                <w:b/>
                <w:color w:val="000000"/>
                <w:sz w:val="24"/>
                <w:szCs w:val="24"/>
              </w:rPr>
            </w:pPr>
          </w:p>
          <w:p w14:paraId="0E688EDC" w14:textId="77777777" w:rsidR="001A293D" w:rsidRPr="002C0430" w:rsidRDefault="001A293D" w:rsidP="009B6E81">
            <w:pPr>
              <w:spacing w:after="0" w:line="240" w:lineRule="auto"/>
              <w:jc w:val="center"/>
              <w:rPr>
                <w:rFonts w:ascii="Arial" w:eastAsia="Times New Roman" w:hAnsi="Arial" w:cs="Arial"/>
                <w:b/>
                <w:color w:val="000000"/>
                <w:sz w:val="24"/>
                <w:szCs w:val="24"/>
              </w:rPr>
            </w:pPr>
            <w:r w:rsidRPr="002C0430">
              <w:rPr>
                <w:rFonts w:ascii="Arial" w:eastAsia="Times New Roman" w:hAnsi="Arial" w:cs="Arial"/>
                <w:b/>
                <w:color w:val="000000"/>
                <w:sz w:val="24"/>
                <w:szCs w:val="24"/>
              </w:rPr>
              <w:t>Tiempo</w:t>
            </w:r>
          </w:p>
        </w:tc>
        <w:tc>
          <w:tcPr>
            <w:tcW w:w="1363"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5C3D364F" w14:textId="77777777" w:rsidR="001A293D" w:rsidRPr="002C0430" w:rsidRDefault="001A293D" w:rsidP="009B6E81">
            <w:pPr>
              <w:spacing w:after="0" w:line="240" w:lineRule="auto"/>
              <w:jc w:val="center"/>
              <w:rPr>
                <w:rFonts w:ascii="Arial" w:eastAsia="Times New Roman" w:hAnsi="Arial" w:cs="Arial"/>
                <w:b/>
                <w:color w:val="000000"/>
                <w:sz w:val="24"/>
                <w:szCs w:val="24"/>
              </w:rPr>
            </w:pPr>
          </w:p>
          <w:p w14:paraId="33594ADE" w14:textId="77777777" w:rsidR="001A293D" w:rsidRPr="002C0430" w:rsidRDefault="001A293D" w:rsidP="009B6E81">
            <w:pPr>
              <w:spacing w:after="0" w:line="240" w:lineRule="auto"/>
              <w:jc w:val="center"/>
              <w:rPr>
                <w:rFonts w:ascii="Arial" w:eastAsia="Times New Roman" w:hAnsi="Arial" w:cs="Arial"/>
                <w:b/>
                <w:color w:val="000000"/>
                <w:sz w:val="24"/>
                <w:szCs w:val="24"/>
              </w:rPr>
            </w:pPr>
            <w:r w:rsidRPr="002C0430">
              <w:rPr>
                <w:rFonts w:ascii="Arial" w:eastAsia="Times New Roman" w:hAnsi="Arial" w:cs="Arial"/>
                <w:b/>
                <w:color w:val="000000"/>
                <w:sz w:val="24"/>
                <w:szCs w:val="24"/>
              </w:rPr>
              <w:t>Extensión</w:t>
            </w:r>
          </w:p>
        </w:tc>
        <w:tc>
          <w:tcPr>
            <w:tcW w:w="1472"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0399FC25" w14:textId="77777777" w:rsidR="001A293D" w:rsidRPr="002C0430" w:rsidRDefault="001A293D" w:rsidP="009B6E81">
            <w:pPr>
              <w:spacing w:after="0" w:line="240" w:lineRule="auto"/>
              <w:jc w:val="center"/>
              <w:rPr>
                <w:rFonts w:ascii="Arial" w:eastAsia="Times New Roman" w:hAnsi="Arial" w:cs="Arial"/>
                <w:b/>
                <w:color w:val="000000"/>
                <w:sz w:val="24"/>
                <w:szCs w:val="24"/>
              </w:rPr>
            </w:pPr>
          </w:p>
          <w:p w14:paraId="456AD495" w14:textId="77777777" w:rsidR="001A293D" w:rsidRPr="002C0430" w:rsidRDefault="001A293D" w:rsidP="009B6E81">
            <w:pPr>
              <w:spacing w:after="0" w:line="240" w:lineRule="auto"/>
              <w:jc w:val="center"/>
              <w:rPr>
                <w:rFonts w:ascii="Arial" w:eastAsia="Times New Roman" w:hAnsi="Arial" w:cs="Arial"/>
                <w:b/>
                <w:color w:val="000000"/>
                <w:sz w:val="24"/>
                <w:szCs w:val="24"/>
              </w:rPr>
            </w:pPr>
            <w:r w:rsidRPr="002C0430">
              <w:rPr>
                <w:rFonts w:ascii="Arial" w:eastAsia="Times New Roman" w:hAnsi="Arial" w:cs="Arial"/>
                <w:b/>
                <w:color w:val="000000"/>
                <w:sz w:val="24"/>
                <w:szCs w:val="24"/>
              </w:rPr>
              <w:t>Relevancia</w:t>
            </w:r>
          </w:p>
          <w:p w14:paraId="2E6A3A5C" w14:textId="77777777" w:rsidR="001A293D" w:rsidRPr="002C0430" w:rsidRDefault="001A293D" w:rsidP="009B6E81">
            <w:pPr>
              <w:spacing w:after="0" w:line="240" w:lineRule="auto"/>
              <w:jc w:val="center"/>
              <w:rPr>
                <w:rFonts w:ascii="Arial" w:eastAsia="Times New Roman" w:hAnsi="Arial" w:cs="Arial"/>
                <w:b/>
                <w:color w:val="000000"/>
                <w:sz w:val="24"/>
                <w:szCs w:val="24"/>
              </w:rPr>
            </w:pPr>
          </w:p>
        </w:tc>
        <w:tc>
          <w:tcPr>
            <w:tcW w:w="709"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3C4DBA48" w14:textId="77777777" w:rsidR="001A293D" w:rsidRPr="002C0430" w:rsidRDefault="001A293D" w:rsidP="009B6E81">
            <w:pPr>
              <w:spacing w:after="0" w:line="240" w:lineRule="auto"/>
              <w:jc w:val="center"/>
              <w:rPr>
                <w:rFonts w:ascii="Arial" w:eastAsia="Times New Roman" w:hAnsi="Arial" w:cs="Arial"/>
                <w:b/>
                <w:color w:val="000000"/>
                <w:sz w:val="24"/>
                <w:szCs w:val="24"/>
              </w:rPr>
            </w:pPr>
          </w:p>
          <w:p w14:paraId="0CF0345A" w14:textId="77777777" w:rsidR="001A293D" w:rsidRPr="002C0430" w:rsidRDefault="001A293D" w:rsidP="009B6E81">
            <w:pPr>
              <w:keepNext/>
              <w:spacing w:after="0" w:line="240" w:lineRule="auto"/>
              <w:ind w:right="-496"/>
              <w:jc w:val="both"/>
              <w:rPr>
                <w:rFonts w:ascii="Arial" w:eastAsia="Times New Roman" w:hAnsi="Arial" w:cs="Arial"/>
                <w:b/>
                <w:color w:val="000000"/>
                <w:sz w:val="24"/>
                <w:szCs w:val="24"/>
              </w:rPr>
            </w:pPr>
            <w:r w:rsidRPr="002C0430">
              <w:rPr>
                <w:rFonts w:ascii="Arial" w:eastAsia="Times New Roman" w:hAnsi="Arial" w:cs="Arial"/>
                <w:b/>
                <w:color w:val="000000"/>
                <w:sz w:val="24"/>
                <w:szCs w:val="24"/>
              </w:rPr>
              <w:t>Total</w:t>
            </w:r>
          </w:p>
        </w:tc>
      </w:tr>
      <w:tr w:rsidR="001A293D" w:rsidRPr="002C0430" w14:paraId="463C312B" w14:textId="77777777" w:rsidTr="009B6E81">
        <w:tc>
          <w:tcPr>
            <w:tcW w:w="206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20801B7F" w14:textId="77777777" w:rsidR="001A293D" w:rsidRPr="002C0430" w:rsidRDefault="001A293D" w:rsidP="009B6E81">
            <w:pPr>
              <w:spacing w:after="0" w:line="240" w:lineRule="auto"/>
              <w:rPr>
                <w:rFonts w:ascii="Arial" w:eastAsia="Arial" w:hAnsi="Arial" w:cs="Arial"/>
                <w:b/>
                <w:color w:val="000000"/>
                <w:sz w:val="24"/>
                <w:szCs w:val="24"/>
              </w:rPr>
            </w:pPr>
          </w:p>
          <w:p w14:paraId="6DAB9D31" w14:textId="77777777" w:rsidR="001A293D" w:rsidRPr="002C0430" w:rsidRDefault="001A293D" w:rsidP="009B6E81">
            <w:pPr>
              <w:spacing w:after="0" w:line="240" w:lineRule="auto"/>
              <w:rPr>
                <w:rFonts w:ascii="Arial" w:eastAsia="Arial" w:hAnsi="Arial" w:cs="Arial"/>
                <w:b/>
                <w:color w:val="000000"/>
                <w:sz w:val="24"/>
                <w:szCs w:val="24"/>
              </w:rPr>
            </w:pPr>
            <w:r w:rsidRPr="002C0430">
              <w:rPr>
                <w:rFonts w:ascii="Arial" w:eastAsia="Arial" w:hAnsi="Arial" w:cs="Arial"/>
                <w:b/>
                <w:color w:val="000000"/>
                <w:sz w:val="24"/>
                <w:szCs w:val="24"/>
              </w:rPr>
              <w:t>1) (descripción)</w:t>
            </w:r>
          </w:p>
          <w:p w14:paraId="6BBA5AA2" w14:textId="77777777" w:rsidR="001A293D" w:rsidRPr="002C0430" w:rsidRDefault="001A293D" w:rsidP="009B6E81">
            <w:pPr>
              <w:spacing w:after="0" w:line="240" w:lineRule="auto"/>
              <w:rPr>
                <w:rFonts w:ascii="Arial" w:eastAsia="Arial" w:hAnsi="Arial" w:cs="Arial"/>
                <w:b/>
                <w:color w:val="000000"/>
                <w:sz w:val="24"/>
                <w:szCs w:val="24"/>
              </w:rPr>
            </w:pPr>
          </w:p>
        </w:tc>
        <w:tc>
          <w:tcPr>
            <w:tcW w:w="155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6733E02D"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b/>
                <w:color w:val="000000"/>
                <w:sz w:val="20"/>
                <w:szCs w:val="20"/>
              </w:rPr>
              <w:t xml:space="preserve">Grado: </w:t>
            </w:r>
            <w:r w:rsidRPr="00D25DE3">
              <w:rPr>
                <w:rFonts w:ascii="Arial" w:eastAsia="Arial" w:hAnsi="Arial" w:cs="Arial"/>
                <w:color w:val="000000"/>
                <w:sz w:val="20"/>
                <w:szCs w:val="20"/>
              </w:rPr>
              <w:t>1 a 5</w:t>
            </w:r>
          </w:p>
          <w:p w14:paraId="4C2C0AC5" w14:textId="77777777" w:rsidR="001A293D" w:rsidRPr="00D25DE3"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50A5FB09" w14:textId="77777777" w:rsidR="001A293D" w:rsidRPr="00D25DE3" w:rsidRDefault="001A293D" w:rsidP="009B6E81">
            <w:pPr>
              <w:spacing w:after="0" w:line="240" w:lineRule="auto"/>
              <w:jc w:val="center"/>
              <w:rPr>
                <w:rFonts w:ascii="Arial" w:eastAsia="Arial" w:hAnsi="Arial" w:cs="Arial"/>
                <w:color w:val="000000"/>
                <w:sz w:val="20"/>
                <w:szCs w:val="20"/>
              </w:rPr>
            </w:pPr>
          </w:p>
          <w:p w14:paraId="0A9C6F73" w14:textId="77777777" w:rsidR="001A293D" w:rsidRPr="00D25DE3" w:rsidRDefault="001A293D" w:rsidP="009B6E81">
            <w:pPr>
              <w:spacing w:after="0" w:line="240" w:lineRule="auto"/>
              <w:jc w:val="center"/>
              <w:rPr>
                <w:rFonts w:ascii="Arial" w:eastAsia="Arial" w:hAnsi="Arial" w:cs="Arial"/>
                <w:color w:val="000000"/>
                <w:sz w:val="20"/>
                <w:szCs w:val="20"/>
              </w:rPr>
            </w:pPr>
            <w:r w:rsidRPr="00D25DE3">
              <w:rPr>
                <w:rFonts w:ascii="Arial" w:eastAsia="Arial" w:hAnsi="Arial" w:cs="Arial"/>
                <w:color w:val="000000"/>
                <w:sz w:val="20"/>
                <w:szCs w:val="20"/>
              </w:rPr>
              <w:t>(texto)</w:t>
            </w:r>
          </w:p>
          <w:p w14:paraId="2E6C46D3" w14:textId="77777777" w:rsidR="001A293D" w:rsidRPr="00D25DE3" w:rsidRDefault="001A293D" w:rsidP="009B6E81">
            <w:pPr>
              <w:spacing w:after="0" w:line="240" w:lineRule="auto"/>
              <w:rPr>
                <w:rFonts w:ascii="Arial" w:eastAsia="Arial" w:hAnsi="Arial" w:cs="Arial"/>
                <w:color w:val="000000"/>
                <w:sz w:val="20"/>
                <w:szCs w:val="20"/>
              </w:rPr>
            </w:pPr>
          </w:p>
        </w:tc>
        <w:tc>
          <w:tcPr>
            <w:tcW w:w="141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0AE5E166"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b/>
                <w:color w:val="000000"/>
                <w:sz w:val="20"/>
                <w:szCs w:val="20"/>
              </w:rPr>
              <w:t xml:space="preserve">Grado: </w:t>
            </w:r>
            <w:r w:rsidRPr="00D25DE3">
              <w:rPr>
                <w:rFonts w:ascii="Arial" w:eastAsia="Arial" w:hAnsi="Arial" w:cs="Arial"/>
                <w:color w:val="000000"/>
                <w:sz w:val="20"/>
                <w:szCs w:val="20"/>
              </w:rPr>
              <w:t>1 a 5</w:t>
            </w:r>
          </w:p>
          <w:p w14:paraId="3004CA3E" w14:textId="77777777" w:rsidR="001A293D" w:rsidRPr="00D25DE3"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42CF6B3D" w14:textId="77777777" w:rsidR="001A293D" w:rsidRPr="00D25DE3" w:rsidRDefault="001A293D" w:rsidP="009B6E81">
            <w:pPr>
              <w:spacing w:after="0" w:line="240" w:lineRule="auto"/>
              <w:jc w:val="center"/>
              <w:rPr>
                <w:rFonts w:ascii="Arial" w:eastAsia="Arial" w:hAnsi="Arial" w:cs="Arial"/>
                <w:color w:val="000000"/>
                <w:sz w:val="20"/>
                <w:szCs w:val="20"/>
              </w:rPr>
            </w:pPr>
          </w:p>
          <w:p w14:paraId="2A51DE46" w14:textId="77777777" w:rsidR="001A293D" w:rsidRPr="00D25DE3" w:rsidRDefault="001A293D" w:rsidP="009B6E81">
            <w:pPr>
              <w:spacing w:after="0" w:line="240" w:lineRule="auto"/>
              <w:jc w:val="center"/>
              <w:rPr>
                <w:rFonts w:ascii="Arial" w:eastAsia="Arial" w:hAnsi="Arial" w:cs="Arial"/>
                <w:color w:val="000000"/>
                <w:sz w:val="20"/>
                <w:szCs w:val="20"/>
              </w:rPr>
            </w:pPr>
            <w:r w:rsidRPr="00D25DE3">
              <w:rPr>
                <w:rFonts w:ascii="Arial" w:eastAsia="Arial" w:hAnsi="Arial" w:cs="Arial"/>
                <w:color w:val="000000"/>
                <w:sz w:val="20"/>
                <w:szCs w:val="20"/>
              </w:rPr>
              <w:t>(texto)</w:t>
            </w:r>
          </w:p>
          <w:p w14:paraId="21C8F87A" w14:textId="77777777" w:rsidR="001A293D" w:rsidRPr="00D25DE3" w:rsidRDefault="001A293D" w:rsidP="009B6E81">
            <w:pPr>
              <w:spacing w:after="0" w:line="240" w:lineRule="auto"/>
              <w:jc w:val="center"/>
              <w:rPr>
                <w:rFonts w:ascii="Arial" w:eastAsia="Arial" w:hAnsi="Arial" w:cs="Arial"/>
                <w:color w:val="000000"/>
                <w:sz w:val="20"/>
                <w:szCs w:val="20"/>
              </w:rPr>
            </w:pPr>
          </w:p>
        </w:tc>
        <w:tc>
          <w:tcPr>
            <w:tcW w:w="136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35F11A04"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b/>
                <w:color w:val="000000"/>
                <w:sz w:val="20"/>
                <w:szCs w:val="20"/>
              </w:rPr>
              <w:t xml:space="preserve">Grado: </w:t>
            </w:r>
            <w:r w:rsidRPr="00D25DE3">
              <w:rPr>
                <w:rFonts w:ascii="Arial" w:eastAsia="Arial" w:hAnsi="Arial" w:cs="Arial"/>
                <w:color w:val="000000"/>
                <w:sz w:val="20"/>
                <w:szCs w:val="20"/>
              </w:rPr>
              <w:t>1 a 5</w:t>
            </w:r>
          </w:p>
          <w:p w14:paraId="7D7FE00B" w14:textId="77777777" w:rsidR="001A293D" w:rsidRPr="00D25DE3"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2DC308F9" w14:textId="77777777" w:rsidR="001A293D" w:rsidRPr="00D25DE3" w:rsidRDefault="001A293D" w:rsidP="009B6E81">
            <w:pPr>
              <w:spacing w:after="0" w:line="240" w:lineRule="auto"/>
              <w:jc w:val="center"/>
              <w:rPr>
                <w:rFonts w:ascii="Arial" w:eastAsia="Arial" w:hAnsi="Arial" w:cs="Arial"/>
                <w:color w:val="000000"/>
                <w:sz w:val="20"/>
                <w:szCs w:val="20"/>
              </w:rPr>
            </w:pPr>
          </w:p>
          <w:p w14:paraId="2E3BFF6A" w14:textId="77777777" w:rsidR="001A293D" w:rsidRPr="00D25DE3" w:rsidRDefault="001A293D" w:rsidP="009B6E81">
            <w:pPr>
              <w:spacing w:after="0" w:line="240" w:lineRule="auto"/>
              <w:jc w:val="center"/>
              <w:rPr>
                <w:rFonts w:ascii="Arial" w:eastAsia="Arial" w:hAnsi="Arial" w:cs="Arial"/>
                <w:color w:val="000000"/>
                <w:sz w:val="20"/>
                <w:szCs w:val="20"/>
              </w:rPr>
            </w:pPr>
            <w:r w:rsidRPr="00D25DE3">
              <w:rPr>
                <w:rFonts w:ascii="Arial" w:eastAsia="Arial" w:hAnsi="Arial" w:cs="Arial"/>
                <w:color w:val="000000"/>
                <w:sz w:val="20"/>
                <w:szCs w:val="20"/>
              </w:rPr>
              <w:t>(texto)</w:t>
            </w:r>
          </w:p>
          <w:p w14:paraId="4EC25FDF" w14:textId="77777777" w:rsidR="001A293D" w:rsidRPr="00D25DE3" w:rsidRDefault="001A293D" w:rsidP="009B6E81">
            <w:pPr>
              <w:spacing w:after="0" w:line="240" w:lineRule="auto"/>
              <w:jc w:val="center"/>
              <w:rPr>
                <w:rFonts w:ascii="Arial" w:eastAsia="Arial" w:hAnsi="Arial" w:cs="Arial"/>
                <w:color w:val="000000"/>
                <w:sz w:val="20"/>
                <w:szCs w:val="20"/>
              </w:rPr>
            </w:pPr>
          </w:p>
        </w:tc>
        <w:tc>
          <w:tcPr>
            <w:tcW w:w="147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11E4CA1A"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b/>
                <w:color w:val="000000"/>
                <w:sz w:val="20"/>
                <w:szCs w:val="20"/>
              </w:rPr>
              <w:t xml:space="preserve">Grado: </w:t>
            </w:r>
            <w:r w:rsidRPr="00D25DE3">
              <w:rPr>
                <w:rFonts w:ascii="Arial" w:eastAsia="Arial" w:hAnsi="Arial" w:cs="Arial"/>
                <w:color w:val="000000"/>
                <w:sz w:val="20"/>
                <w:szCs w:val="20"/>
              </w:rPr>
              <w:t>1 a 5</w:t>
            </w:r>
          </w:p>
          <w:p w14:paraId="112A03FE" w14:textId="77777777" w:rsidR="001A293D" w:rsidRPr="00D25DE3"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13E7D1C3" w14:textId="77777777" w:rsidR="001A293D" w:rsidRPr="00D25DE3" w:rsidRDefault="001A293D" w:rsidP="009B6E81">
            <w:pPr>
              <w:spacing w:after="0" w:line="240" w:lineRule="auto"/>
              <w:jc w:val="center"/>
              <w:rPr>
                <w:rFonts w:ascii="Arial" w:eastAsia="Arial" w:hAnsi="Arial" w:cs="Arial"/>
                <w:color w:val="000000"/>
                <w:sz w:val="20"/>
                <w:szCs w:val="20"/>
              </w:rPr>
            </w:pPr>
          </w:p>
          <w:p w14:paraId="3F66D8F1" w14:textId="77777777" w:rsidR="001A293D" w:rsidRPr="00D25DE3" w:rsidRDefault="001A293D" w:rsidP="009B6E81">
            <w:pPr>
              <w:spacing w:after="0" w:line="240" w:lineRule="auto"/>
              <w:jc w:val="center"/>
              <w:rPr>
                <w:rFonts w:ascii="Arial" w:eastAsia="Arial" w:hAnsi="Arial" w:cs="Arial"/>
                <w:color w:val="000000"/>
                <w:sz w:val="20"/>
                <w:szCs w:val="20"/>
              </w:rPr>
            </w:pPr>
            <w:r w:rsidRPr="00D25DE3">
              <w:rPr>
                <w:rFonts w:ascii="Arial" w:eastAsia="Arial" w:hAnsi="Arial" w:cs="Arial"/>
                <w:color w:val="000000"/>
                <w:sz w:val="20"/>
                <w:szCs w:val="20"/>
              </w:rPr>
              <w:t>(texto)</w:t>
            </w:r>
          </w:p>
          <w:p w14:paraId="679D6ABE" w14:textId="77777777" w:rsidR="001A293D" w:rsidRPr="00D25DE3" w:rsidRDefault="001A293D" w:rsidP="009B6E81">
            <w:pPr>
              <w:spacing w:after="0" w:line="240" w:lineRule="auto"/>
              <w:jc w:val="center"/>
              <w:rPr>
                <w:rFonts w:ascii="Arial" w:eastAsia="Arial" w:hAnsi="Arial" w:cs="Arial"/>
                <w:color w:val="000000"/>
                <w:sz w:val="20"/>
                <w:szCs w:val="20"/>
              </w:rPr>
            </w:pPr>
          </w:p>
        </w:tc>
        <w:tc>
          <w:tcPr>
            <w:tcW w:w="70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1D14E905"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color w:val="000000"/>
                <w:sz w:val="20"/>
                <w:szCs w:val="20"/>
              </w:rPr>
              <w:t>Suma:</w:t>
            </w:r>
          </w:p>
        </w:tc>
      </w:tr>
      <w:tr w:rsidR="001A293D" w:rsidRPr="002C0430" w14:paraId="1CD55D30" w14:textId="77777777" w:rsidTr="009B6E81">
        <w:tc>
          <w:tcPr>
            <w:tcW w:w="206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0E371BFC" w14:textId="77777777" w:rsidR="001A293D" w:rsidRPr="002C0430" w:rsidRDefault="001A293D" w:rsidP="009B6E81">
            <w:pPr>
              <w:spacing w:after="0" w:line="240" w:lineRule="auto"/>
              <w:rPr>
                <w:rFonts w:ascii="Arial" w:eastAsia="Arial" w:hAnsi="Arial" w:cs="Arial"/>
                <w:b/>
                <w:color w:val="000000"/>
                <w:sz w:val="24"/>
                <w:szCs w:val="24"/>
              </w:rPr>
            </w:pPr>
          </w:p>
          <w:p w14:paraId="73395275" w14:textId="77777777" w:rsidR="001A293D" w:rsidRPr="002C0430" w:rsidRDefault="001A293D" w:rsidP="009B6E81">
            <w:pPr>
              <w:spacing w:after="0" w:line="240" w:lineRule="auto"/>
              <w:rPr>
                <w:rFonts w:ascii="Arial" w:eastAsia="Arial" w:hAnsi="Arial" w:cs="Arial"/>
                <w:b/>
                <w:color w:val="000000"/>
                <w:sz w:val="24"/>
                <w:szCs w:val="24"/>
              </w:rPr>
            </w:pPr>
            <w:r w:rsidRPr="002C0430">
              <w:rPr>
                <w:rFonts w:ascii="Arial" w:eastAsia="Arial" w:hAnsi="Arial" w:cs="Arial"/>
                <w:b/>
                <w:color w:val="000000"/>
                <w:sz w:val="24"/>
                <w:szCs w:val="24"/>
              </w:rPr>
              <w:t>2) (descripción)</w:t>
            </w:r>
          </w:p>
          <w:p w14:paraId="791D5061" w14:textId="77777777" w:rsidR="001A293D" w:rsidRPr="002C0430" w:rsidRDefault="001A293D" w:rsidP="009B6E81">
            <w:pPr>
              <w:spacing w:after="0" w:line="240" w:lineRule="auto"/>
              <w:rPr>
                <w:rFonts w:ascii="Arial" w:eastAsia="Arial" w:hAnsi="Arial" w:cs="Arial"/>
                <w:b/>
                <w:color w:val="000000"/>
                <w:sz w:val="24"/>
                <w:szCs w:val="24"/>
              </w:rPr>
            </w:pPr>
          </w:p>
        </w:tc>
        <w:tc>
          <w:tcPr>
            <w:tcW w:w="155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74A19F6F"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b/>
                <w:color w:val="000000"/>
                <w:sz w:val="20"/>
                <w:szCs w:val="20"/>
              </w:rPr>
              <w:t xml:space="preserve">Grado: </w:t>
            </w:r>
            <w:r>
              <w:rPr>
                <w:rFonts w:ascii="Arial" w:eastAsia="Arial" w:hAnsi="Arial" w:cs="Arial"/>
                <w:color w:val="000000"/>
                <w:sz w:val="20"/>
                <w:szCs w:val="20"/>
              </w:rPr>
              <w:t>1</w:t>
            </w:r>
            <w:r w:rsidRPr="00D25DE3">
              <w:rPr>
                <w:rFonts w:ascii="Arial" w:eastAsia="Arial" w:hAnsi="Arial" w:cs="Arial"/>
                <w:color w:val="000000"/>
                <w:sz w:val="20"/>
                <w:szCs w:val="20"/>
              </w:rPr>
              <w:t xml:space="preserve"> a 5</w:t>
            </w:r>
          </w:p>
          <w:p w14:paraId="776E4B73" w14:textId="77777777" w:rsidR="001A293D" w:rsidRPr="00D25DE3"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5D516ACB" w14:textId="77777777" w:rsidR="001A293D" w:rsidRPr="00D25DE3" w:rsidRDefault="001A293D" w:rsidP="009B6E81">
            <w:pPr>
              <w:spacing w:after="0" w:line="240" w:lineRule="auto"/>
              <w:jc w:val="center"/>
              <w:rPr>
                <w:rFonts w:ascii="Arial" w:eastAsia="Arial" w:hAnsi="Arial" w:cs="Arial"/>
                <w:color w:val="000000"/>
                <w:sz w:val="20"/>
                <w:szCs w:val="20"/>
              </w:rPr>
            </w:pPr>
          </w:p>
          <w:p w14:paraId="177ADCDE" w14:textId="77777777" w:rsidR="001A293D" w:rsidRPr="00D25DE3" w:rsidRDefault="001A293D" w:rsidP="009B6E81">
            <w:pPr>
              <w:spacing w:after="0" w:line="240" w:lineRule="auto"/>
              <w:jc w:val="center"/>
              <w:rPr>
                <w:rFonts w:ascii="Arial" w:eastAsia="Arial" w:hAnsi="Arial" w:cs="Arial"/>
                <w:color w:val="000000"/>
                <w:sz w:val="20"/>
                <w:szCs w:val="20"/>
              </w:rPr>
            </w:pPr>
            <w:r w:rsidRPr="00D25DE3">
              <w:rPr>
                <w:rFonts w:ascii="Arial" w:eastAsia="Arial" w:hAnsi="Arial" w:cs="Arial"/>
                <w:color w:val="000000"/>
                <w:sz w:val="20"/>
                <w:szCs w:val="20"/>
              </w:rPr>
              <w:t>(texto)</w:t>
            </w:r>
          </w:p>
        </w:tc>
        <w:tc>
          <w:tcPr>
            <w:tcW w:w="1417"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5F77F26F"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b/>
                <w:color w:val="000000"/>
                <w:sz w:val="20"/>
                <w:szCs w:val="20"/>
              </w:rPr>
              <w:t xml:space="preserve">Grado: </w:t>
            </w:r>
            <w:r>
              <w:rPr>
                <w:rFonts w:ascii="Arial" w:eastAsia="Arial" w:hAnsi="Arial" w:cs="Arial"/>
                <w:color w:val="000000"/>
                <w:sz w:val="20"/>
                <w:szCs w:val="20"/>
              </w:rPr>
              <w:t>1</w:t>
            </w:r>
            <w:r w:rsidRPr="00D25DE3">
              <w:rPr>
                <w:rFonts w:ascii="Arial" w:eastAsia="Arial" w:hAnsi="Arial" w:cs="Arial"/>
                <w:color w:val="000000"/>
                <w:sz w:val="20"/>
                <w:szCs w:val="20"/>
              </w:rPr>
              <w:t xml:space="preserve"> a 5</w:t>
            </w:r>
          </w:p>
          <w:p w14:paraId="179C7899" w14:textId="77777777" w:rsidR="001A293D" w:rsidRPr="00D25DE3"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68CB4B1D" w14:textId="77777777" w:rsidR="001A293D" w:rsidRPr="00D25DE3" w:rsidRDefault="001A293D" w:rsidP="009B6E81">
            <w:pPr>
              <w:spacing w:after="0" w:line="240" w:lineRule="auto"/>
              <w:rPr>
                <w:rFonts w:ascii="Arial" w:eastAsia="Arial" w:hAnsi="Arial" w:cs="Arial"/>
                <w:color w:val="000000"/>
                <w:sz w:val="20"/>
                <w:szCs w:val="20"/>
              </w:rPr>
            </w:pPr>
          </w:p>
          <w:p w14:paraId="5A0D86F4" w14:textId="77777777" w:rsidR="001A293D" w:rsidRPr="00D25DE3" w:rsidRDefault="001A293D" w:rsidP="009B6E81">
            <w:pPr>
              <w:spacing w:after="0" w:line="240" w:lineRule="auto"/>
              <w:jc w:val="center"/>
              <w:rPr>
                <w:rFonts w:ascii="Arial" w:eastAsia="Arial" w:hAnsi="Arial" w:cs="Arial"/>
                <w:color w:val="000000"/>
                <w:sz w:val="20"/>
                <w:szCs w:val="20"/>
              </w:rPr>
            </w:pPr>
            <w:r w:rsidRPr="00D25DE3">
              <w:rPr>
                <w:rFonts w:ascii="Arial" w:eastAsia="Arial" w:hAnsi="Arial" w:cs="Arial"/>
                <w:color w:val="000000"/>
                <w:sz w:val="20"/>
                <w:szCs w:val="20"/>
              </w:rPr>
              <w:t>(texto)</w:t>
            </w:r>
          </w:p>
        </w:tc>
        <w:tc>
          <w:tcPr>
            <w:tcW w:w="1363"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53FF1C4D"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b/>
                <w:color w:val="000000"/>
                <w:sz w:val="20"/>
                <w:szCs w:val="20"/>
              </w:rPr>
              <w:t xml:space="preserve">Grado: </w:t>
            </w:r>
            <w:r>
              <w:rPr>
                <w:rFonts w:ascii="Arial" w:eastAsia="Arial" w:hAnsi="Arial" w:cs="Arial"/>
                <w:color w:val="000000"/>
                <w:sz w:val="20"/>
                <w:szCs w:val="20"/>
              </w:rPr>
              <w:t>1</w:t>
            </w:r>
            <w:r w:rsidRPr="00D25DE3">
              <w:rPr>
                <w:rFonts w:ascii="Arial" w:eastAsia="Arial" w:hAnsi="Arial" w:cs="Arial"/>
                <w:color w:val="000000"/>
                <w:sz w:val="20"/>
                <w:szCs w:val="20"/>
              </w:rPr>
              <w:t xml:space="preserve"> a 5</w:t>
            </w:r>
          </w:p>
          <w:p w14:paraId="7CED91C2" w14:textId="77777777" w:rsidR="001A293D" w:rsidRPr="00D25DE3"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40FDACDF" w14:textId="77777777" w:rsidR="001A293D" w:rsidRPr="00D25DE3" w:rsidRDefault="001A293D" w:rsidP="009B6E81">
            <w:pPr>
              <w:spacing w:after="0" w:line="240" w:lineRule="auto"/>
              <w:jc w:val="center"/>
              <w:rPr>
                <w:rFonts w:ascii="Arial" w:eastAsia="Arial" w:hAnsi="Arial" w:cs="Arial"/>
                <w:color w:val="000000"/>
                <w:sz w:val="20"/>
                <w:szCs w:val="20"/>
              </w:rPr>
            </w:pPr>
          </w:p>
          <w:p w14:paraId="5EDDC858" w14:textId="77777777" w:rsidR="001A293D" w:rsidRPr="00D25DE3" w:rsidRDefault="001A293D" w:rsidP="009B6E81">
            <w:pPr>
              <w:spacing w:after="0" w:line="240" w:lineRule="auto"/>
              <w:jc w:val="center"/>
              <w:rPr>
                <w:rFonts w:ascii="Arial" w:eastAsia="Arial" w:hAnsi="Arial" w:cs="Arial"/>
                <w:color w:val="000000"/>
                <w:sz w:val="20"/>
                <w:szCs w:val="20"/>
              </w:rPr>
            </w:pPr>
            <w:r w:rsidRPr="00D25DE3">
              <w:rPr>
                <w:rFonts w:ascii="Arial" w:eastAsia="Arial" w:hAnsi="Arial" w:cs="Arial"/>
                <w:color w:val="000000"/>
                <w:sz w:val="20"/>
                <w:szCs w:val="20"/>
              </w:rPr>
              <w:t>(texto)</w:t>
            </w:r>
          </w:p>
        </w:tc>
        <w:tc>
          <w:tcPr>
            <w:tcW w:w="1472"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7D5BAFEE"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b/>
                <w:color w:val="000000"/>
                <w:sz w:val="20"/>
                <w:szCs w:val="20"/>
              </w:rPr>
              <w:t xml:space="preserve">Grado: </w:t>
            </w:r>
            <w:r>
              <w:rPr>
                <w:rFonts w:ascii="Arial" w:eastAsia="Arial" w:hAnsi="Arial" w:cs="Arial"/>
                <w:color w:val="000000"/>
                <w:sz w:val="20"/>
                <w:szCs w:val="20"/>
              </w:rPr>
              <w:t>1</w:t>
            </w:r>
            <w:r w:rsidRPr="00D25DE3">
              <w:rPr>
                <w:rFonts w:ascii="Arial" w:eastAsia="Arial" w:hAnsi="Arial" w:cs="Arial"/>
                <w:color w:val="000000"/>
                <w:sz w:val="20"/>
                <w:szCs w:val="20"/>
              </w:rPr>
              <w:t xml:space="preserve"> a 5</w:t>
            </w:r>
          </w:p>
          <w:p w14:paraId="4179471B" w14:textId="77777777" w:rsidR="001A293D" w:rsidRPr="00D25DE3"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64A9A435" w14:textId="77777777" w:rsidR="001A293D" w:rsidRPr="00D25DE3" w:rsidRDefault="001A293D" w:rsidP="009B6E81">
            <w:pPr>
              <w:spacing w:after="0" w:line="240" w:lineRule="auto"/>
              <w:jc w:val="center"/>
              <w:rPr>
                <w:rFonts w:ascii="Arial" w:eastAsia="Arial" w:hAnsi="Arial" w:cs="Arial"/>
                <w:color w:val="000000"/>
                <w:sz w:val="20"/>
                <w:szCs w:val="20"/>
              </w:rPr>
            </w:pPr>
          </w:p>
          <w:p w14:paraId="5B0D7771" w14:textId="77777777" w:rsidR="001A293D" w:rsidRPr="00D25DE3" w:rsidRDefault="001A293D" w:rsidP="009B6E81">
            <w:pPr>
              <w:spacing w:after="0" w:line="240" w:lineRule="auto"/>
              <w:jc w:val="center"/>
              <w:rPr>
                <w:rFonts w:ascii="Arial" w:eastAsia="Arial" w:hAnsi="Arial" w:cs="Arial"/>
                <w:color w:val="000000"/>
                <w:sz w:val="20"/>
                <w:szCs w:val="20"/>
              </w:rPr>
            </w:pPr>
            <w:r w:rsidRPr="00D25DE3">
              <w:rPr>
                <w:rFonts w:ascii="Arial" w:eastAsia="Arial" w:hAnsi="Arial" w:cs="Arial"/>
                <w:color w:val="000000"/>
                <w:sz w:val="20"/>
                <w:szCs w:val="20"/>
              </w:rPr>
              <w:t>(texto)</w:t>
            </w:r>
          </w:p>
        </w:tc>
        <w:tc>
          <w:tcPr>
            <w:tcW w:w="709"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2EAC235C" w14:textId="77777777" w:rsidR="001A293D" w:rsidRPr="00D25DE3" w:rsidRDefault="001A293D" w:rsidP="009B6E81">
            <w:pPr>
              <w:spacing w:after="0" w:line="240" w:lineRule="auto"/>
              <w:rPr>
                <w:rFonts w:ascii="Arial" w:eastAsia="Arial" w:hAnsi="Arial" w:cs="Arial"/>
                <w:color w:val="000000"/>
                <w:sz w:val="20"/>
                <w:szCs w:val="20"/>
              </w:rPr>
            </w:pPr>
            <w:r w:rsidRPr="00D25DE3">
              <w:rPr>
                <w:rFonts w:ascii="Arial" w:eastAsia="Arial" w:hAnsi="Arial" w:cs="Arial"/>
                <w:color w:val="000000"/>
                <w:sz w:val="20"/>
                <w:szCs w:val="20"/>
              </w:rPr>
              <w:t>Suma:</w:t>
            </w:r>
          </w:p>
        </w:tc>
      </w:tr>
    </w:tbl>
    <w:p w14:paraId="4064A8F8" w14:textId="77777777" w:rsidR="001A293D" w:rsidRPr="002C0430" w:rsidRDefault="001A293D" w:rsidP="001A293D">
      <w:pPr>
        <w:spacing w:after="0" w:line="240" w:lineRule="auto"/>
        <w:jc w:val="both"/>
        <w:rPr>
          <w:rFonts w:ascii="Arial" w:eastAsia="Arial" w:hAnsi="Arial" w:cs="Arial"/>
          <w:color w:val="000000"/>
          <w:sz w:val="24"/>
          <w:szCs w:val="24"/>
        </w:rPr>
      </w:pPr>
    </w:p>
    <w:p w14:paraId="70B30436" w14:textId="77777777" w:rsidR="001A293D" w:rsidRPr="002C0430" w:rsidRDefault="001A293D" w:rsidP="001A293D">
      <w:pPr>
        <w:spacing w:after="0" w:line="240" w:lineRule="auto"/>
        <w:jc w:val="both"/>
        <w:rPr>
          <w:rFonts w:ascii="Arial" w:eastAsia="Arial" w:hAnsi="Arial" w:cs="Arial"/>
          <w:color w:val="000000"/>
          <w:sz w:val="24"/>
          <w:szCs w:val="24"/>
        </w:rPr>
      </w:pPr>
    </w:p>
    <w:p w14:paraId="1EB58ED2"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 xml:space="preserve">El valor TOTAL corresponde a la puntuación de la prioridad para la necesidad/problema dentro del sector, </w:t>
      </w:r>
      <w:r>
        <w:rPr>
          <w:rFonts w:ascii="Arial" w:eastAsia="Arial" w:hAnsi="Arial" w:cs="Arial"/>
          <w:color w:val="000000"/>
          <w:sz w:val="24"/>
          <w:szCs w:val="24"/>
        </w:rPr>
        <w:t>y puede alcanzar valores entre 4</w:t>
      </w:r>
      <w:r w:rsidRPr="002C0430">
        <w:rPr>
          <w:rFonts w:ascii="Arial" w:eastAsia="Arial" w:hAnsi="Arial" w:cs="Arial"/>
          <w:color w:val="000000"/>
          <w:sz w:val="24"/>
          <w:szCs w:val="24"/>
        </w:rPr>
        <w:t xml:space="preserve"> y 20 puntos.</w:t>
      </w:r>
    </w:p>
    <w:p w14:paraId="3634C3DD" w14:textId="77777777" w:rsidR="001A293D" w:rsidRPr="002C0430" w:rsidRDefault="001A293D" w:rsidP="001A293D">
      <w:pPr>
        <w:spacing w:after="0" w:line="240" w:lineRule="auto"/>
        <w:jc w:val="both"/>
        <w:rPr>
          <w:rFonts w:ascii="Arial" w:eastAsia="Arial" w:hAnsi="Arial" w:cs="Arial"/>
          <w:color w:val="000000"/>
          <w:sz w:val="24"/>
          <w:szCs w:val="24"/>
        </w:rPr>
      </w:pPr>
    </w:p>
    <w:p w14:paraId="214ACA42"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Un aspecto importante que se debe tomar en cuenta cuando se evalúa el TOTAL es que no pueden obtener valores iguales en este campo para dos o más necesidades/problemas. En el caso de que se presente esta situación debe realizarse los ajustes a los grados asignados de los atributos, incluso utilizando valores decimales</w:t>
      </w:r>
      <w:r>
        <w:rPr>
          <w:rFonts w:ascii="Arial" w:eastAsia="Arial" w:hAnsi="Arial" w:cs="Arial"/>
          <w:color w:val="000000"/>
          <w:sz w:val="24"/>
          <w:szCs w:val="24"/>
        </w:rPr>
        <w:t xml:space="preserve"> (0,25; 0,5; 0,75)</w:t>
      </w:r>
      <w:r w:rsidRPr="002C0430">
        <w:rPr>
          <w:rFonts w:ascii="Arial" w:eastAsia="Arial" w:hAnsi="Arial" w:cs="Arial"/>
          <w:color w:val="000000"/>
          <w:sz w:val="24"/>
          <w:szCs w:val="24"/>
        </w:rPr>
        <w:t>, si es necesario.</w:t>
      </w:r>
    </w:p>
    <w:p w14:paraId="4D3DF8B4" w14:textId="77777777" w:rsidR="001A293D" w:rsidRPr="002C0430" w:rsidRDefault="001A293D" w:rsidP="001A293D">
      <w:pPr>
        <w:spacing w:after="0" w:line="240" w:lineRule="auto"/>
        <w:jc w:val="both"/>
        <w:rPr>
          <w:rFonts w:ascii="Arial" w:eastAsia="Arial" w:hAnsi="Arial" w:cs="Arial"/>
          <w:color w:val="000000"/>
          <w:sz w:val="24"/>
          <w:szCs w:val="24"/>
        </w:rPr>
      </w:pPr>
    </w:p>
    <w:p w14:paraId="5D7AEA1B"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La puntuación del valor TOTAL establece la priorización del conjunto de necesidades/problemas del sector.</w:t>
      </w:r>
    </w:p>
    <w:p w14:paraId="4F73EA0B" w14:textId="77777777" w:rsidR="001A293D" w:rsidRPr="002C0430" w:rsidRDefault="001A293D" w:rsidP="001A293D">
      <w:pPr>
        <w:spacing w:after="0" w:line="240" w:lineRule="auto"/>
        <w:jc w:val="both"/>
        <w:rPr>
          <w:rFonts w:ascii="Arial" w:eastAsia="Arial" w:hAnsi="Arial" w:cs="Arial"/>
          <w:color w:val="000000"/>
          <w:sz w:val="24"/>
          <w:szCs w:val="24"/>
        </w:rPr>
      </w:pPr>
    </w:p>
    <w:p w14:paraId="4C032307" w14:textId="11F26AAB" w:rsidR="001A293D" w:rsidRPr="002C0430" w:rsidRDefault="001A293D" w:rsidP="000417CE">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 xml:space="preserve">Otro atributo que se evalúa es el grado de DIFICULTAD para resolver la necesidad/problema. Eso se hace añadiendo una columna a la tabla de atributos anteriormente presentada, tal y como se presenta en la </w:t>
      </w:r>
      <w:r w:rsidR="000417CE">
        <w:rPr>
          <w:rFonts w:ascii="Arial" w:eastAsia="Arial" w:hAnsi="Arial" w:cs="Arial"/>
          <w:color w:val="000000"/>
          <w:sz w:val="24"/>
          <w:szCs w:val="24"/>
        </w:rPr>
        <w:t>TABLA</w:t>
      </w:r>
      <w:r w:rsidRPr="002C0430">
        <w:rPr>
          <w:rFonts w:ascii="Arial" w:eastAsia="Arial" w:hAnsi="Arial" w:cs="Arial"/>
          <w:color w:val="000000"/>
          <w:sz w:val="24"/>
          <w:szCs w:val="24"/>
        </w:rPr>
        <w:t xml:space="preserve"> II</w:t>
      </w:r>
    </w:p>
    <w:p w14:paraId="2F63AEB1" w14:textId="77777777" w:rsidR="001A293D" w:rsidRPr="002C0430" w:rsidRDefault="001A293D" w:rsidP="001A293D">
      <w:pPr>
        <w:spacing w:after="120" w:line="480" w:lineRule="auto"/>
        <w:jc w:val="center"/>
        <w:rPr>
          <w:rFonts w:ascii="Arial" w:eastAsia="Arial" w:hAnsi="Arial" w:cs="Arial"/>
          <w:color w:val="000000"/>
          <w:sz w:val="24"/>
          <w:szCs w:val="24"/>
        </w:rPr>
      </w:pPr>
      <w:r w:rsidRPr="002C0430">
        <w:rPr>
          <w:rFonts w:ascii="Arial" w:eastAsia="Arial" w:hAnsi="Arial" w:cs="Arial"/>
          <w:color w:val="000000"/>
          <w:sz w:val="24"/>
          <w:szCs w:val="24"/>
        </w:rPr>
        <w:lastRenderedPageBreak/>
        <w:t>TABLA II</w:t>
      </w:r>
    </w:p>
    <w:p w14:paraId="1E318C67" w14:textId="77777777" w:rsidR="001A293D" w:rsidRPr="002C0430" w:rsidRDefault="001A293D" w:rsidP="001A293D">
      <w:pPr>
        <w:spacing w:after="120" w:line="480" w:lineRule="auto"/>
        <w:rPr>
          <w:rFonts w:ascii="Arial" w:eastAsia="Arial" w:hAnsi="Arial" w:cs="Arial"/>
          <w:color w:val="000000"/>
          <w:sz w:val="24"/>
          <w:szCs w:val="24"/>
        </w:rPr>
      </w:pPr>
      <w:r w:rsidRPr="002C0430">
        <w:rPr>
          <w:rFonts w:ascii="Arial" w:eastAsia="Arial" w:hAnsi="Arial" w:cs="Arial"/>
          <w:color w:val="000000"/>
          <w:sz w:val="24"/>
          <w:szCs w:val="24"/>
        </w:rPr>
        <w:t>Sector (y/o subsector cuando sea el caso)………….…..</w:t>
      </w:r>
    </w:p>
    <w:tbl>
      <w:tblPr>
        <w:tblW w:w="9214" w:type="dxa"/>
        <w:tblInd w:w="-715" w:type="dxa"/>
        <w:tblLayout w:type="fixed"/>
        <w:tblCellMar>
          <w:left w:w="10" w:type="dxa"/>
          <w:right w:w="10" w:type="dxa"/>
        </w:tblCellMar>
        <w:tblLook w:val="04A0" w:firstRow="1" w:lastRow="0" w:firstColumn="1" w:lastColumn="0" w:noHBand="0" w:noVBand="1"/>
      </w:tblPr>
      <w:tblGrid>
        <w:gridCol w:w="1418"/>
        <w:gridCol w:w="1390"/>
        <w:gridCol w:w="1421"/>
        <w:gridCol w:w="1421"/>
        <w:gridCol w:w="1421"/>
        <w:gridCol w:w="715"/>
        <w:gridCol w:w="1428"/>
      </w:tblGrid>
      <w:tr w:rsidR="001A293D" w:rsidRPr="002C0430" w14:paraId="43D5C85D" w14:textId="77777777" w:rsidTr="009B6E81">
        <w:tc>
          <w:tcPr>
            <w:tcW w:w="1418"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6DE4058F" w14:textId="77777777" w:rsidR="001A293D" w:rsidRDefault="001A293D" w:rsidP="009B6E81">
            <w:pPr>
              <w:spacing w:after="0" w:line="24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 xml:space="preserve">   </w:t>
            </w:r>
          </w:p>
          <w:p w14:paraId="5FB63D5A" w14:textId="77777777" w:rsidR="001A293D" w:rsidRPr="002C0430" w:rsidRDefault="001A293D" w:rsidP="009B6E81">
            <w:pPr>
              <w:spacing w:after="0" w:line="24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Atributos</w:t>
            </w:r>
          </w:p>
          <w:p w14:paraId="6D5C9004" w14:textId="77777777" w:rsidR="001A293D" w:rsidRPr="002C0430" w:rsidRDefault="001A293D" w:rsidP="009B6E81">
            <w:pPr>
              <w:spacing w:after="0" w:line="240" w:lineRule="auto"/>
              <w:rPr>
                <w:rFonts w:ascii="Arial" w:eastAsia="Arial" w:hAnsi="Arial" w:cs="Arial"/>
                <w:b/>
                <w:color w:val="000000"/>
                <w:sz w:val="24"/>
                <w:szCs w:val="24"/>
              </w:rPr>
            </w:pPr>
          </w:p>
          <w:p w14:paraId="130DDFFE" w14:textId="77777777" w:rsidR="001A293D" w:rsidRPr="002C0430" w:rsidRDefault="001A293D" w:rsidP="009B6E81">
            <w:pPr>
              <w:spacing w:after="0" w:line="240" w:lineRule="auto"/>
              <w:rPr>
                <w:rFonts w:ascii="Arial" w:eastAsia="Arial" w:hAnsi="Arial" w:cs="Arial"/>
                <w:b/>
                <w:color w:val="000000"/>
                <w:sz w:val="24"/>
                <w:szCs w:val="24"/>
              </w:rPr>
            </w:pPr>
          </w:p>
          <w:p w14:paraId="1656D48A" w14:textId="77777777" w:rsidR="001A293D" w:rsidRPr="002C0430" w:rsidRDefault="001A293D" w:rsidP="009B6E81">
            <w:pPr>
              <w:spacing w:after="0" w:line="240" w:lineRule="auto"/>
              <w:rPr>
                <w:rFonts w:ascii="Arial" w:eastAsia="Arial" w:hAnsi="Arial" w:cs="Arial"/>
                <w:b/>
                <w:color w:val="000000"/>
                <w:sz w:val="24"/>
                <w:szCs w:val="24"/>
              </w:rPr>
            </w:pPr>
          </w:p>
          <w:p w14:paraId="1C246DA1" w14:textId="77777777" w:rsidR="001A293D" w:rsidRPr="002C0430" w:rsidRDefault="001A293D" w:rsidP="009B6E81">
            <w:pPr>
              <w:spacing w:after="0" w:line="240" w:lineRule="auto"/>
              <w:rPr>
                <w:rFonts w:ascii="Arial" w:eastAsia="Arial" w:hAnsi="Arial" w:cs="Arial"/>
                <w:b/>
                <w:color w:val="000000"/>
                <w:sz w:val="24"/>
                <w:szCs w:val="24"/>
              </w:rPr>
            </w:pPr>
            <w:r w:rsidRPr="002C0430">
              <w:rPr>
                <w:rFonts w:ascii="Arial" w:eastAsia="Arial" w:hAnsi="Arial" w:cs="Arial"/>
                <w:b/>
                <w:color w:val="000000"/>
                <w:sz w:val="24"/>
                <w:szCs w:val="24"/>
              </w:rPr>
              <w:t>Necesidad/</w:t>
            </w:r>
          </w:p>
          <w:p w14:paraId="3C8E7582" w14:textId="77777777" w:rsidR="001A293D" w:rsidRPr="002C0430" w:rsidRDefault="001A293D" w:rsidP="009B6E81">
            <w:pPr>
              <w:spacing w:after="0" w:line="240" w:lineRule="auto"/>
              <w:rPr>
                <w:rFonts w:ascii="Arial" w:eastAsia="Arial" w:hAnsi="Arial" w:cs="Arial"/>
                <w:b/>
                <w:color w:val="000000"/>
                <w:sz w:val="24"/>
                <w:szCs w:val="24"/>
              </w:rPr>
            </w:pPr>
            <w:r w:rsidRPr="002C0430">
              <w:rPr>
                <w:rFonts w:ascii="Arial" w:eastAsia="Arial" w:hAnsi="Arial" w:cs="Arial"/>
                <w:b/>
                <w:color w:val="000000"/>
                <w:sz w:val="24"/>
                <w:szCs w:val="24"/>
              </w:rPr>
              <w:t xml:space="preserve">Problema </w:t>
            </w:r>
          </w:p>
        </w:tc>
        <w:tc>
          <w:tcPr>
            <w:tcW w:w="1390"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403EC2A9" w14:textId="77777777" w:rsidR="001A293D" w:rsidRPr="002C0430" w:rsidRDefault="001A293D" w:rsidP="009B6E81">
            <w:pPr>
              <w:spacing w:after="0" w:line="240" w:lineRule="auto"/>
              <w:jc w:val="center"/>
              <w:rPr>
                <w:rFonts w:ascii="Arial" w:eastAsia="Arial" w:hAnsi="Arial" w:cs="Arial"/>
                <w:b/>
                <w:color w:val="000000"/>
                <w:sz w:val="24"/>
                <w:szCs w:val="24"/>
              </w:rPr>
            </w:pPr>
          </w:p>
          <w:p w14:paraId="42BE9D58" w14:textId="77777777" w:rsidR="001A293D" w:rsidRPr="002C0430" w:rsidRDefault="001A293D" w:rsidP="009B6E81">
            <w:pPr>
              <w:spacing w:after="0" w:line="24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Gravedad</w:t>
            </w:r>
          </w:p>
        </w:tc>
        <w:tc>
          <w:tcPr>
            <w:tcW w:w="1421"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25A70B8B" w14:textId="77777777" w:rsidR="001A293D" w:rsidRPr="002C0430" w:rsidRDefault="001A293D" w:rsidP="009B6E81">
            <w:pPr>
              <w:spacing w:after="0" w:line="240" w:lineRule="auto"/>
              <w:jc w:val="center"/>
              <w:rPr>
                <w:rFonts w:ascii="Arial" w:eastAsia="Arial" w:hAnsi="Arial" w:cs="Arial"/>
                <w:b/>
                <w:color w:val="000000"/>
                <w:sz w:val="24"/>
                <w:szCs w:val="24"/>
              </w:rPr>
            </w:pPr>
          </w:p>
          <w:p w14:paraId="14728D6B" w14:textId="77777777" w:rsidR="001A293D" w:rsidRPr="002C0430" w:rsidRDefault="001A293D" w:rsidP="009B6E81">
            <w:pPr>
              <w:spacing w:after="0" w:line="24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Tiempo</w:t>
            </w:r>
          </w:p>
        </w:tc>
        <w:tc>
          <w:tcPr>
            <w:tcW w:w="1421"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09A80503" w14:textId="77777777" w:rsidR="001A293D" w:rsidRPr="002C0430" w:rsidRDefault="001A293D" w:rsidP="009B6E81">
            <w:pPr>
              <w:spacing w:after="0" w:line="240" w:lineRule="auto"/>
              <w:jc w:val="center"/>
              <w:rPr>
                <w:rFonts w:ascii="Arial" w:eastAsia="Arial" w:hAnsi="Arial" w:cs="Arial"/>
                <w:b/>
                <w:color w:val="000000"/>
                <w:sz w:val="24"/>
                <w:szCs w:val="24"/>
              </w:rPr>
            </w:pPr>
          </w:p>
          <w:p w14:paraId="0DD4EDFA" w14:textId="77777777" w:rsidR="001A293D" w:rsidRPr="002C0430" w:rsidRDefault="001A293D" w:rsidP="009B6E81">
            <w:pPr>
              <w:spacing w:after="0" w:line="24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Extensión</w:t>
            </w:r>
          </w:p>
        </w:tc>
        <w:tc>
          <w:tcPr>
            <w:tcW w:w="1421"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3CBA57E7" w14:textId="77777777" w:rsidR="001A293D" w:rsidRPr="002C0430" w:rsidRDefault="001A293D" w:rsidP="009B6E81">
            <w:pPr>
              <w:spacing w:after="0" w:line="240" w:lineRule="auto"/>
              <w:jc w:val="center"/>
              <w:rPr>
                <w:rFonts w:ascii="Arial" w:eastAsia="Arial" w:hAnsi="Arial" w:cs="Arial"/>
                <w:b/>
                <w:color w:val="000000"/>
                <w:sz w:val="24"/>
                <w:szCs w:val="24"/>
              </w:rPr>
            </w:pPr>
          </w:p>
          <w:p w14:paraId="53CB08B7" w14:textId="77777777" w:rsidR="001A293D" w:rsidRPr="002C0430" w:rsidRDefault="001A293D" w:rsidP="009B6E81">
            <w:pPr>
              <w:spacing w:after="0" w:line="24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Relevancia</w:t>
            </w:r>
          </w:p>
          <w:p w14:paraId="2F1A3F7B" w14:textId="77777777" w:rsidR="001A293D" w:rsidRPr="002C0430" w:rsidRDefault="001A293D" w:rsidP="009B6E81">
            <w:pPr>
              <w:spacing w:after="0" w:line="240" w:lineRule="auto"/>
              <w:rPr>
                <w:rFonts w:ascii="Arial" w:eastAsia="Arial" w:hAnsi="Arial" w:cs="Arial"/>
                <w:b/>
                <w:color w:val="000000"/>
                <w:sz w:val="24"/>
                <w:szCs w:val="24"/>
              </w:rPr>
            </w:pPr>
          </w:p>
        </w:tc>
        <w:tc>
          <w:tcPr>
            <w:tcW w:w="715"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1D0213D9" w14:textId="77777777" w:rsidR="001A293D" w:rsidRPr="002C0430" w:rsidRDefault="001A293D" w:rsidP="009B6E81">
            <w:pPr>
              <w:spacing w:after="0" w:line="240" w:lineRule="auto"/>
              <w:jc w:val="center"/>
              <w:rPr>
                <w:rFonts w:ascii="Arial" w:eastAsia="Arial" w:hAnsi="Arial" w:cs="Arial"/>
                <w:b/>
                <w:color w:val="000000"/>
                <w:sz w:val="24"/>
                <w:szCs w:val="24"/>
              </w:rPr>
            </w:pPr>
          </w:p>
          <w:p w14:paraId="73C02E37" w14:textId="77777777" w:rsidR="001A293D" w:rsidRPr="002C0430" w:rsidRDefault="001A293D" w:rsidP="009B6E81">
            <w:pPr>
              <w:keepNext/>
              <w:spacing w:after="0" w:line="240" w:lineRule="auto"/>
              <w:ind w:right="-496"/>
              <w:jc w:val="both"/>
              <w:rPr>
                <w:rFonts w:ascii="Arial" w:hAnsi="Arial" w:cs="Arial"/>
                <w:b/>
                <w:color w:val="000000"/>
                <w:sz w:val="24"/>
                <w:szCs w:val="24"/>
              </w:rPr>
            </w:pPr>
            <w:r w:rsidRPr="002C0430">
              <w:rPr>
                <w:rFonts w:ascii="Arial" w:eastAsia="Times New Roman" w:hAnsi="Arial" w:cs="Arial"/>
                <w:b/>
                <w:color w:val="000000"/>
                <w:sz w:val="24"/>
                <w:szCs w:val="24"/>
              </w:rPr>
              <w:t>Total</w:t>
            </w:r>
          </w:p>
        </w:tc>
        <w:tc>
          <w:tcPr>
            <w:tcW w:w="1428"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tcPr>
          <w:p w14:paraId="2EB9F1A3" w14:textId="77777777" w:rsidR="001A293D" w:rsidRPr="002C0430" w:rsidRDefault="001A293D" w:rsidP="009B6E81">
            <w:pPr>
              <w:spacing w:after="0" w:line="240" w:lineRule="auto"/>
              <w:jc w:val="center"/>
              <w:rPr>
                <w:rFonts w:ascii="Arial" w:eastAsia="Arial" w:hAnsi="Arial" w:cs="Arial"/>
                <w:b/>
                <w:color w:val="000000"/>
                <w:sz w:val="24"/>
                <w:szCs w:val="24"/>
              </w:rPr>
            </w:pPr>
          </w:p>
          <w:p w14:paraId="2E77C538" w14:textId="77777777" w:rsidR="001A293D" w:rsidRPr="002C0430" w:rsidRDefault="001A293D" w:rsidP="009B6E81">
            <w:pPr>
              <w:spacing w:after="0" w:line="24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Dificultad</w:t>
            </w:r>
          </w:p>
        </w:tc>
      </w:tr>
      <w:tr w:rsidR="001A293D" w:rsidRPr="002C0430" w14:paraId="2FA50936" w14:textId="77777777" w:rsidTr="009B6E81">
        <w:tc>
          <w:tcPr>
            <w:tcW w:w="141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7B747B83" w14:textId="77777777" w:rsidR="001A293D" w:rsidRPr="007A5194" w:rsidRDefault="001A293D" w:rsidP="009B6E81">
            <w:pPr>
              <w:spacing w:after="0" w:line="240" w:lineRule="auto"/>
              <w:rPr>
                <w:rFonts w:ascii="Arial" w:eastAsia="Arial" w:hAnsi="Arial" w:cs="Arial"/>
                <w:b/>
                <w:color w:val="000000"/>
                <w:sz w:val="20"/>
                <w:szCs w:val="20"/>
              </w:rPr>
            </w:pPr>
          </w:p>
          <w:p w14:paraId="3EB347BA" w14:textId="77777777" w:rsidR="001A293D" w:rsidRPr="007A5194" w:rsidRDefault="001A293D" w:rsidP="009B6E81">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1) </w:t>
            </w:r>
          </w:p>
          <w:p w14:paraId="7ED37D36" w14:textId="77777777" w:rsidR="001A293D" w:rsidRPr="007A5194" w:rsidRDefault="001A293D" w:rsidP="009B6E81">
            <w:pPr>
              <w:spacing w:after="0" w:line="240" w:lineRule="auto"/>
              <w:rPr>
                <w:rFonts w:ascii="Arial" w:eastAsia="Arial" w:hAnsi="Arial" w:cs="Arial"/>
                <w:b/>
                <w:color w:val="000000"/>
                <w:sz w:val="20"/>
                <w:szCs w:val="20"/>
              </w:rPr>
            </w:pPr>
          </w:p>
        </w:tc>
        <w:tc>
          <w:tcPr>
            <w:tcW w:w="139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12778E3C"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sidRPr="007A5194">
              <w:rPr>
                <w:rFonts w:ascii="Arial" w:eastAsia="Arial" w:hAnsi="Arial" w:cs="Arial"/>
                <w:color w:val="000000"/>
                <w:sz w:val="20"/>
                <w:szCs w:val="20"/>
              </w:rPr>
              <w:t>1 a 5</w:t>
            </w:r>
          </w:p>
          <w:p w14:paraId="0F9852F7" w14:textId="77777777" w:rsidR="001A293D" w:rsidRPr="007A5194"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61B385ED" w14:textId="77777777" w:rsidR="001A293D" w:rsidRPr="007A5194" w:rsidRDefault="001A293D" w:rsidP="009B6E81">
            <w:pPr>
              <w:spacing w:after="0" w:line="240" w:lineRule="auto"/>
              <w:jc w:val="center"/>
              <w:rPr>
                <w:rFonts w:ascii="Arial" w:eastAsia="Arial" w:hAnsi="Arial" w:cs="Arial"/>
                <w:color w:val="000000"/>
                <w:sz w:val="20"/>
                <w:szCs w:val="20"/>
              </w:rPr>
            </w:pPr>
          </w:p>
          <w:p w14:paraId="3F25B7C7" w14:textId="77777777" w:rsidR="001A293D" w:rsidRPr="007A5194" w:rsidRDefault="001A293D" w:rsidP="009B6E81">
            <w:pPr>
              <w:spacing w:after="0" w:line="240" w:lineRule="auto"/>
              <w:jc w:val="center"/>
              <w:rPr>
                <w:rFonts w:ascii="Arial" w:eastAsia="Arial" w:hAnsi="Arial" w:cs="Arial"/>
                <w:color w:val="000000"/>
                <w:sz w:val="20"/>
                <w:szCs w:val="20"/>
              </w:rPr>
            </w:pPr>
            <w:r w:rsidRPr="007A5194">
              <w:rPr>
                <w:rFonts w:ascii="Arial" w:eastAsia="Arial" w:hAnsi="Arial" w:cs="Arial"/>
                <w:color w:val="000000"/>
                <w:sz w:val="20"/>
                <w:szCs w:val="20"/>
              </w:rPr>
              <w:t>(texto)</w:t>
            </w:r>
          </w:p>
          <w:p w14:paraId="25082F9A" w14:textId="77777777" w:rsidR="001A293D" w:rsidRPr="007A5194" w:rsidRDefault="001A293D" w:rsidP="009B6E81">
            <w:pPr>
              <w:spacing w:after="0" w:line="240" w:lineRule="auto"/>
              <w:rPr>
                <w:rFonts w:ascii="Arial" w:eastAsia="Arial" w:hAnsi="Arial" w:cs="Arial"/>
                <w:color w:val="000000"/>
                <w:sz w:val="20"/>
                <w:szCs w:val="20"/>
              </w:rPr>
            </w:pPr>
          </w:p>
        </w:tc>
        <w:tc>
          <w:tcPr>
            <w:tcW w:w="142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4616E669"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Pr>
                <w:rFonts w:ascii="Arial" w:eastAsia="Arial" w:hAnsi="Arial" w:cs="Arial"/>
                <w:color w:val="000000"/>
                <w:sz w:val="20"/>
                <w:szCs w:val="20"/>
              </w:rPr>
              <w:t>1</w:t>
            </w:r>
            <w:r w:rsidRPr="007A5194">
              <w:rPr>
                <w:rFonts w:ascii="Arial" w:eastAsia="Arial" w:hAnsi="Arial" w:cs="Arial"/>
                <w:color w:val="000000"/>
                <w:sz w:val="20"/>
                <w:szCs w:val="20"/>
              </w:rPr>
              <w:t xml:space="preserve"> a 5</w:t>
            </w:r>
          </w:p>
          <w:p w14:paraId="77921E36" w14:textId="77777777" w:rsidR="001A293D" w:rsidRPr="007A5194"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3B9DF62D" w14:textId="77777777" w:rsidR="001A293D" w:rsidRPr="007A5194" w:rsidRDefault="001A293D" w:rsidP="009B6E81">
            <w:pPr>
              <w:spacing w:after="0" w:line="240" w:lineRule="auto"/>
              <w:jc w:val="center"/>
              <w:rPr>
                <w:rFonts w:ascii="Arial" w:eastAsia="Arial" w:hAnsi="Arial" w:cs="Arial"/>
                <w:color w:val="000000"/>
                <w:sz w:val="20"/>
                <w:szCs w:val="20"/>
              </w:rPr>
            </w:pPr>
          </w:p>
          <w:p w14:paraId="35FA003A" w14:textId="77777777" w:rsidR="001A293D" w:rsidRPr="007A5194" w:rsidRDefault="001A293D" w:rsidP="009B6E81">
            <w:pPr>
              <w:spacing w:after="0" w:line="240" w:lineRule="auto"/>
              <w:jc w:val="center"/>
              <w:rPr>
                <w:rFonts w:ascii="Arial" w:eastAsia="Arial" w:hAnsi="Arial" w:cs="Arial"/>
                <w:color w:val="000000"/>
                <w:sz w:val="20"/>
                <w:szCs w:val="20"/>
              </w:rPr>
            </w:pPr>
            <w:r w:rsidRPr="007A5194">
              <w:rPr>
                <w:rFonts w:ascii="Arial" w:eastAsia="Arial" w:hAnsi="Arial" w:cs="Arial"/>
                <w:color w:val="000000"/>
                <w:sz w:val="20"/>
                <w:szCs w:val="20"/>
              </w:rPr>
              <w:t>(texto)</w:t>
            </w:r>
          </w:p>
          <w:p w14:paraId="52E78FC7" w14:textId="77777777" w:rsidR="001A293D" w:rsidRPr="007A5194" w:rsidRDefault="001A293D" w:rsidP="009B6E81">
            <w:pPr>
              <w:spacing w:after="0" w:line="240" w:lineRule="auto"/>
              <w:jc w:val="center"/>
              <w:rPr>
                <w:rFonts w:ascii="Arial" w:eastAsia="Arial" w:hAnsi="Arial" w:cs="Arial"/>
                <w:color w:val="000000"/>
                <w:sz w:val="20"/>
                <w:szCs w:val="20"/>
              </w:rPr>
            </w:pPr>
          </w:p>
        </w:tc>
        <w:tc>
          <w:tcPr>
            <w:tcW w:w="142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1883B5EA"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Pr>
                <w:rFonts w:ascii="Arial" w:eastAsia="Arial" w:hAnsi="Arial" w:cs="Arial"/>
                <w:color w:val="000000"/>
                <w:sz w:val="20"/>
                <w:szCs w:val="20"/>
              </w:rPr>
              <w:t>1</w:t>
            </w:r>
            <w:r w:rsidRPr="007A5194">
              <w:rPr>
                <w:rFonts w:ascii="Arial" w:eastAsia="Arial" w:hAnsi="Arial" w:cs="Arial"/>
                <w:color w:val="000000"/>
                <w:sz w:val="20"/>
                <w:szCs w:val="20"/>
              </w:rPr>
              <w:t xml:space="preserve"> a 5</w:t>
            </w:r>
          </w:p>
          <w:p w14:paraId="0FE685B6" w14:textId="77777777" w:rsidR="001A293D" w:rsidRPr="007A5194"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19A45755" w14:textId="77777777" w:rsidR="001A293D" w:rsidRPr="007A5194" w:rsidRDefault="001A293D" w:rsidP="009B6E81">
            <w:pPr>
              <w:spacing w:after="0" w:line="240" w:lineRule="auto"/>
              <w:jc w:val="center"/>
              <w:rPr>
                <w:rFonts w:ascii="Arial" w:eastAsia="Arial" w:hAnsi="Arial" w:cs="Arial"/>
                <w:color w:val="000000"/>
                <w:sz w:val="20"/>
                <w:szCs w:val="20"/>
              </w:rPr>
            </w:pPr>
          </w:p>
          <w:p w14:paraId="50B724E8" w14:textId="77777777" w:rsidR="001A293D" w:rsidRPr="007A5194" w:rsidRDefault="001A293D" w:rsidP="009B6E81">
            <w:pPr>
              <w:spacing w:after="0" w:line="240" w:lineRule="auto"/>
              <w:jc w:val="center"/>
              <w:rPr>
                <w:rFonts w:ascii="Arial" w:eastAsia="Arial" w:hAnsi="Arial" w:cs="Arial"/>
                <w:color w:val="000000"/>
                <w:sz w:val="20"/>
                <w:szCs w:val="20"/>
              </w:rPr>
            </w:pPr>
            <w:r w:rsidRPr="007A5194">
              <w:rPr>
                <w:rFonts w:ascii="Arial" w:eastAsia="Arial" w:hAnsi="Arial" w:cs="Arial"/>
                <w:color w:val="000000"/>
                <w:sz w:val="20"/>
                <w:szCs w:val="20"/>
              </w:rPr>
              <w:t>(texto)</w:t>
            </w:r>
          </w:p>
          <w:p w14:paraId="1D0FA7A2" w14:textId="77777777" w:rsidR="001A293D" w:rsidRPr="007A5194" w:rsidRDefault="001A293D" w:rsidP="009B6E81">
            <w:pPr>
              <w:spacing w:after="0" w:line="240" w:lineRule="auto"/>
              <w:jc w:val="center"/>
              <w:rPr>
                <w:rFonts w:ascii="Arial" w:eastAsia="Arial" w:hAnsi="Arial" w:cs="Arial"/>
                <w:color w:val="000000"/>
                <w:sz w:val="20"/>
                <w:szCs w:val="20"/>
              </w:rPr>
            </w:pPr>
          </w:p>
        </w:tc>
        <w:tc>
          <w:tcPr>
            <w:tcW w:w="142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7C9EB309"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Pr>
                <w:rFonts w:ascii="Arial" w:eastAsia="Arial" w:hAnsi="Arial" w:cs="Arial"/>
                <w:color w:val="000000"/>
                <w:sz w:val="20"/>
                <w:szCs w:val="20"/>
              </w:rPr>
              <w:t>1</w:t>
            </w:r>
            <w:r w:rsidRPr="007A5194">
              <w:rPr>
                <w:rFonts w:ascii="Arial" w:eastAsia="Arial" w:hAnsi="Arial" w:cs="Arial"/>
                <w:color w:val="000000"/>
                <w:sz w:val="20"/>
                <w:szCs w:val="20"/>
              </w:rPr>
              <w:t xml:space="preserve"> a 5</w:t>
            </w:r>
          </w:p>
          <w:p w14:paraId="6F476185" w14:textId="77777777" w:rsidR="001A293D" w:rsidRPr="007A5194" w:rsidRDefault="001A293D" w:rsidP="009B6E81">
            <w:pPr>
              <w:spacing w:after="0" w:line="240" w:lineRule="auto"/>
              <w:rPr>
                <w:rFonts w:ascii="Arial" w:eastAsia="Arial" w:hAnsi="Arial" w:cs="Arial"/>
                <w:color w:val="000000"/>
                <w:sz w:val="20"/>
                <w:szCs w:val="20"/>
              </w:rPr>
            </w:pPr>
            <w:r>
              <w:rPr>
                <w:rFonts w:ascii="Arial" w:eastAsia="Arial" w:hAnsi="Arial" w:cs="Arial"/>
                <w:b/>
                <w:color w:val="000000"/>
                <w:sz w:val="20"/>
                <w:szCs w:val="20"/>
              </w:rPr>
              <w:t>Justificación</w:t>
            </w:r>
          </w:p>
          <w:p w14:paraId="207511E5" w14:textId="77777777" w:rsidR="001A293D" w:rsidRPr="007A5194" w:rsidRDefault="001A293D" w:rsidP="009B6E81">
            <w:pPr>
              <w:spacing w:after="0" w:line="240" w:lineRule="auto"/>
              <w:jc w:val="center"/>
              <w:rPr>
                <w:rFonts w:ascii="Arial" w:eastAsia="Arial" w:hAnsi="Arial" w:cs="Arial"/>
                <w:color w:val="000000"/>
                <w:sz w:val="20"/>
                <w:szCs w:val="20"/>
              </w:rPr>
            </w:pPr>
          </w:p>
          <w:p w14:paraId="463C4B4B" w14:textId="77777777" w:rsidR="001A293D" w:rsidRPr="007A5194" w:rsidRDefault="001A293D" w:rsidP="009B6E81">
            <w:pPr>
              <w:spacing w:after="0" w:line="240" w:lineRule="auto"/>
              <w:jc w:val="center"/>
              <w:rPr>
                <w:rFonts w:ascii="Arial" w:eastAsia="Arial" w:hAnsi="Arial" w:cs="Arial"/>
                <w:color w:val="000000"/>
                <w:sz w:val="20"/>
                <w:szCs w:val="20"/>
              </w:rPr>
            </w:pPr>
            <w:r w:rsidRPr="007A5194">
              <w:rPr>
                <w:rFonts w:ascii="Arial" w:eastAsia="Arial" w:hAnsi="Arial" w:cs="Arial"/>
                <w:color w:val="000000"/>
                <w:sz w:val="20"/>
                <w:szCs w:val="20"/>
              </w:rPr>
              <w:t>(texto)</w:t>
            </w:r>
          </w:p>
          <w:p w14:paraId="12215291" w14:textId="77777777" w:rsidR="001A293D" w:rsidRPr="007A5194" w:rsidRDefault="001A293D" w:rsidP="009B6E81">
            <w:pPr>
              <w:spacing w:after="0" w:line="240" w:lineRule="auto"/>
              <w:jc w:val="center"/>
              <w:rPr>
                <w:rFonts w:ascii="Arial" w:eastAsia="Arial" w:hAnsi="Arial" w:cs="Arial"/>
                <w:color w:val="000000"/>
                <w:sz w:val="20"/>
                <w:szCs w:val="20"/>
              </w:rPr>
            </w:pPr>
          </w:p>
        </w:tc>
        <w:tc>
          <w:tcPr>
            <w:tcW w:w="71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236941BF"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color w:val="000000"/>
                <w:sz w:val="20"/>
                <w:szCs w:val="20"/>
              </w:rPr>
              <w:t>Suma:</w:t>
            </w:r>
          </w:p>
        </w:tc>
        <w:tc>
          <w:tcPr>
            <w:tcW w:w="142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180BF14A"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sidRPr="007A5194">
              <w:rPr>
                <w:rFonts w:ascii="Arial" w:eastAsia="Arial" w:hAnsi="Arial" w:cs="Arial"/>
                <w:color w:val="000000"/>
                <w:sz w:val="20"/>
                <w:szCs w:val="20"/>
              </w:rPr>
              <w:t>1 a 5</w:t>
            </w:r>
          </w:p>
          <w:p w14:paraId="1D346081"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Justificación:</w:t>
            </w:r>
          </w:p>
          <w:p w14:paraId="7D66E650" w14:textId="77777777" w:rsidR="001A293D" w:rsidRPr="007A5194" w:rsidRDefault="001A293D" w:rsidP="009B6E81">
            <w:pPr>
              <w:spacing w:after="0" w:line="240" w:lineRule="auto"/>
              <w:jc w:val="center"/>
              <w:rPr>
                <w:rFonts w:ascii="Arial" w:eastAsia="Arial" w:hAnsi="Arial" w:cs="Arial"/>
                <w:color w:val="000000"/>
                <w:sz w:val="20"/>
                <w:szCs w:val="20"/>
              </w:rPr>
            </w:pPr>
          </w:p>
          <w:p w14:paraId="6F9E86C4"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color w:val="000000"/>
                <w:sz w:val="20"/>
                <w:szCs w:val="20"/>
              </w:rPr>
              <w:t>(texto)</w:t>
            </w:r>
          </w:p>
        </w:tc>
      </w:tr>
      <w:tr w:rsidR="001A293D" w:rsidRPr="002C0430" w14:paraId="04B06494" w14:textId="77777777" w:rsidTr="009B6E81">
        <w:tc>
          <w:tcPr>
            <w:tcW w:w="141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695F27C5" w14:textId="77777777" w:rsidR="001A293D" w:rsidRPr="007A5194" w:rsidRDefault="001A293D" w:rsidP="009B6E81">
            <w:pPr>
              <w:spacing w:after="0" w:line="240" w:lineRule="auto"/>
              <w:rPr>
                <w:rFonts w:ascii="Arial" w:eastAsia="Arial" w:hAnsi="Arial" w:cs="Arial"/>
                <w:b/>
                <w:color w:val="000000"/>
                <w:sz w:val="20"/>
                <w:szCs w:val="20"/>
              </w:rPr>
            </w:pPr>
          </w:p>
          <w:p w14:paraId="02859187" w14:textId="77777777" w:rsidR="001A293D" w:rsidRPr="007A5194" w:rsidRDefault="001A293D" w:rsidP="009B6E81">
            <w:pPr>
              <w:spacing w:after="0" w:line="240" w:lineRule="auto"/>
              <w:rPr>
                <w:rFonts w:ascii="Arial" w:eastAsia="Arial" w:hAnsi="Arial" w:cs="Arial"/>
                <w:b/>
                <w:color w:val="000000"/>
                <w:sz w:val="20"/>
                <w:szCs w:val="20"/>
              </w:rPr>
            </w:pPr>
            <w:r w:rsidRPr="007A5194">
              <w:rPr>
                <w:rFonts w:ascii="Arial" w:eastAsia="Arial" w:hAnsi="Arial" w:cs="Arial"/>
                <w:b/>
                <w:color w:val="000000"/>
                <w:sz w:val="20"/>
                <w:szCs w:val="20"/>
              </w:rPr>
              <w:t>2</w:t>
            </w:r>
            <w:r>
              <w:rPr>
                <w:rFonts w:ascii="Arial" w:eastAsia="Arial" w:hAnsi="Arial" w:cs="Arial"/>
                <w:b/>
                <w:color w:val="000000"/>
                <w:sz w:val="20"/>
                <w:szCs w:val="20"/>
              </w:rPr>
              <w:t xml:space="preserve">) </w:t>
            </w:r>
          </w:p>
          <w:p w14:paraId="592C9D2A" w14:textId="77777777" w:rsidR="001A293D" w:rsidRPr="007A5194" w:rsidRDefault="001A293D" w:rsidP="009B6E81">
            <w:pPr>
              <w:spacing w:after="0" w:line="240" w:lineRule="auto"/>
              <w:rPr>
                <w:rFonts w:ascii="Arial" w:eastAsia="Arial" w:hAnsi="Arial" w:cs="Arial"/>
                <w:b/>
                <w:color w:val="000000"/>
                <w:sz w:val="20"/>
                <w:szCs w:val="20"/>
              </w:rPr>
            </w:pPr>
          </w:p>
        </w:tc>
        <w:tc>
          <w:tcPr>
            <w:tcW w:w="139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1F964C26"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Pr>
                <w:rFonts w:ascii="Arial" w:eastAsia="Arial" w:hAnsi="Arial" w:cs="Arial"/>
                <w:color w:val="000000"/>
                <w:sz w:val="20"/>
                <w:szCs w:val="20"/>
              </w:rPr>
              <w:t>1</w:t>
            </w:r>
            <w:r w:rsidRPr="007A5194">
              <w:rPr>
                <w:rFonts w:ascii="Arial" w:eastAsia="Arial" w:hAnsi="Arial" w:cs="Arial"/>
                <w:color w:val="000000"/>
                <w:sz w:val="20"/>
                <w:szCs w:val="20"/>
              </w:rPr>
              <w:t xml:space="preserve"> a 5</w:t>
            </w:r>
          </w:p>
          <w:p w14:paraId="63F409E5"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Justificación:</w:t>
            </w:r>
          </w:p>
          <w:p w14:paraId="242C89F5" w14:textId="77777777" w:rsidR="001A293D" w:rsidRPr="007A5194" w:rsidRDefault="001A293D" w:rsidP="009B6E81">
            <w:pPr>
              <w:spacing w:after="0" w:line="240" w:lineRule="auto"/>
              <w:jc w:val="center"/>
              <w:rPr>
                <w:rFonts w:ascii="Arial" w:eastAsia="Arial" w:hAnsi="Arial" w:cs="Arial"/>
                <w:color w:val="000000"/>
                <w:sz w:val="20"/>
                <w:szCs w:val="20"/>
              </w:rPr>
            </w:pPr>
          </w:p>
          <w:p w14:paraId="5BB547D4" w14:textId="77777777" w:rsidR="001A293D" w:rsidRPr="007A5194" w:rsidRDefault="001A293D" w:rsidP="009B6E81">
            <w:pPr>
              <w:spacing w:after="0" w:line="240" w:lineRule="auto"/>
              <w:jc w:val="center"/>
              <w:rPr>
                <w:rFonts w:ascii="Arial" w:eastAsia="Arial" w:hAnsi="Arial" w:cs="Arial"/>
                <w:color w:val="000000"/>
                <w:sz w:val="20"/>
                <w:szCs w:val="20"/>
              </w:rPr>
            </w:pPr>
            <w:r w:rsidRPr="007A5194">
              <w:rPr>
                <w:rFonts w:ascii="Arial" w:eastAsia="Arial" w:hAnsi="Arial" w:cs="Arial"/>
                <w:color w:val="000000"/>
                <w:sz w:val="20"/>
                <w:szCs w:val="20"/>
              </w:rPr>
              <w:t>(texto)</w:t>
            </w:r>
          </w:p>
        </w:tc>
        <w:tc>
          <w:tcPr>
            <w:tcW w:w="142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54918953"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Pr>
                <w:rFonts w:ascii="Arial" w:eastAsia="Arial" w:hAnsi="Arial" w:cs="Arial"/>
                <w:color w:val="000000"/>
                <w:sz w:val="20"/>
                <w:szCs w:val="20"/>
              </w:rPr>
              <w:t>1</w:t>
            </w:r>
            <w:r w:rsidRPr="007A5194">
              <w:rPr>
                <w:rFonts w:ascii="Arial" w:eastAsia="Arial" w:hAnsi="Arial" w:cs="Arial"/>
                <w:color w:val="000000"/>
                <w:sz w:val="20"/>
                <w:szCs w:val="20"/>
              </w:rPr>
              <w:t xml:space="preserve"> a 5</w:t>
            </w:r>
          </w:p>
          <w:p w14:paraId="6E4E11E9"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Justificación:</w:t>
            </w:r>
          </w:p>
          <w:p w14:paraId="441212E7"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color w:val="000000"/>
                <w:sz w:val="20"/>
                <w:szCs w:val="20"/>
              </w:rPr>
              <w:t>:</w:t>
            </w:r>
          </w:p>
          <w:p w14:paraId="046BFA1E" w14:textId="77777777" w:rsidR="001A293D" w:rsidRPr="007A5194" w:rsidRDefault="001A293D" w:rsidP="009B6E81">
            <w:pPr>
              <w:spacing w:after="0" w:line="240" w:lineRule="auto"/>
              <w:jc w:val="center"/>
              <w:rPr>
                <w:rFonts w:ascii="Arial" w:eastAsia="Arial" w:hAnsi="Arial" w:cs="Arial"/>
                <w:color w:val="000000"/>
                <w:sz w:val="20"/>
                <w:szCs w:val="20"/>
              </w:rPr>
            </w:pPr>
            <w:r w:rsidRPr="007A5194">
              <w:rPr>
                <w:rFonts w:ascii="Arial" w:eastAsia="Arial" w:hAnsi="Arial" w:cs="Arial"/>
                <w:color w:val="000000"/>
                <w:sz w:val="20"/>
                <w:szCs w:val="20"/>
              </w:rPr>
              <w:t>(texto)</w:t>
            </w:r>
          </w:p>
        </w:tc>
        <w:tc>
          <w:tcPr>
            <w:tcW w:w="142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3D670E57"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Pr>
                <w:rFonts w:ascii="Arial" w:eastAsia="Arial" w:hAnsi="Arial" w:cs="Arial"/>
                <w:color w:val="000000"/>
                <w:sz w:val="20"/>
                <w:szCs w:val="20"/>
              </w:rPr>
              <w:t>1</w:t>
            </w:r>
            <w:r w:rsidRPr="007A5194">
              <w:rPr>
                <w:rFonts w:ascii="Arial" w:eastAsia="Arial" w:hAnsi="Arial" w:cs="Arial"/>
                <w:color w:val="000000"/>
                <w:sz w:val="20"/>
                <w:szCs w:val="20"/>
              </w:rPr>
              <w:t xml:space="preserve"> a 5</w:t>
            </w:r>
          </w:p>
          <w:p w14:paraId="359DF759"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Justificación:</w:t>
            </w:r>
          </w:p>
          <w:p w14:paraId="0826DFB6" w14:textId="77777777" w:rsidR="001A293D" w:rsidRPr="007A5194" w:rsidRDefault="001A293D" w:rsidP="009B6E81">
            <w:pPr>
              <w:spacing w:after="0" w:line="240" w:lineRule="auto"/>
              <w:jc w:val="center"/>
              <w:rPr>
                <w:rFonts w:ascii="Arial" w:eastAsia="Arial" w:hAnsi="Arial" w:cs="Arial"/>
                <w:color w:val="000000"/>
                <w:sz w:val="20"/>
                <w:szCs w:val="20"/>
              </w:rPr>
            </w:pPr>
          </w:p>
          <w:p w14:paraId="5660FC71" w14:textId="77777777" w:rsidR="001A293D" w:rsidRPr="007A5194" w:rsidRDefault="001A293D" w:rsidP="009B6E81">
            <w:pPr>
              <w:spacing w:after="0" w:line="240" w:lineRule="auto"/>
              <w:jc w:val="center"/>
              <w:rPr>
                <w:rFonts w:ascii="Arial" w:eastAsia="Arial" w:hAnsi="Arial" w:cs="Arial"/>
                <w:color w:val="000000"/>
                <w:sz w:val="20"/>
                <w:szCs w:val="20"/>
              </w:rPr>
            </w:pPr>
            <w:r w:rsidRPr="007A5194">
              <w:rPr>
                <w:rFonts w:ascii="Arial" w:eastAsia="Arial" w:hAnsi="Arial" w:cs="Arial"/>
                <w:color w:val="000000"/>
                <w:sz w:val="20"/>
                <w:szCs w:val="20"/>
              </w:rPr>
              <w:t>(texto)</w:t>
            </w:r>
          </w:p>
        </w:tc>
        <w:tc>
          <w:tcPr>
            <w:tcW w:w="1421"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61C16526"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Pr>
                <w:rFonts w:ascii="Arial" w:eastAsia="Arial" w:hAnsi="Arial" w:cs="Arial"/>
                <w:color w:val="000000"/>
                <w:sz w:val="20"/>
                <w:szCs w:val="20"/>
              </w:rPr>
              <w:t>1</w:t>
            </w:r>
            <w:r w:rsidRPr="007A5194">
              <w:rPr>
                <w:rFonts w:ascii="Arial" w:eastAsia="Arial" w:hAnsi="Arial" w:cs="Arial"/>
                <w:color w:val="000000"/>
                <w:sz w:val="20"/>
                <w:szCs w:val="20"/>
              </w:rPr>
              <w:t xml:space="preserve"> a 5</w:t>
            </w:r>
          </w:p>
          <w:p w14:paraId="5352446F"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Justificación:</w:t>
            </w:r>
          </w:p>
          <w:p w14:paraId="16184A2B" w14:textId="77777777" w:rsidR="001A293D" w:rsidRPr="007A5194" w:rsidRDefault="001A293D" w:rsidP="009B6E81">
            <w:pPr>
              <w:spacing w:after="0" w:line="240" w:lineRule="auto"/>
              <w:jc w:val="center"/>
              <w:rPr>
                <w:rFonts w:ascii="Arial" w:eastAsia="Arial" w:hAnsi="Arial" w:cs="Arial"/>
                <w:color w:val="000000"/>
                <w:sz w:val="20"/>
                <w:szCs w:val="20"/>
              </w:rPr>
            </w:pPr>
          </w:p>
          <w:p w14:paraId="3CE2000E" w14:textId="77777777" w:rsidR="001A293D" w:rsidRPr="007A5194" w:rsidRDefault="001A293D" w:rsidP="009B6E81">
            <w:pPr>
              <w:spacing w:after="0" w:line="240" w:lineRule="auto"/>
              <w:jc w:val="center"/>
              <w:rPr>
                <w:rFonts w:ascii="Arial" w:eastAsia="Arial" w:hAnsi="Arial" w:cs="Arial"/>
                <w:color w:val="000000"/>
                <w:sz w:val="20"/>
                <w:szCs w:val="20"/>
              </w:rPr>
            </w:pPr>
            <w:r w:rsidRPr="007A5194">
              <w:rPr>
                <w:rFonts w:ascii="Arial" w:eastAsia="Arial" w:hAnsi="Arial" w:cs="Arial"/>
                <w:color w:val="000000"/>
                <w:sz w:val="20"/>
                <w:szCs w:val="20"/>
              </w:rPr>
              <w:t>(texto)</w:t>
            </w:r>
          </w:p>
        </w:tc>
        <w:tc>
          <w:tcPr>
            <w:tcW w:w="715"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4528E7E9"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color w:val="000000"/>
                <w:sz w:val="20"/>
                <w:szCs w:val="20"/>
              </w:rPr>
              <w:t>Suma:</w:t>
            </w:r>
          </w:p>
        </w:tc>
        <w:tc>
          <w:tcPr>
            <w:tcW w:w="1428"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tcPr>
          <w:p w14:paraId="4D55B2C8"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b/>
                <w:color w:val="000000"/>
                <w:sz w:val="20"/>
                <w:szCs w:val="20"/>
              </w:rPr>
              <w:t xml:space="preserve">Grado: </w:t>
            </w:r>
            <w:r w:rsidRPr="007A5194">
              <w:rPr>
                <w:rFonts w:ascii="Arial" w:eastAsia="Arial" w:hAnsi="Arial" w:cs="Arial"/>
                <w:color w:val="000000"/>
                <w:sz w:val="20"/>
                <w:szCs w:val="20"/>
              </w:rPr>
              <w:t>1 a 5</w:t>
            </w:r>
          </w:p>
          <w:p w14:paraId="6BB87407" w14:textId="77777777" w:rsidR="001A293D" w:rsidRDefault="001A293D" w:rsidP="009B6E81">
            <w:pPr>
              <w:spacing w:after="0" w:line="240" w:lineRule="auto"/>
              <w:rPr>
                <w:rFonts w:ascii="Arial" w:eastAsia="Arial" w:hAnsi="Arial" w:cs="Arial"/>
                <w:b/>
                <w:color w:val="000000"/>
                <w:sz w:val="20"/>
                <w:szCs w:val="20"/>
              </w:rPr>
            </w:pPr>
            <w:r>
              <w:rPr>
                <w:rFonts w:ascii="Arial" w:eastAsia="Arial" w:hAnsi="Arial" w:cs="Arial"/>
                <w:b/>
                <w:color w:val="000000"/>
                <w:sz w:val="20"/>
                <w:szCs w:val="20"/>
              </w:rPr>
              <w:t>Justificación</w:t>
            </w:r>
          </w:p>
          <w:p w14:paraId="1E48146D" w14:textId="77777777" w:rsidR="001A293D" w:rsidRPr="007A5194" w:rsidRDefault="001A293D" w:rsidP="009B6E81">
            <w:pPr>
              <w:spacing w:after="0" w:line="240" w:lineRule="auto"/>
              <w:rPr>
                <w:rFonts w:ascii="Arial" w:eastAsia="Arial" w:hAnsi="Arial" w:cs="Arial"/>
                <w:color w:val="000000"/>
                <w:sz w:val="20"/>
                <w:szCs w:val="20"/>
              </w:rPr>
            </w:pPr>
          </w:p>
          <w:p w14:paraId="4E445205" w14:textId="77777777" w:rsidR="001A293D" w:rsidRPr="007A5194" w:rsidRDefault="001A293D" w:rsidP="009B6E81">
            <w:pPr>
              <w:spacing w:after="0" w:line="240" w:lineRule="auto"/>
              <w:jc w:val="center"/>
              <w:rPr>
                <w:rFonts w:ascii="Arial" w:eastAsia="Arial" w:hAnsi="Arial" w:cs="Arial"/>
                <w:color w:val="000000"/>
                <w:sz w:val="20"/>
                <w:szCs w:val="20"/>
              </w:rPr>
            </w:pPr>
          </w:p>
          <w:p w14:paraId="2E0B5B0A" w14:textId="77777777" w:rsidR="001A293D" w:rsidRPr="007A5194" w:rsidRDefault="001A293D" w:rsidP="009B6E81">
            <w:pPr>
              <w:spacing w:after="0" w:line="240" w:lineRule="auto"/>
              <w:rPr>
                <w:rFonts w:ascii="Arial" w:eastAsia="Arial" w:hAnsi="Arial" w:cs="Arial"/>
                <w:color w:val="000000"/>
                <w:sz w:val="20"/>
                <w:szCs w:val="20"/>
              </w:rPr>
            </w:pPr>
            <w:r w:rsidRPr="007A5194">
              <w:rPr>
                <w:rFonts w:ascii="Arial" w:eastAsia="Arial" w:hAnsi="Arial" w:cs="Arial"/>
                <w:color w:val="000000"/>
                <w:sz w:val="20"/>
                <w:szCs w:val="20"/>
              </w:rPr>
              <w:t>(texto)</w:t>
            </w:r>
          </w:p>
        </w:tc>
      </w:tr>
    </w:tbl>
    <w:p w14:paraId="7E0F425A" w14:textId="77777777" w:rsidR="001A293D" w:rsidRPr="002C0430" w:rsidRDefault="001A293D" w:rsidP="001A293D">
      <w:pPr>
        <w:spacing w:after="0" w:line="240" w:lineRule="auto"/>
        <w:jc w:val="both"/>
        <w:rPr>
          <w:rFonts w:ascii="Arial" w:eastAsia="Arial" w:hAnsi="Arial" w:cs="Arial"/>
          <w:color w:val="000000"/>
          <w:sz w:val="24"/>
          <w:szCs w:val="24"/>
        </w:rPr>
      </w:pPr>
    </w:p>
    <w:p w14:paraId="2A716691" w14:textId="77777777" w:rsidR="001A293D" w:rsidRPr="002C0430" w:rsidRDefault="001A293D" w:rsidP="001A293D">
      <w:pPr>
        <w:spacing w:after="0" w:line="240" w:lineRule="auto"/>
        <w:jc w:val="both"/>
        <w:rPr>
          <w:rFonts w:ascii="Arial" w:eastAsia="Arial" w:hAnsi="Arial" w:cs="Arial"/>
          <w:color w:val="000000"/>
          <w:sz w:val="24"/>
          <w:szCs w:val="24"/>
        </w:rPr>
      </w:pPr>
    </w:p>
    <w:p w14:paraId="5B78837E" w14:textId="77777777" w:rsidR="001A293D" w:rsidRPr="002C0430" w:rsidRDefault="001A293D" w:rsidP="001A293D">
      <w:pPr>
        <w:spacing w:after="0" w:line="240" w:lineRule="auto"/>
        <w:jc w:val="both"/>
        <w:rPr>
          <w:rFonts w:ascii="Arial" w:eastAsia="Arial" w:hAnsi="Arial" w:cs="Arial"/>
          <w:color w:val="000000"/>
          <w:sz w:val="24"/>
          <w:szCs w:val="24"/>
        </w:rPr>
      </w:pPr>
      <w:r w:rsidRPr="008C4B77">
        <w:rPr>
          <w:rFonts w:ascii="Arial" w:eastAsia="Arial" w:hAnsi="Arial" w:cs="Arial"/>
          <w:color w:val="000000"/>
          <w:sz w:val="24"/>
          <w:szCs w:val="24"/>
        </w:rPr>
        <w:t>Tambi</w:t>
      </w:r>
      <w:r>
        <w:rPr>
          <w:rFonts w:ascii="Arial" w:eastAsia="Arial" w:hAnsi="Arial" w:cs="Arial"/>
          <w:color w:val="000000"/>
          <w:sz w:val="24"/>
          <w:szCs w:val="24"/>
        </w:rPr>
        <w:t>én e</w:t>
      </w:r>
      <w:r w:rsidRPr="002C0430">
        <w:rPr>
          <w:rFonts w:ascii="Arial" w:eastAsia="Arial" w:hAnsi="Arial" w:cs="Arial"/>
          <w:color w:val="000000"/>
          <w:sz w:val="24"/>
          <w:szCs w:val="24"/>
        </w:rPr>
        <w:t xml:space="preserve">n este caso el rango de valores para evaluar el grado de DIFICULTAD se encuentra entre </w:t>
      </w:r>
      <w:r w:rsidRPr="002C0430">
        <w:rPr>
          <w:rFonts w:ascii="Arial" w:eastAsia="Arial" w:hAnsi="Arial" w:cs="Arial"/>
          <w:b/>
          <w:color w:val="000000"/>
          <w:sz w:val="24"/>
          <w:szCs w:val="24"/>
        </w:rPr>
        <w:t>1</w:t>
      </w:r>
      <w:r w:rsidRPr="002C0430">
        <w:rPr>
          <w:rFonts w:ascii="Arial" w:eastAsia="Arial" w:hAnsi="Arial" w:cs="Arial"/>
          <w:color w:val="000000"/>
          <w:sz w:val="24"/>
          <w:szCs w:val="24"/>
        </w:rPr>
        <w:t xml:space="preserve"> y  </w:t>
      </w:r>
      <w:r w:rsidRPr="002C0430">
        <w:rPr>
          <w:rFonts w:ascii="Arial" w:eastAsia="Arial" w:hAnsi="Arial" w:cs="Arial"/>
          <w:b/>
          <w:color w:val="000000"/>
          <w:sz w:val="24"/>
          <w:szCs w:val="24"/>
        </w:rPr>
        <w:t>5</w:t>
      </w:r>
      <w:r w:rsidRPr="002C0430">
        <w:rPr>
          <w:rFonts w:ascii="Arial" w:eastAsia="Arial" w:hAnsi="Arial" w:cs="Arial"/>
          <w:color w:val="000000"/>
          <w:sz w:val="24"/>
          <w:szCs w:val="24"/>
        </w:rPr>
        <w:t>, como se presenta a continuación:</w:t>
      </w:r>
    </w:p>
    <w:p w14:paraId="36245BC8" w14:textId="77777777" w:rsidR="001A293D" w:rsidRDefault="001A293D" w:rsidP="001A293D">
      <w:pPr>
        <w:spacing w:after="0" w:line="240" w:lineRule="auto"/>
        <w:jc w:val="both"/>
        <w:rPr>
          <w:rFonts w:ascii="Arial" w:eastAsia="Arial" w:hAnsi="Arial" w:cs="Arial"/>
          <w:color w:val="000000"/>
          <w:sz w:val="24"/>
          <w:szCs w:val="24"/>
        </w:rPr>
      </w:pPr>
    </w:p>
    <w:p w14:paraId="2BE1D43C" w14:textId="77777777" w:rsidR="001A293D" w:rsidRDefault="001A293D" w:rsidP="001A293D">
      <w:pPr>
        <w:spacing w:after="0" w:line="240" w:lineRule="auto"/>
        <w:jc w:val="both"/>
        <w:rPr>
          <w:rFonts w:ascii="Arial" w:eastAsia="Arial" w:hAnsi="Arial" w:cs="Arial"/>
          <w:color w:val="000000"/>
          <w:sz w:val="24"/>
          <w:szCs w:val="24"/>
        </w:rPr>
      </w:pPr>
    </w:p>
    <w:p w14:paraId="1197CDB4" w14:textId="77777777" w:rsidR="001A293D" w:rsidRPr="002C0430" w:rsidRDefault="001A293D" w:rsidP="001A293D">
      <w:pPr>
        <w:spacing w:after="0" w:line="240" w:lineRule="auto"/>
        <w:jc w:val="both"/>
        <w:rPr>
          <w:rFonts w:ascii="Arial" w:eastAsia="Arial" w:hAnsi="Arial" w:cs="Arial"/>
          <w:color w:val="000000"/>
          <w:sz w:val="24"/>
          <w:szCs w:val="24"/>
        </w:rPr>
      </w:pPr>
    </w:p>
    <w:tbl>
      <w:tblPr>
        <w:tblW w:w="0" w:type="auto"/>
        <w:jc w:val="center"/>
        <w:tblCellMar>
          <w:left w:w="10" w:type="dxa"/>
          <w:right w:w="10" w:type="dxa"/>
        </w:tblCellMar>
        <w:tblLook w:val="04A0" w:firstRow="1" w:lastRow="0" w:firstColumn="1" w:lastColumn="0" w:noHBand="0" w:noVBand="1"/>
      </w:tblPr>
      <w:tblGrid>
        <w:gridCol w:w="1980"/>
        <w:gridCol w:w="3060"/>
      </w:tblGrid>
      <w:tr w:rsidR="001A293D" w:rsidRPr="002C0430" w14:paraId="17A29812" w14:textId="77777777" w:rsidTr="009B6E81">
        <w:trPr>
          <w:trHeight w:hRule="exact" w:val="284"/>
          <w:jc w:val="center"/>
        </w:trPr>
        <w:tc>
          <w:tcPr>
            <w:tcW w:w="1980"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vAlign w:val="center"/>
          </w:tcPr>
          <w:p w14:paraId="07BB25F2" w14:textId="77777777" w:rsidR="001A293D" w:rsidRPr="002C0430" w:rsidRDefault="001A293D" w:rsidP="009B6E81">
            <w:pPr>
              <w:spacing w:after="120" w:line="48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Grado</w:t>
            </w:r>
          </w:p>
        </w:tc>
        <w:tc>
          <w:tcPr>
            <w:tcW w:w="3060" w:type="dxa"/>
            <w:tcBorders>
              <w:top w:val="single" w:sz="5" w:space="0" w:color="836967"/>
              <w:left w:val="single" w:sz="5" w:space="0" w:color="836967"/>
              <w:bottom w:val="single" w:sz="5" w:space="0" w:color="836967"/>
              <w:right w:val="single" w:sz="5" w:space="0" w:color="836967"/>
            </w:tcBorders>
            <w:shd w:val="clear" w:color="auto" w:fill="E0E0E0"/>
            <w:tcMar>
              <w:left w:w="70" w:type="dxa"/>
              <w:right w:w="70" w:type="dxa"/>
            </w:tcMar>
            <w:vAlign w:val="center"/>
          </w:tcPr>
          <w:p w14:paraId="31AB6731" w14:textId="77777777" w:rsidR="001A293D" w:rsidRPr="002C0430" w:rsidRDefault="001A293D" w:rsidP="009B6E81">
            <w:pPr>
              <w:spacing w:after="120" w:line="480" w:lineRule="auto"/>
              <w:jc w:val="center"/>
              <w:rPr>
                <w:rFonts w:ascii="Arial" w:eastAsia="Arial" w:hAnsi="Arial" w:cs="Arial"/>
                <w:b/>
                <w:color w:val="000000"/>
                <w:sz w:val="24"/>
                <w:szCs w:val="24"/>
              </w:rPr>
            </w:pPr>
            <w:r w:rsidRPr="002C0430">
              <w:rPr>
                <w:rFonts w:ascii="Arial" w:eastAsia="Arial" w:hAnsi="Arial" w:cs="Arial"/>
                <w:b/>
                <w:color w:val="000000"/>
                <w:sz w:val="24"/>
                <w:szCs w:val="24"/>
              </w:rPr>
              <w:t>Corresponde a</w:t>
            </w:r>
          </w:p>
        </w:tc>
      </w:tr>
      <w:tr w:rsidR="001A293D" w:rsidRPr="002C0430" w14:paraId="58B74E6F" w14:textId="77777777" w:rsidTr="009B6E81">
        <w:trPr>
          <w:jc w:val="center"/>
        </w:trPr>
        <w:tc>
          <w:tcPr>
            <w:tcW w:w="198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53B0B923" w14:textId="77777777" w:rsidR="001A293D" w:rsidRPr="002C0430" w:rsidRDefault="001A293D" w:rsidP="009B6E81">
            <w:pPr>
              <w:spacing w:after="120" w:line="480" w:lineRule="auto"/>
              <w:jc w:val="center"/>
              <w:rPr>
                <w:rFonts w:ascii="Arial" w:eastAsia="Arial" w:hAnsi="Arial" w:cs="Arial"/>
                <w:color w:val="000000"/>
                <w:sz w:val="24"/>
                <w:szCs w:val="24"/>
              </w:rPr>
            </w:pPr>
            <w:r w:rsidRPr="002C0430">
              <w:rPr>
                <w:rFonts w:ascii="Arial" w:eastAsia="Arial" w:hAnsi="Arial" w:cs="Arial"/>
                <w:color w:val="000000"/>
                <w:sz w:val="24"/>
                <w:szCs w:val="24"/>
              </w:rPr>
              <w:t>1</w:t>
            </w:r>
          </w:p>
        </w:tc>
        <w:tc>
          <w:tcPr>
            <w:tcW w:w="306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3DBB624F" w14:textId="77777777" w:rsidR="001A293D" w:rsidRPr="002C0430" w:rsidRDefault="001A293D" w:rsidP="009B6E81">
            <w:pPr>
              <w:spacing w:after="120" w:line="480" w:lineRule="auto"/>
              <w:jc w:val="center"/>
              <w:rPr>
                <w:rFonts w:ascii="Arial" w:eastAsia="Arial" w:hAnsi="Arial" w:cs="Arial"/>
                <w:color w:val="000000"/>
                <w:sz w:val="24"/>
                <w:szCs w:val="24"/>
              </w:rPr>
            </w:pPr>
            <w:r>
              <w:rPr>
                <w:rFonts w:ascii="Arial" w:eastAsia="Arial" w:hAnsi="Arial" w:cs="Arial"/>
                <w:color w:val="000000"/>
                <w:sz w:val="24"/>
                <w:szCs w:val="24"/>
              </w:rPr>
              <w:t xml:space="preserve">Muy </w:t>
            </w:r>
            <w:r w:rsidRPr="002C0430">
              <w:rPr>
                <w:rFonts w:ascii="Arial" w:eastAsia="Arial" w:hAnsi="Arial" w:cs="Arial"/>
                <w:color w:val="000000"/>
                <w:sz w:val="24"/>
                <w:szCs w:val="24"/>
              </w:rPr>
              <w:t>Bajo</w:t>
            </w:r>
          </w:p>
        </w:tc>
      </w:tr>
      <w:tr w:rsidR="001A293D" w:rsidRPr="002C0430" w14:paraId="573BCAD7" w14:textId="77777777" w:rsidTr="009B6E81">
        <w:trPr>
          <w:jc w:val="center"/>
        </w:trPr>
        <w:tc>
          <w:tcPr>
            <w:tcW w:w="198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0B48DB15" w14:textId="77777777" w:rsidR="001A293D" w:rsidRPr="002C0430" w:rsidRDefault="001A293D" w:rsidP="009B6E81">
            <w:pPr>
              <w:spacing w:after="120" w:line="480" w:lineRule="auto"/>
              <w:jc w:val="center"/>
              <w:rPr>
                <w:rFonts w:ascii="Arial" w:eastAsia="Arial" w:hAnsi="Arial" w:cs="Arial"/>
                <w:color w:val="000000"/>
                <w:sz w:val="24"/>
                <w:szCs w:val="24"/>
              </w:rPr>
            </w:pPr>
            <w:r w:rsidRPr="002C0430">
              <w:rPr>
                <w:rFonts w:ascii="Arial" w:eastAsia="Arial" w:hAnsi="Arial" w:cs="Arial"/>
                <w:color w:val="000000"/>
                <w:sz w:val="24"/>
                <w:szCs w:val="24"/>
              </w:rPr>
              <w:t>2</w:t>
            </w:r>
          </w:p>
        </w:tc>
        <w:tc>
          <w:tcPr>
            <w:tcW w:w="306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0509778B" w14:textId="77777777" w:rsidR="001A293D" w:rsidRPr="002C0430" w:rsidRDefault="001A293D" w:rsidP="009B6E81">
            <w:pPr>
              <w:spacing w:after="120" w:line="480" w:lineRule="auto"/>
              <w:jc w:val="center"/>
              <w:rPr>
                <w:rFonts w:ascii="Arial" w:eastAsia="Arial" w:hAnsi="Arial" w:cs="Arial"/>
                <w:color w:val="000000"/>
                <w:sz w:val="24"/>
                <w:szCs w:val="24"/>
              </w:rPr>
            </w:pPr>
            <w:r>
              <w:rPr>
                <w:rFonts w:ascii="Arial" w:eastAsia="Arial" w:hAnsi="Arial" w:cs="Arial"/>
                <w:color w:val="000000"/>
                <w:sz w:val="24"/>
                <w:szCs w:val="24"/>
              </w:rPr>
              <w:t>Bajo</w:t>
            </w:r>
          </w:p>
        </w:tc>
      </w:tr>
      <w:tr w:rsidR="001A293D" w:rsidRPr="002C0430" w14:paraId="743277C0" w14:textId="77777777" w:rsidTr="009B6E81">
        <w:trPr>
          <w:jc w:val="center"/>
        </w:trPr>
        <w:tc>
          <w:tcPr>
            <w:tcW w:w="198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2BE16E8D" w14:textId="77777777" w:rsidR="001A293D" w:rsidRPr="002C0430" w:rsidRDefault="001A293D" w:rsidP="009B6E81">
            <w:pPr>
              <w:spacing w:after="120" w:line="480" w:lineRule="auto"/>
              <w:jc w:val="center"/>
              <w:rPr>
                <w:rFonts w:ascii="Arial" w:eastAsia="Arial" w:hAnsi="Arial" w:cs="Arial"/>
                <w:color w:val="000000"/>
                <w:sz w:val="24"/>
                <w:szCs w:val="24"/>
              </w:rPr>
            </w:pPr>
            <w:r w:rsidRPr="002C0430">
              <w:rPr>
                <w:rFonts w:ascii="Arial" w:eastAsia="Arial" w:hAnsi="Arial" w:cs="Arial"/>
                <w:color w:val="000000"/>
                <w:sz w:val="24"/>
                <w:szCs w:val="24"/>
              </w:rPr>
              <w:t>3</w:t>
            </w:r>
          </w:p>
        </w:tc>
        <w:tc>
          <w:tcPr>
            <w:tcW w:w="306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025AE5E7" w14:textId="77777777" w:rsidR="001A293D" w:rsidRPr="002C0430" w:rsidRDefault="001A293D" w:rsidP="009B6E81">
            <w:pPr>
              <w:spacing w:after="120" w:line="480" w:lineRule="auto"/>
              <w:jc w:val="center"/>
              <w:rPr>
                <w:rFonts w:ascii="Arial" w:eastAsia="Arial" w:hAnsi="Arial" w:cs="Arial"/>
                <w:color w:val="000000"/>
                <w:sz w:val="24"/>
                <w:szCs w:val="24"/>
              </w:rPr>
            </w:pPr>
            <w:r>
              <w:rPr>
                <w:rFonts w:ascii="Arial" w:eastAsia="Arial" w:hAnsi="Arial" w:cs="Arial"/>
                <w:color w:val="000000"/>
                <w:sz w:val="24"/>
                <w:szCs w:val="24"/>
              </w:rPr>
              <w:t>M</w:t>
            </w:r>
            <w:r w:rsidRPr="002C0430">
              <w:rPr>
                <w:rFonts w:ascii="Arial" w:eastAsia="Arial" w:hAnsi="Arial" w:cs="Arial"/>
                <w:color w:val="000000"/>
                <w:sz w:val="24"/>
                <w:szCs w:val="24"/>
              </w:rPr>
              <w:t>edio</w:t>
            </w:r>
          </w:p>
        </w:tc>
      </w:tr>
      <w:tr w:rsidR="001A293D" w:rsidRPr="002C0430" w14:paraId="75688AF2" w14:textId="77777777" w:rsidTr="009B6E81">
        <w:trPr>
          <w:jc w:val="center"/>
        </w:trPr>
        <w:tc>
          <w:tcPr>
            <w:tcW w:w="198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4F2900BB" w14:textId="77777777" w:rsidR="001A293D" w:rsidRPr="002C0430" w:rsidRDefault="001A293D" w:rsidP="009B6E81">
            <w:pPr>
              <w:spacing w:after="120" w:line="480" w:lineRule="auto"/>
              <w:jc w:val="center"/>
              <w:rPr>
                <w:rFonts w:ascii="Arial" w:eastAsia="Arial" w:hAnsi="Arial" w:cs="Arial"/>
                <w:color w:val="000000"/>
                <w:sz w:val="24"/>
                <w:szCs w:val="24"/>
              </w:rPr>
            </w:pPr>
            <w:r w:rsidRPr="002C0430">
              <w:rPr>
                <w:rFonts w:ascii="Arial" w:eastAsia="Arial" w:hAnsi="Arial" w:cs="Arial"/>
                <w:color w:val="000000"/>
                <w:sz w:val="24"/>
                <w:szCs w:val="24"/>
              </w:rPr>
              <w:t>4</w:t>
            </w:r>
          </w:p>
        </w:tc>
        <w:tc>
          <w:tcPr>
            <w:tcW w:w="306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730DD9C7" w14:textId="77777777" w:rsidR="001A293D" w:rsidRPr="002C0430" w:rsidRDefault="001A293D" w:rsidP="009B6E81">
            <w:pPr>
              <w:spacing w:after="120" w:line="480" w:lineRule="auto"/>
              <w:jc w:val="center"/>
              <w:rPr>
                <w:rFonts w:ascii="Arial" w:eastAsia="Arial" w:hAnsi="Arial" w:cs="Arial"/>
                <w:color w:val="000000"/>
                <w:sz w:val="24"/>
                <w:szCs w:val="24"/>
              </w:rPr>
            </w:pPr>
            <w:r w:rsidRPr="002C0430">
              <w:rPr>
                <w:rFonts w:ascii="Arial" w:eastAsia="Arial" w:hAnsi="Arial" w:cs="Arial"/>
                <w:color w:val="000000"/>
                <w:sz w:val="24"/>
                <w:szCs w:val="24"/>
              </w:rPr>
              <w:t>Alto</w:t>
            </w:r>
          </w:p>
        </w:tc>
      </w:tr>
      <w:tr w:rsidR="001A293D" w:rsidRPr="002C0430" w14:paraId="59BD0F7A" w14:textId="77777777" w:rsidTr="009B6E81">
        <w:trPr>
          <w:jc w:val="center"/>
        </w:trPr>
        <w:tc>
          <w:tcPr>
            <w:tcW w:w="198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46A7563B" w14:textId="77777777" w:rsidR="001A293D" w:rsidRPr="002C0430" w:rsidRDefault="001A293D" w:rsidP="009B6E81">
            <w:pPr>
              <w:spacing w:after="120" w:line="480" w:lineRule="auto"/>
              <w:jc w:val="center"/>
              <w:rPr>
                <w:rFonts w:ascii="Arial" w:eastAsia="Arial" w:hAnsi="Arial" w:cs="Arial"/>
                <w:color w:val="000000"/>
                <w:sz w:val="24"/>
                <w:szCs w:val="24"/>
              </w:rPr>
            </w:pPr>
            <w:r w:rsidRPr="002C0430">
              <w:rPr>
                <w:rFonts w:ascii="Arial" w:eastAsia="Arial" w:hAnsi="Arial" w:cs="Arial"/>
                <w:color w:val="000000"/>
                <w:sz w:val="24"/>
                <w:szCs w:val="24"/>
              </w:rPr>
              <w:t>5</w:t>
            </w:r>
          </w:p>
        </w:tc>
        <w:tc>
          <w:tcPr>
            <w:tcW w:w="3060" w:type="dxa"/>
            <w:tcBorders>
              <w:top w:val="single" w:sz="5" w:space="0" w:color="836967"/>
              <w:left w:val="single" w:sz="5" w:space="0" w:color="836967"/>
              <w:bottom w:val="single" w:sz="5" w:space="0" w:color="836967"/>
              <w:right w:val="single" w:sz="5" w:space="0" w:color="836967"/>
            </w:tcBorders>
            <w:shd w:val="clear" w:color="auto" w:fill="auto"/>
            <w:tcMar>
              <w:left w:w="70" w:type="dxa"/>
              <w:right w:w="70" w:type="dxa"/>
            </w:tcMar>
            <w:vAlign w:val="center"/>
          </w:tcPr>
          <w:p w14:paraId="1CA3FA11" w14:textId="77777777" w:rsidR="001A293D" w:rsidRPr="002C0430" w:rsidRDefault="001A293D" w:rsidP="009B6E81">
            <w:pPr>
              <w:spacing w:after="120" w:line="480" w:lineRule="auto"/>
              <w:jc w:val="center"/>
              <w:rPr>
                <w:rFonts w:ascii="Arial" w:eastAsia="Arial" w:hAnsi="Arial" w:cs="Arial"/>
                <w:color w:val="000000"/>
                <w:sz w:val="24"/>
                <w:szCs w:val="24"/>
              </w:rPr>
            </w:pPr>
            <w:r w:rsidRPr="002C0430">
              <w:rPr>
                <w:rFonts w:ascii="Arial" w:eastAsia="Arial" w:hAnsi="Arial" w:cs="Arial"/>
                <w:color w:val="000000"/>
                <w:sz w:val="24"/>
                <w:szCs w:val="24"/>
              </w:rPr>
              <w:t>Muy alto</w:t>
            </w:r>
          </w:p>
        </w:tc>
      </w:tr>
    </w:tbl>
    <w:p w14:paraId="51C79469" w14:textId="77777777" w:rsidR="000417CE" w:rsidRDefault="000417CE" w:rsidP="001A293D">
      <w:pPr>
        <w:spacing w:after="0" w:line="240" w:lineRule="auto"/>
        <w:rPr>
          <w:rFonts w:ascii="Arial" w:eastAsia="Arial" w:hAnsi="Arial" w:cs="Arial"/>
          <w:color w:val="000000"/>
          <w:sz w:val="24"/>
          <w:szCs w:val="24"/>
        </w:rPr>
      </w:pPr>
    </w:p>
    <w:p w14:paraId="2FF42454" w14:textId="77777777" w:rsidR="000417CE" w:rsidRDefault="000417CE" w:rsidP="001A293D">
      <w:pPr>
        <w:spacing w:after="0" w:line="240" w:lineRule="auto"/>
        <w:rPr>
          <w:rFonts w:ascii="Arial" w:eastAsia="Arial" w:hAnsi="Arial" w:cs="Arial"/>
          <w:color w:val="000000"/>
          <w:sz w:val="24"/>
          <w:szCs w:val="24"/>
        </w:rPr>
      </w:pPr>
    </w:p>
    <w:p w14:paraId="3866DDF2" w14:textId="0807A48F" w:rsidR="000417CE" w:rsidRDefault="000417CE" w:rsidP="001A293D">
      <w:pPr>
        <w:spacing w:after="0" w:line="240" w:lineRule="auto"/>
        <w:rPr>
          <w:rFonts w:ascii="Arial" w:eastAsia="Arial" w:hAnsi="Arial" w:cs="Arial"/>
          <w:color w:val="000000"/>
          <w:sz w:val="24"/>
          <w:szCs w:val="24"/>
        </w:rPr>
      </w:pPr>
      <w:bookmarkStart w:id="38" w:name="_Hlk50010483"/>
      <w:r>
        <w:rPr>
          <w:rFonts w:ascii="Arial" w:eastAsia="Arial" w:hAnsi="Arial" w:cs="Arial"/>
          <w:color w:val="000000"/>
          <w:sz w:val="24"/>
          <w:szCs w:val="24"/>
        </w:rPr>
        <w:t>El Grado Total de Prioridad se utiliza para la priorización de las Necesidades/Problemas dentro de un mismo sector, o sea, la prioridad (P), ranqueada como 1, 2, 3, etc. que se consigna de acuerdo a la puntuación que se obtuve en el correspondiente Grado Total</w:t>
      </w:r>
      <w:r w:rsidR="00A66896">
        <w:rPr>
          <w:rFonts w:ascii="Arial" w:eastAsia="Arial" w:hAnsi="Arial" w:cs="Arial"/>
          <w:color w:val="000000"/>
          <w:sz w:val="24"/>
          <w:szCs w:val="24"/>
        </w:rPr>
        <w:t>.</w:t>
      </w:r>
    </w:p>
    <w:p w14:paraId="2840C935" w14:textId="5873C620" w:rsidR="00A66896" w:rsidRDefault="00A66896" w:rsidP="001A293D">
      <w:pPr>
        <w:spacing w:after="0" w:line="240" w:lineRule="auto"/>
        <w:rPr>
          <w:rFonts w:ascii="Arial" w:eastAsia="Arial" w:hAnsi="Arial" w:cs="Arial"/>
          <w:color w:val="000000"/>
          <w:sz w:val="24"/>
          <w:szCs w:val="24"/>
        </w:rPr>
      </w:pPr>
    </w:p>
    <w:p w14:paraId="6C84AB97" w14:textId="6D6FD16C" w:rsidR="00A66896" w:rsidRDefault="00A66896" w:rsidP="001A293D">
      <w:pPr>
        <w:spacing w:after="0" w:line="240" w:lineRule="auto"/>
        <w:rPr>
          <w:rFonts w:ascii="Arial" w:eastAsia="Arial" w:hAnsi="Arial" w:cs="Arial"/>
          <w:color w:val="000000"/>
          <w:sz w:val="24"/>
          <w:szCs w:val="24"/>
        </w:rPr>
      </w:pPr>
      <w:bookmarkStart w:id="39" w:name="_Hlk50010948"/>
      <w:r>
        <w:rPr>
          <w:rFonts w:ascii="Arial" w:eastAsia="Arial" w:hAnsi="Arial" w:cs="Arial"/>
          <w:color w:val="000000"/>
          <w:sz w:val="24"/>
          <w:szCs w:val="24"/>
        </w:rPr>
        <w:lastRenderedPageBreak/>
        <w:t>En el caso en que haya empate entre dos N/P se recomienda repetir la evaluación de los atributos y buscar elementos que permitan un ajuste en la puntuación y elegir la cual se presentará como prioritaria entre ellas. Otra opción es utilizar el Grado Final de Prioridad de acuerdo al que se presenta a continuación.</w:t>
      </w:r>
    </w:p>
    <w:p w14:paraId="0EC11AD0" w14:textId="77777777" w:rsidR="000417CE" w:rsidRDefault="000417CE" w:rsidP="001A293D">
      <w:pPr>
        <w:spacing w:after="0" w:line="240" w:lineRule="auto"/>
        <w:rPr>
          <w:rFonts w:ascii="Arial" w:eastAsia="Arial" w:hAnsi="Arial" w:cs="Arial"/>
          <w:color w:val="000000"/>
          <w:sz w:val="24"/>
          <w:szCs w:val="24"/>
        </w:rPr>
      </w:pPr>
    </w:p>
    <w:bookmarkEnd w:id="38"/>
    <w:bookmarkEnd w:id="39"/>
    <w:p w14:paraId="328EAE9D" w14:textId="26CD98AD" w:rsidR="000417CE" w:rsidRDefault="001A293D" w:rsidP="001A293D">
      <w:pPr>
        <w:spacing w:after="0" w:line="240" w:lineRule="auto"/>
        <w:rPr>
          <w:rFonts w:ascii="Arial" w:eastAsia="Arial" w:hAnsi="Arial" w:cs="Arial"/>
          <w:color w:val="000000"/>
          <w:sz w:val="24"/>
          <w:szCs w:val="24"/>
        </w:rPr>
      </w:pPr>
      <w:r w:rsidRPr="002C0430">
        <w:rPr>
          <w:rFonts w:ascii="Arial" w:eastAsia="Arial" w:hAnsi="Arial" w:cs="Arial"/>
          <w:color w:val="000000"/>
          <w:sz w:val="24"/>
          <w:szCs w:val="24"/>
        </w:rPr>
        <w:t xml:space="preserve"> </w:t>
      </w:r>
    </w:p>
    <w:p w14:paraId="4DA8F5FB" w14:textId="0CBFBBA7" w:rsidR="001A293D" w:rsidRPr="002C0430" w:rsidRDefault="001A293D" w:rsidP="001A293D">
      <w:pPr>
        <w:spacing w:after="0" w:line="240" w:lineRule="auto"/>
        <w:rPr>
          <w:rFonts w:ascii="Arial" w:eastAsia="Arial" w:hAnsi="Arial" w:cs="Arial"/>
          <w:color w:val="000000"/>
          <w:sz w:val="24"/>
          <w:szCs w:val="24"/>
        </w:rPr>
      </w:pPr>
      <w:r w:rsidRPr="002C0430">
        <w:rPr>
          <w:rFonts w:ascii="Arial" w:eastAsia="Arial" w:hAnsi="Arial" w:cs="Arial"/>
          <w:b/>
          <w:color w:val="000000"/>
          <w:sz w:val="24"/>
          <w:szCs w:val="24"/>
        </w:rPr>
        <w:t>4 Gráfico de Cuadrantes</w:t>
      </w:r>
    </w:p>
    <w:p w14:paraId="65F18356" w14:textId="77777777" w:rsidR="001A293D" w:rsidRPr="002C0430" w:rsidRDefault="001A293D" w:rsidP="001A293D">
      <w:pPr>
        <w:spacing w:after="0" w:line="240" w:lineRule="auto"/>
        <w:rPr>
          <w:rFonts w:ascii="Arial" w:eastAsia="Arial" w:hAnsi="Arial" w:cs="Arial"/>
          <w:color w:val="000000"/>
          <w:sz w:val="24"/>
          <w:szCs w:val="24"/>
        </w:rPr>
      </w:pPr>
    </w:p>
    <w:p w14:paraId="7D485C52"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 xml:space="preserve">Para analizar los datos obtenidos se presentan cuatro posibilidades, las cuales están definidas en función de los valores de los atributos de </w:t>
      </w:r>
      <w:r w:rsidRPr="002C0430">
        <w:rPr>
          <w:rFonts w:ascii="Arial" w:eastAsia="Arial" w:hAnsi="Arial" w:cs="Arial"/>
          <w:b/>
          <w:caps/>
          <w:color w:val="000000"/>
          <w:sz w:val="24"/>
          <w:szCs w:val="24"/>
        </w:rPr>
        <w:t xml:space="preserve">relevancia </w:t>
      </w:r>
      <w:r w:rsidRPr="002C0430">
        <w:rPr>
          <w:rFonts w:ascii="Arial" w:eastAsia="Arial" w:hAnsi="Arial" w:cs="Arial"/>
          <w:color w:val="000000"/>
          <w:sz w:val="24"/>
          <w:szCs w:val="24"/>
        </w:rPr>
        <w:t>y</w:t>
      </w:r>
      <w:r w:rsidRPr="002C0430">
        <w:rPr>
          <w:rFonts w:ascii="Arial" w:eastAsia="Arial" w:hAnsi="Arial" w:cs="Arial"/>
          <w:b/>
          <w:caps/>
          <w:color w:val="000000"/>
          <w:sz w:val="24"/>
          <w:szCs w:val="24"/>
        </w:rPr>
        <w:t xml:space="preserve"> dificultad</w:t>
      </w:r>
    </w:p>
    <w:p w14:paraId="5C0AAD13" w14:textId="77777777" w:rsidR="001A293D" w:rsidRPr="002C0430" w:rsidRDefault="001A293D" w:rsidP="001A293D">
      <w:pPr>
        <w:spacing w:after="0" w:line="240" w:lineRule="auto"/>
        <w:rPr>
          <w:rFonts w:ascii="Arial" w:eastAsia="Arial" w:hAnsi="Arial" w:cs="Arial"/>
          <w:color w:val="000000"/>
          <w:sz w:val="24"/>
          <w:szCs w:val="24"/>
        </w:rPr>
      </w:pPr>
    </w:p>
    <w:p w14:paraId="209E9256" w14:textId="77777777" w:rsidR="001A293D" w:rsidRPr="002C0430" w:rsidRDefault="001A293D" w:rsidP="001A293D">
      <w:pPr>
        <w:tabs>
          <w:tab w:val="left" w:pos="720"/>
        </w:tabs>
        <w:spacing w:after="0" w:line="240" w:lineRule="auto"/>
        <w:ind w:left="720" w:hanging="360"/>
        <w:rPr>
          <w:rFonts w:ascii="Arial" w:eastAsia="Arial" w:hAnsi="Arial" w:cs="Arial"/>
          <w:color w:val="000000"/>
          <w:sz w:val="24"/>
          <w:szCs w:val="24"/>
        </w:rPr>
      </w:pPr>
      <w:r w:rsidRPr="002C0430">
        <w:rPr>
          <w:rFonts w:ascii="Arial" w:eastAsia="Times New Roman" w:hAnsi="Arial" w:cs="Arial"/>
          <w:color w:val="000000"/>
          <w:sz w:val="24"/>
          <w:szCs w:val="24"/>
        </w:rPr>
        <w:t>1.</w:t>
      </w:r>
      <w:r w:rsidRPr="002C0430">
        <w:rPr>
          <w:rFonts w:ascii="Arial" w:eastAsia="Times New Roman" w:hAnsi="Arial" w:cs="Arial"/>
          <w:color w:val="000000"/>
          <w:sz w:val="24"/>
          <w:szCs w:val="24"/>
        </w:rPr>
        <w:tab/>
      </w:r>
      <w:r w:rsidRPr="002C0430">
        <w:rPr>
          <w:rFonts w:ascii="Arial" w:eastAsia="Arial" w:hAnsi="Arial" w:cs="Arial"/>
          <w:color w:val="000000"/>
          <w:sz w:val="24"/>
          <w:szCs w:val="24"/>
        </w:rPr>
        <w:t xml:space="preserve"> ALTA </w:t>
      </w:r>
      <w:r w:rsidRPr="002C0430">
        <w:rPr>
          <w:rFonts w:ascii="Arial" w:eastAsia="Arial" w:hAnsi="Arial" w:cs="Arial"/>
          <w:b/>
          <w:color w:val="000000"/>
          <w:sz w:val="24"/>
          <w:szCs w:val="24"/>
        </w:rPr>
        <w:t>RELEVANCIA</w:t>
      </w:r>
      <w:r w:rsidRPr="002C0430">
        <w:rPr>
          <w:rFonts w:ascii="Arial" w:eastAsia="Arial" w:hAnsi="Arial" w:cs="Arial"/>
          <w:color w:val="000000"/>
          <w:sz w:val="24"/>
          <w:szCs w:val="24"/>
        </w:rPr>
        <w:t xml:space="preserve"> y BAJA  </w:t>
      </w:r>
      <w:r w:rsidRPr="002C0430">
        <w:rPr>
          <w:rFonts w:ascii="Arial" w:eastAsia="Arial" w:hAnsi="Arial" w:cs="Arial"/>
          <w:b/>
          <w:color w:val="000000"/>
          <w:sz w:val="24"/>
          <w:szCs w:val="24"/>
        </w:rPr>
        <w:t>DIFICULTAD</w:t>
      </w:r>
      <w:r w:rsidRPr="002C0430">
        <w:rPr>
          <w:rFonts w:ascii="Arial" w:eastAsia="Arial" w:hAnsi="Arial" w:cs="Arial"/>
          <w:color w:val="000000"/>
          <w:sz w:val="24"/>
          <w:szCs w:val="24"/>
        </w:rPr>
        <w:t xml:space="preserve"> </w:t>
      </w:r>
    </w:p>
    <w:p w14:paraId="7E60BE50" w14:textId="77777777" w:rsidR="001A293D" w:rsidRPr="002C0430" w:rsidRDefault="001A293D" w:rsidP="001A293D">
      <w:pPr>
        <w:spacing w:after="0" w:line="240" w:lineRule="auto"/>
        <w:rPr>
          <w:rFonts w:ascii="Arial" w:eastAsia="Arial" w:hAnsi="Arial" w:cs="Arial"/>
          <w:color w:val="000000"/>
          <w:sz w:val="24"/>
          <w:szCs w:val="24"/>
        </w:rPr>
      </w:pPr>
    </w:p>
    <w:p w14:paraId="6071F16E" w14:textId="77777777" w:rsidR="001A293D" w:rsidRPr="002C0430" w:rsidRDefault="001A293D" w:rsidP="001A293D">
      <w:pPr>
        <w:spacing w:after="0" w:line="240" w:lineRule="auto"/>
        <w:ind w:left="360"/>
        <w:rPr>
          <w:rFonts w:ascii="Arial" w:eastAsia="Arial" w:hAnsi="Arial" w:cs="Arial"/>
          <w:color w:val="000000"/>
          <w:sz w:val="24"/>
          <w:szCs w:val="24"/>
        </w:rPr>
      </w:pPr>
      <w:r w:rsidRPr="002C0430">
        <w:rPr>
          <w:rFonts w:ascii="Arial" w:eastAsia="Arial" w:hAnsi="Arial" w:cs="Arial"/>
          <w:color w:val="000000"/>
          <w:sz w:val="24"/>
          <w:szCs w:val="24"/>
        </w:rPr>
        <w:t>Corresponde a la primera categoría de prioridades y contiene las necesidades/problemas que se deben elegir en primer lugar.</w:t>
      </w:r>
    </w:p>
    <w:p w14:paraId="0E47F83C" w14:textId="77777777" w:rsidR="001A293D" w:rsidRPr="002C0430" w:rsidRDefault="001A293D" w:rsidP="001A293D">
      <w:pPr>
        <w:spacing w:after="0" w:line="240" w:lineRule="auto"/>
        <w:rPr>
          <w:rFonts w:ascii="Arial" w:eastAsia="Arial" w:hAnsi="Arial" w:cs="Arial"/>
          <w:color w:val="000000"/>
          <w:sz w:val="24"/>
          <w:szCs w:val="24"/>
        </w:rPr>
      </w:pPr>
    </w:p>
    <w:p w14:paraId="7A0ABF27" w14:textId="77777777" w:rsidR="001A293D" w:rsidRPr="002C0430" w:rsidRDefault="001A293D" w:rsidP="001A293D">
      <w:pPr>
        <w:tabs>
          <w:tab w:val="left" w:pos="720"/>
        </w:tabs>
        <w:spacing w:after="0" w:line="240" w:lineRule="auto"/>
        <w:ind w:left="720" w:hanging="360"/>
        <w:jc w:val="both"/>
        <w:rPr>
          <w:rFonts w:ascii="Arial" w:eastAsia="Arial" w:hAnsi="Arial" w:cs="Arial"/>
          <w:color w:val="000000"/>
          <w:sz w:val="24"/>
          <w:szCs w:val="24"/>
        </w:rPr>
      </w:pPr>
      <w:r w:rsidRPr="002C0430">
        <w:rPr>
          <w:rFonts w:ascii="Arial" w:eastAsia="Times New Roman" w:hAnsi="Arial" w:cs="Arial"/>
          <w:color w:val="000000"/>
          <w:sz w:val="24"/>
          <w:szCs w:val="24"/>
        </w:rPr>
        <w:t>2.</w:t>
      </w:r>
      <w:r w:rsidRPr="002C0430">
        <w:rPr>
          <w:rFonts w:ascii="Arial" w:eastAsia="Times New Roman" w:hAnsi="Arial" w:cs="Arial"/>
          <w:color w:val="000000"/>
          <w:sz w:val="24"/>
          <w:szCs w:val="24"/>
        </w:rPr>
        <w:tab/>
      </w:r>
      <w:r w:rsidRPr="002C0430">
        <w:rPr>
          <w:rFonts w:ascii="Arial" w:eastAsia="Arial" w:hAnsi="Arial" w:cs="Arial"/>
          <w:color w:val="000000"/>
          <w:sz w:val="24"/>
          <w:szCs w:val="24"/>
        </w:rPr>
        <w:t xml:space="preserve">ALTA </w:t>
      </w:r>
      <w:r w:rsidRPr="002C0430">
        <w:rPr>
          <w:rFonts w:ascii="Arial" w:eastAsia="Arial" w:hAnsi="Arial" w:cs="Arial"/>
          <w:b/>
          <w:color w:val="000000"/>
          <w:sz w:val="24"/>
          <w:szCs w:val="24"/>
        </w:rPr>
        <w:t>RELEVANCIA</w:t>
      </w:r>
      <w:r w:rsidRPr="002C0430">
        <w:rPr>
          <w:rFonts w:ascii="Arial" w:eastAsia="Arial" w:hAnsi="Arial" w:cs="Arial"/>
          <w:color w:val="000000"/>
          <w:sz w:val="24"/>
          <w:szCs w:val="24"/>
        </w:rPr>
        <w:t xml:space="preserve"> y ALTA </w:t>
      </w:r>
      <w:r w:rsidRPr="002C0430">
        <w:rPr>
          <w:rFonts w:ascii="Arial" w:eastAsia="Arial" w:hAnsi="Arial" w:cs="Arial"/>
          <w:b/>
          <w:color w:val="000000"/>
          <w:sz w:val="24"/>
          <w:szCs w:val="24"/>
        </w:rPr>
        <w:t>DIFICULTAD</w:t>
      </w:r>
    </w:p>
    <w:p w14:paraId="09544590" w14:textId="77777777" w:rsidR="001A293D" w:rsidRPr="002C0430" w:rsidRDefault="001A293D" w:rsidP="001A293D">
      <w:pPr>
        <w:spacing w:after="0" w:line="240" w:lineRule="auto"/>
        <w:jc w:val="both"/>
        <w:rPr>
          <w:rFonts w:ascii="Arial" w:eastAsia="Arial" w:hAnsi="Arial" w:cs="Arial"/>
          <w:color w:val="000000"/>
          <w:sz w:val="24"/>
          <w:szCs w:val="24"/>
        </w:rPr>
      </w:pPr>
    </w:p>
    <w:p w14:paraId="00FD6BAD" w14:textId="77777777" w:rsidR="001A293D" w:rsidRPr="002C0430" w:rsidRDefault="001A293D" w:rsidP="001A293D">
      <w:pPr>
        <w:spacing w:after="0" w:line="240" w:lineRule="auto"/>
        <w:ind w:left="360"/>
        <w:jc w:val="both"/>
        <w:rPr>
          <w:rFonts w:ascii="Arial" w:eastAsia="Arial" w:hAnsi="Arial" w:cs="Arial"/>
          <w:color w:val="000000"/>
          <w:sz w:val="24"/>
          <w:szCs w:val="24"/>
        </w:rPr>
      </w:pPr>
      <w:r w:rsidRPr="002C0430">
        <w:rPr>
          <w:rFonts w:ascii="Arial" w:eastAsia="Arial" w:hAnsi="Arial" w:cs="Arial"/>
          <w:color w:val="000000"/>
          <w:sz w:val="24"/>
          <w:szCs w:val="24"/>
        </w:rPr>
        <w:t>Corresponde a la segunda categoría de prioridades.</w:t>
      </w:r>
    </w:p>
    <w:p w14:paraId="15186E78" w14:textId="77777777" w:rsidR="001A293D" w:rsidRPr="002C0430" w:rsidRDefault="001A293D" w:rsidP="001A293D">
      <w:pPr>
        <w:spacing w:after="0" w:line="240" w:lineRule="auto"/>
        <w:rPr>
          <w:rFonts w:ascii="Arial" w:eastAsia="Arial" w:hAnsi="Arial" w:cs="Arial"/>
          <w:b/>
          <w:color w:val="000000"/>
          <w:sz w:val="24"/>
          <w:szCs w:val="24"/>
        </w:rPr>
      </w:pPr>
    </w:p>
    <w:p w14:paraId="6552A1EC" w14:textId="77777777" w:rsidR="001A293D" w:rsidRPr="002C0430" w:rsidRDefault="001A293D" w:rsidP="001A293D">
      <w:pPr>
        <w:tabs>
          <w:tab w:val="left" w:pos="720"/>
        </w:tabs>
        <w:spacing w:after="0" w:line="240" w:lineRule="auto"/>
        <w:ind w:left="720" w:hanging="360"/>
        <w:rPr>
          <w:rFonts w:ascii="Arial" w:eastAsia="Arial" w:hAnsi="Arial" w:cs="Arial"/>
          <w:color w:val="000000"/>
          <w:sz w:val="24"/>
          <w:szCs w:val="24"/>
        </w:rPr>
      </w:pPr>
      <w:r w:rsidRPr="002C0430">
        <w:rPr>
          <w:rFonts w:ascii="Arial" w:eastAsia="Times New Roman" w:hAnsi="Arial" w:cs="Arial"/>
          <w:color w:val="000000"/>
          <w:sz w:val="24"/>
          <w:szCs w:val="24"/>
        </w:rPr>
        <w:t>3.</w:t>
      </w:r>
      <w:r w:rsidRPr="002C0430">
        <w:rPr>
          <w:rFonts w:ascii="Arial" w:eastAsia="Times New Roman" w:hAnsi="Arial" w:cs="Arial"/>
          <w:color w:val="000000"/>
          <w:sz w:val="24"/>
          <w:szCs w:val="24"/>
        </w:rPr>
        <w:tab/>
      </w:r>
      <w:r w:rsidRPr="002C0430">
        <w:rPr>
          <w:rFonts w:ascii="Arial" w:eastAsia="Arial" w:hAnsi="Arial" w:cs="Arial"/>
          <w:color w:val="000000"/>
          <w:sz w:val="24"/>
          <w:szCs w:val="24"/>
        </w:rPr>
        <w:t xml:space="preserve">BAJA </w:t>
      </w:r>
      <w:r w:rsidRPr="002C0430">
        <w:rPr>
          <w:rFonts w:ascii="Arial" w:eastAsia="Arial" w:hAnsi="Arial" w:cs="Arial"/>
          <w:b/>
          <w:color w:val="000000"/>
          <w:sz w:val="24"/>
          <w:szCs w:val="24"/>
        </w:rPr>
        <w:t>RELEVANCIA</w:t>
      </w:r>
      <w:r w:rsidRPr="002C0430">
        <w:rPr>
          <w:rFonts w:ascii="Arial" w:eastAsia="Arial" w:hAnsi="Arial" w:cs="Arial"/>
          <w:color w:val="000000"/>
          <w:sz w:val="24"/>
          <w:szCs w:val="24"/>
        </w:rPr>
        <w:t xml:space="preserve">  y BAJA </w:t>
      </w:r>
      <w:r w:rsidRPr="002C0430">
        <w:rPr>
          <w:rFonts w:ascii="Arial" w:eastAsia="Arial" w:hAnsi="Arial" w:cs="Arial"/>
          <w:b/>
          <w:color w:val="000000"/>
          <w:sz w:val="24"/>
          <w:szCs w:val="24"/>
        </w:rPr>
        <w:t>DIFICULTAD</w:t>
      </w:r>
    </w:p>
    <w:p w14:paraId="2E1AC625" w14:textId="77777777" w:rsidR="001A293D" w:rsidRPr="002C0430" w:rsidRDefault="001A293D" w:rsidP="001A293D">
      <w:pPr>
        <w:spacing w:after="0" w:line="240" w:lineRule="auto"/>
        <w:rPr>
          <w:rFonts w:ascii="Arial" w:eastAsia="Arial" w:hAnsi="Arial" w:cs="Arial"/>
          <w:color w:val="000000"/>
          <w:sz w:val="24"/>
          <w:szCs w:val="24"/>
        </w:rPr>
      </w:pPr>
    </w:p>
    <w:p w14:paraId="54304EB5" w14:textId="77777777" w:rsidR="001A293D" w:rsidRPr="002C0430" w:rsidRDefault="001A293D" w:rsidP="001A293D">
      <w:pPr>
        <w:spacing w:after="0" w:line="240" w:lineRule="auto"/>
        <w:ind w:left="360"/>
        <w:jc w:val="both"/>
        <w:rPr>
          <w:rFonts w:ascii="Arial" w:eastAsia="Arial" w:hAnsi="Arial" w:cs="Arial"/>
          <w:color w:val="000000"/>
          <w:sz w:val="24"/>
          <w:szCs w:val="24"/>
        </w:rPr>
      </w:pPr>
      <w:r w:rsidRPr="002C0430">
        <w:rPr>
          <w:rFonts w:ascii="Arial" w:eastAsia="Arial" w:hAnsi="Arial" w:cs="Arial"/>
          <w:color w:val="000000"/>
          <w:sz w:val="24"/>
          <w:szCs w:val="24"/>
        </w:rPr>
        <w:t xml:space="preserve">A esta tercera categoría corresponden las necesidades/problemas que presentan una importancia relativamente baja, pero que todavía se las puede elegir a causa de su bajo grado de dificultad para la implementación. </w:t>
      </w:r>
    </w:p>
    <w:p w14:paraId="5C486AB7" w14:textId="77777777" w:rsidR="001A293D" w:rsidRPr="002C0430" w:rsidRDefault="001A293D" w:rsidP="001A293D">
      <w:pPr>
        <w:spacing w:after="0" w:line="240" w:lineRule="auto"/>
        <w:jc w:val="both"/>
        <w:rPr>
          <w:rFonts w:ascii="Arial" w:eastAsia="Arial" w:hAnsi="Arial" w:cs="Arial"/>
          <w:color w:val="000000"/>
          <w:sz w:val="24"/>
          <w:szCs w:val="24"/>
        </w:rPr>
      </w:pPr>
    </w:p>
    <w:p w14:paraId="6132DD13" w14:textId="77777777" w:rsidR="001A293D" w:rsidRPr="002C0430" w:rsidRDefault="001A293D" w:rsidP="001A293D">
      <w:pPr>
        <w:tabs>
          <w:tab w:val="left" w:pos="720"/>
        </w:tabs>
        <w:spacing w:after="0" w:line="240" w:lineRule="auto"/>
        <w:ind w:left="720" w:hanging="360"/>
        <w:jc w:val="both"/>
        <w:rPr>
          <w:rFonts w:ascii="Arial" w:eastAsia="Arial" w:hAnsi="Arial" w:cs="Arial"/>
          <w:color w:val="000000"/>
          <w:sz w:val="24"/>
          <w:szCs w:val="24"/>
        </w:rPr>
      </w:pPr>
      <w:r w:rsidRPr="002C0430">
        <w:rPr>
          <w:rFonts w:ascii="Arial" w:eastAsia="Times New Roman" w:hAnsi="Arial" w:cs="Arial"/>
          <w:color w:val="000000"/>
          <w:sz w:val="24"/>
          <w:szCs w:val="24"/>
        </w:rPr>
        <w:t>4.</w:t>
      </w:r>
      <w:r w:rsidRPr="002C0430">
        <w:rPr>
          <w:rFonts w:ascii="Arial" w:eastAsia="Times New Roman" w:hAnsi="Arial" w:cs="Arial"/>
          <w:color w:val="000000"/>
          <w:sz w:val="24"/>
          <w:szCs w:val="24"/>
        </w:rPr>
        <w:tab/>
      </w:r>
      <w:r w:rsidRPr="002C0430">
        <w:rPr>
          <w:rFonts w:ascii="Arial" w:eastAsia="Arial" w:hAnsi="Arial" w:cs="Arial"/>
          <w:color w:val="000000"/>
          <w:sz w:val="24"/>
          <w:szCs w:val="24"/>
        </w:rPr>
        <w:t xml:space="preserve">BAJA </w:t>
      </w:r>
      <w:r w:rsidRPr="002C0430">
        <w:rPr>
          <w:rFonts w:ascii="Arial" w:eastAsia="Arial" w:hAnsi="Arial" w:cs="Arial"/>
          <w:b/>
          <w:color w:val="000000"/>
          <w:sz w:val="24"/>
          <w:szCs w:val="24"/>
        </w:rPr>
        <w:t>RELEVANCIA</w:t>
      </w:r>
      <w:r w:rsidRPr="002C0430">
        <w:rPr>
          <w:rFonts w:ascii="Arial" w:eastAsia="Arial" w:hAnsi="Arial" w:cs="Arial"/>
          <w:color w:val="000000"/>
          <w:sz w:val="24"/>
          <w:szCs w:val="24"/>
        </w:rPr>
        <w:t xml:space="preserve"> y ALTA </w:t>
      </w:r>
      <w:r w:rsidRPr="002C0430">
        <w:rPr>
          <w:rFonts w:ascii="Arial" w:eastAsia="Arial" w:hAnsi="Arial" w:cs="Arial"/>
          <w:b/>
          <w:color w:val="000000"/>
          <w:sz w:val="24"/>
          <w:szCs w:val="24"/>
        </w:rPr>
        <w:t>DIFICULTAD</w:t>
      </w:r>
    </w:p>
    <w:p w14:paraId="7757FFA2" w14:textId="77777777" w:rsidR="001A293D" w:rsidRPr="002C0430" w:rsidRDefault="001A293D" w:rsidP="001A293D">
      <w:pPr>
        <w:spacing w:after="0" w:line="240" w:lineRule="auto"/>
        <w:jc w:val="both"/>
        <w:rPr>
          <w:rFonts w:ascii="Arial" w:eastAsia="Arial" w:hAnsi="Arial" w:cs="Arial"/>
          <w:color w:val="000000"/>
          <w:sz w:val="24"/>
          <w:szCs w:val="24"/>
        </w:rPr>
      </w:pPr>
    </w:p>
    <w:p w14:paraId="6DD3FD84" w14:textId="4159CEFB" w:rsidR="001A293D" w:rsidRPr="002C0430" w:rsidRDefault="001A293D" w:rsidP="00D7121B">
      <w:pPr>
        <w:spacing w:after="120" w:line="240" w:lineRule="auto"/>
        <w:ind w:left="360"/>
        <w:jc w:val="both"/>
        <w:rPr>
          <w:rFonts w:ascii="Arial" w:eastAsia="Arial" w:hAnsi="Arial" w:cs="Arial"/>
          <w:color w:val="000000"/>
          <w:sz w:val="24"/>
          <w:szCs w:val="24"/>
        </w:rPr>
      </w:pPr>
      <w:r w:rsidRPr="002C0430">
        <w:rPr>
          <w:rFonts w:ascii="Arial" w:eastAsia="Arial" w:hAnsi="Arial" w:cs="Arial"/>
          <w:color w:val="000000"/>
          <w:sz w:val="24"/>
          <w:szCs w:val="24"/>
        </w:rPr>
        <w:t>A esta cuarta categoría corresponden el último conjunto de necesidades/problemas  que en principio se pueden eliminar y que solamente se deben considerar bajo intereses específicos o situaciones especiales.</w:t>
      </w:r>
    </w:p>
    <w:p w14:paraId="516AD9EF" w14:textId="53C1800A" w:rsidR="001A293D" w:rsidRPr="002C0430" w:rsidRDefault="001A293D" w:rsidP="00D7121B">
      <w:pPr>
        <w:spacing w:after="0" w:line="240" w:lineRule="auto"/>
        <w:ind w:left="360"/>
        <w:jc w:val="both"/>
        <w:rPr>
          <w:rFonts w:ascii="Arial" w:eastAsia="Arial" w:hAnsi="Arial" w:cs="Arial"/>
          <w:color w:val="000000"/>
          <w:sz w:val="24"/>
          <w:szCs w:val="24"/>
        </w:rPr>
      </w:pPr>
      <w:r w:rsidRPr="002C0430">
        <w:rPr>
          <w:rFonts w:ascii="Arial" w:eastAsia="Arial" w:hAnsi="Arial" w:cs="Arial"/>
          <w:color w:val="000000"/>
          <w:sz w:val="24"/>
          <w:szCs w:val="24"/>
        </w:rPr>
        <w:t>Estas cuatro posibilidades se pueden representar en un grafico de cuadrantes donde se toma la DIFICULTAD en el eje X y la RELEVANCIA en el eje Y. Tal y como se presenta en el grafico siguiente</w:t>
      </w:r>
    </w:p>
    <w:p w14:paraId="0B378343" w14:textId="77777777" w:rsidR="001A293D" w:rsidRPr="00C47A40" w:rsidRDefault="001A293D" w:rsidP="001A293D">
      <w:pPr>
        <w:spacing w:after="0" w:line="240" w:lineRule="auto"/>
        <w:jc w:val="both"/>
        <w:rPr>
          <w:rFonts w:ascii="Times New Roman" w:eastAsia="Times New Roman" w:hAnsi="Times New Roman" w:cs="Times New Roman"/>
          <w:bCs/>
          <w:color w:val="000000"/>
          <w:lang w:val="es-ES"/>
        </w:rPr>
      </w:pPr>
    </w:p>
    <w:p w14:paraId="6BB36838" w14:textId="77777777" w:rsidR="001A293D" w:rsidRPr="00C47A40" w:rsidRDefault="001A293D" w:rsidP="001A293D">
      <w:pPr>
        <w:spacing w:after="0" w:line="240" w:lineRule="auto"/>
        <w:jc w:val="both"/>
        <w:rPr>
          <w:rFonts w:ascii="Times New Roman" w:eastAsia="Times New Roman" w:hAnsi="Times New Roman" w:cs="Times New Roman"/>
          <w:b/>
          <w:color w:val="000000"/>
          <w:lang w:val="es-MX" w:eastAsia="es-ES"/>
        </w:rPr>
      </w:pPr>
      <w:r w:rsidRPr="00C47A40">
        <w:rPr>
          <w:rFonts w:ascii="Times New Roman" w:eastAsia="Times New Roman" w:hAnsi="Times New Roman" w:cs="Times New Roman"/>
          <w:b/>
          <w:noProof/>
          <w:color w:val="000000"/>
        </w:rPr>
        <mc:AlternateContent>
          <mc:Choice Requires="wps">
            <w:drawing>
              <wp:anchor distT="0" distB="0" distL="114300" distR="114300" simplePos="0" relativeHeight="251660288" behindDoc="0" locked="0" layoutInCell="1" allowOverlap="1" wp14:anchorId="7615BF71" wp14:editId="3B5E3DE0">
                <wp:simplePos x="0" y="0"/>
                <wp:positionH relativeFrom="column">
                  <wp:posOffset>914400</wp:posOffset>
                </wp:positionH>
                <wp:positionV relativeFrom="paragraph">
                  <wp:posOffset>30480</wp:posOffset>
                </wp:positionV>
                <wp:extent cx="0" cy="1600200"/>
                <wp:effectExtent l="52705" t="16510" r="61595" b="12065"/>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82BC282" id="Conector reto 1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4pt" to="1in,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">
                <v:stroke endarrow="block"/>
              </v:line>
            </w:pict>
          </mc:Fallback>
        </mc:AlternateContent>
      </w:r>
      <w:r w:rsidRPr="00C47A40">
        <w:rPr>
          <w:rFonts w:ascii="Times New Roman" w:eastAsia="Times New Roman" w:hAnsi="Times New Roman" w:cs="Times New Roman"/>
          <w:b/>
          <w:noProof/>
          <w:color w:val="000000"/>
        </w:rPr>
        <mc:AlternateContent>
          <mc:Choice Requires="wps">
            <w:drawing>
              <wp:anchor distT="0" distB="0" distL="114300" distR="114300" simplePos="0" relativeHeight="251662336" behindDoc="0" locked="0" layoutInCell="1" allowOverlap="1" wp14:anchorId="29787C8A" wp14:editId="0E4E7C86">
                <wp:simplePos x="0" y="0"/>
                <wp:positionH relativeFrom="column">
                  <wp:posOffset>1143000</wp:posOffset>
                </wp:positionH>
                <wp:positionV relativeFrom="paragraph">
                  <wp:posOffset>160020</wp:posOffset>
                </wp:positionV>
                <wp:extent cx="571500" cy="457200"/>
                <wp:effectExtent l="5080" t="12700" r="13970" b="6350"/>
                <wp:wrapNone/>
                <wp:docPr id="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14:paraId="06CE1757" w14:textId="77777777" w:rsidR="00930AD5" w:rsidRPr="00C47A40" w:rsidRDefault="00930AD5" w:rsidP="001A293D">
                            <w:pPr>
                              <w:pStyle w:val="Heading1"/>
                              <w:rPr>
                                <w:b/>
                                <w:color w:val="auto"/>
                              </w:rPr>
                            </w:pPr>
                            <w:r w:rsidRPr="00C47A40">
                              <w:rPr>
                                <w:b/>
                                <w:color w:val="auto"/>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87C8A" id="_x0000_t202" coordsize="21600,21600" o:spt="202" path="m,l,21600r21600,l21600,xe">
                <v:stroke joinstyle="miter"/>
                <v:path gradientshapeok="t" o:connecttype="rect"/>
              </v:shapetype>
              <v:shape id="Caixa de texto 11" o:spid="_x0000_s1026" type="#_x0000_t202" style="position:absolute;left:0;text-align:left;margin-left:90pt;margin-top:12.6pt;width:4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">
                <v:textbox>
                  <w:txbxContent>
                    <w:p w14:paraId="06CE1757" w14:textId="77777777" w:rsidR="00930AD5" w:rsidRPr="00C47A40" w:rsidRDefault="00930AD5" w:rsidP="001A293D">
                      <w:pPr>
                        <w:pStyle w:val="Heading1"/>
                        <w:rPr>
                          <w:b/>
                          <w:color w:val="auto"/>
                        </w:rPr>
                      </w:pPr>
                      <w:r w:rsidRPr="00C47A40">
                        <w:rPr>
                          <w:b/>
                          <w:color w:val="auto"/>
                        </w:rPr>
                        <w:t>I</w:t>
                      </w:r>
                    </w:p>
                  </w:txbxContent>
                </v:textbox>
              </v:shape>
            </w:pict>
          </mc:Fallback>
        </mc:AlternateContent>
      </w:r>
      <w:r w:rsidRPr="00C47A40">
        <w:rPr>
          <w:rFonts w:ascii="Times New Roman" w:eastAsia="Times New Roman" w:hAnsi="Times New Roman" w:cs="Times New Roman"/>
          <w:b/>
          <w:noProof/>
          <w:color w:val="000000"/>
        </w:rPr>
        <mc:AlternateContent>
          <mc:Choice Requires="wps">
            <w:drawing>
              <wp:anchor distT="0" distB="0" distL="114300" distR="114300" simplePos="0" relativeHeight="251663360" behindDoc="0" locked="0" layoutInCell="1" allowOverlap="1" wp14:anchorId="740BD19B" wp14:editId="0475189B">
                <wp:simplePos x="0" y="0"/>
                <wp:positionH relativeFrom="column">
                  <wp:posOffset>2057400</wp:posOffset>
                </wp:positionH>
                <wp:positionV relativeFrom="paragraph">
                  <wp:posOffset>160020</wp:posOffset>
                </wp:positionV>
                <wp:extent cx="571500" cy="457200"/>
                <wp:effectExtent l="5080" t="12700" r="13970" b="635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14:paraId="6D372FD1" w14:textId="77777777" w:rsidR="00930AD5" w:rsidRPr="00C47A40" w:rsidRDefault="00930AD5" w:rsidP="001A293D">
                            <w:pPr>
                              <w:pStyle w:val="Heading1"/>
                              <w:rPr>
                                <w:b/>
                                <w:color w:val="auto"/>
                              </w:rPr>
                            </w:pPr>
                            <w:r w:rsidRPr="00C47A40">
                              <w:rPr>
                                <w:b/>
                                <w:color w:val="auto"/>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BD19B" id="Caixa de texto 10" o:spid="_x0000_s1027" type="#_x0000_t202" style="position:absolute;left:0;text-align:left;margin-left:162pt;margin-top:12.6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">
                <v:textbox>
                  <w:txbxContent>
                    <w:p w14:paraId="6D372FD1" w14:textId="77777777" w:rsidR="00930AD5" w:rsidRPr="00C47A40" w:rsidRDefault="00930AD5" w:rsidP="001A293D">
                      <w:pPr>
                        <w:pStyle w:val="Heading1"/>
                        <w:rPr>
                          <w:b/>
                          <w:color w:val="auto"/>
                        </w:rPr>
                      </w:pPr>
                      <w:r w:rsidRPr="00C47A40">
                        <w:rPr>
                          <w:b/>
                          <w:color w:val="auto"/>
                        </w:rPr>
                        <w:t>II</w:t>
                      </w:r>
                    </w:p>
                  </w:txbxContent>
                </v:textbox>
              </v:shape>
            </w:pict>
          </mc:Fallback>
        </mc:AlternateContent>
      </w:r>
      <w:r w:rsidRPr="00C47A40">
        <w:rPr>
          <w:rFonts w:ascii="Times New Roman" w:eastAsia="Times New Roman" w:hAnsi="Times New Roman" w:cs="Times New Roman"/>
          <w:b/>
          <w:noProof/>
          <w:color w:val="000000"/>
        </w:rPr>
        <mc:AlternateContent>
          <mc:Choice Requires="wps">
            <w:drawing>
              <wp:anchor distT="0" distB="0" distL="114300" distR="114300" simplePos="0" relativeHeight="251661312" behindDoc="0" locked="0" layoutInCell="1" allowOverlap="1" wp14:anchorId="1B3D9800" wp14:editId="24FCF97D">
                <wp:simplePos x="0" y="0"/>
                <wp:positionH relativeFrom="column">
                  <wp:posOffset>914400</wp:posOffset>
                </wp:positionH>
                <wp:positionV relativeFrom="paragraph">
                  <wp:posOffset>1645920</wp:posOffset>
                </wp:positionV>
                <wp:extent cx="2057400" cy="0"/>
                <wp:effectExtent l="5080" t="60325" r="23495" b="5397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16164804"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9.6pt" to="234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">
                <v:stroke endarrow="block"/>
              </v:line>
            </w:pict>
          </mc:Fallback>
        </mc:AlternateContent>
      </w:r>
      <w:r w:rsidRPr="00C47A40">
        <w:rPr>
          <w:rFonts w:ascii="Times New Roman" w:eastAsia="Times New Roman" w:hAnsi="Times New Roman" w:cs="Times New Roman"/>
          <w:b/>
          <w:color w:val="000000"/>
          <w:lang w:val="es-MX" w:eastAsia="es-ES"/>
        </w:rPr>
        <w:t xml:space="preserve">    Relevancia</w:t>
      </w:r>
    </w:p>
    <w:p w14:paraId="5CB2261A"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p>
    <w:p w14:paraId="396C93BB"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p>
    <w:p w14:paraId="156C3013"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p>
    <w:p w14:paraId="727CF2C9"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r w:rsidRPr="00C47A40">
        <w:rPr>
          <w:rFonts w:ascii="Times New Roman" w:eastAsia="Times New Roman" w:hAnsi="Times New Roman" w:cs="Times New Roman"/>
          <w:color w:val="000000"/>
          <w:lang w:val="es-MX" w:eastAsia="es-ES"/>
        </w:rPr>
        <w:t xml:space="preserve">                  </w:t>
      </w:r>
      <w:r>
        <w:rPr>
          <w:rFonts w:ascii="Times New Roman" w:eastAsia="Times New Roman" w:hAnsi="Times New Roman" w:cs="Times New Roman"/>
          <w:b/>
          <w:color w:val="000000"/>
          <w:lang w:val="es-MX" w:eastAsia="es-ES"/>
        </w:rPr>
        <w:t>3,0</w:t>
      </w:r>
      <w:r w:rsidRPr="00C47A40">
        <w:rPr>
          <w:rFonts w:ascii="Times New Roman" w:eastAsia="Times New Roman" w:hAnsi="Times New Roman" w:cs="Times New Roman"/>
          <w:color w:val="000000"/>
          <w:lang w:val="es-MX" w:eastAsia="es-ES"/>
        </w:rPr>
        <w:t>_</w:t>
      </w:r>
    </w:p>
    <w:p w14:paraId="3E7AF777"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r w:rsidRPr="00C47A40">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17FC00D0" wp14:editId="39B7DB38">
                <wp:simplePos x="0" y="0"/>
                <wp:positionH relativeFrom="column">
                  <wp:posOffset>1143000</wp:posOffset>
                </wp:positionH>
                <wp:positionV relativeFrom="paragraph">
                  <wp:posOffset>83820</wp:posOffset>
                </wp:positionV>
                <wp:extent cx="571500" cy="457200"/>
                <wp:effectExtent l="5080" t="6350" r="13970" b="1270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14:paraId="1A05DB47" w14:textId="77777777" w:rsidR="00930AD5" w:rsidRPr="00C47A40" w:rsidRDefault="00930AD5" w:rsidP="001A293D">
                            <w:pPr>
                              <w:pStyle w:val="Heading1"/>
                              <w:rPr>
                                <w:b/>
                                <w:color w:val="auto"/>
                              </w:rPr>
                            </w:pPr>
                            <w:r w:rsidRPr="00C47A40">
                              <w:rPr>
                                <w:b/>
                                <w:color w:val="auto"/>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C00D0" id="Caixa de texto 8" o:spid="_x0000_s1028" type="#_x0000_t202" style="position:absolute;margin-left:90pt;margin-top:6.6pt;width: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">
                <v:textbox>
                  <w:txbxContent>
                    <w:p w14:paraId="1A05DB47" w14:textId="77777777" w:rsidR="00930AD5" w:rsidRPr="00C47A40" w:rsidRDefault="00930AD5" w:rsidP="001A293D">
                      <w:pPr>
                        <w:pStyle w:val="Heading1"/>
                        <w:rPr>
                          <w:b/>
                          <w:color w:val="auto"/>
                        </w:rPr>
                      </w:pPr>
                      <w:r w:rsidRPr="00C47A40">
                        <w:rPr>
                          <w:b/>
                          <w:color w:val="auto"/>
                        </w:rPr>
                        <w:t>III</w:t>
                      </w:r>
                    </w:p>
                  </w:txbxContent>
                </v:textbox>
              </v:shape>
            </w:pict>
          </mc:Fallback>
        </mc:AlternateContent>
      </w:r>
      <w:r w:rsidRPr="00C47A40">
        <w:rPr>
          <w:rFonts w:ascii="Times New Roman" w:eastAsia="Times New Roman" w:hAnsi="Times New Roman" w:cs="Times New Roman"/>
          <w:noProof/>
          <w:color w:val="000000"/>
        </w:rPr>
        <mc:AlternateContent>
          <mc:Choice Requires="wps">
            <w:drawing>
              <wp:anchor distT="0" distB="0" distL="114300" distR="114300" simplePos="0" relativeHeight="251665408" behindDoc="0" locked="0" layoutInCell="1" allowOverlap="1" wp14:anchorId="5D61BAE6" wp14:editId="094BF54E">
                <wp:simplePos x="0" y="0"/>
                <wp:positionH relativeFrom="column">
                  <wp:posOffset>2057400</wp:posOffset>
                </wp:positionH>
                <wp:positionV relativeFrom="paragraph">
                  <wp:posOffset>83820</wp:posOffset>
                </wp:positionV>
                <wp:extent cx="571500" cy="457200"/>
                <wp:effectExtent l="5080" t="6350" r="13970" b="12700"/>
                <wp:wrapNone/>
                <wp:docPr id="13"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txbx>
                        <w:txbxContent>
                          <w:p w14:paraId="10D1EA96" w14:textId="77777777" w:rsidR="00930AD5" w:rsidRPr="00C47A40" w:rsidRDefault="00930AD5" w:rsidP="001A293D">
                            <w:pPr>
                              <w:pStyle w:val="Heading1"/>
                              <w:rPr>
                                <w:b/>
                                <w:color w:val="auto"/>
                              </w:rPr>
                            </w:pPr>
                            <w:r w:rsidRPr="00C47A40">
                              <w:rPr>
                                <w:b/>
                                <w:color w:val="auto"/>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1BAE6" id="Caixa de texto 7" o:spid="_x0000_s1029" type="#_x0000_t202" style="position:absolute;margin-left:162pt;margin-top:6.6pt;width:4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">
                <v:textbox>
                  <w:txbxContent>
                    <w:p w14:paraId="10D1EA96" w14:textId="77777777" w:rsidR="00930AD5" w:rsidRPr="00C47A40" w:rsidRDefault="00930AD5" w:rsidP="001A293D">
                      <w:pPr>
                        <w:pStyle w:val="Heading1"/>
                        <w:rPr>
                          <w:b/>
                          <w:color w:val="auto"/>
                        </w:rPr>
                      </w:pPr>
                      <w:r w:rsidRPr="00C47A40">
                        <w:rPr>
                          <w:b/>
                          <w:color w:val="auto"/>
                        </w:rPr>
                        <w:t>IV</w:t>
                      </w:r>
                    </w:p>
                  </w:txbxContent>
                </v:textbox>
              </v:shape>
            </w:pict>
          </mc:Fallback>
        </mc:AlternateContent>
      </w:r>
    </w:p>
    <w:p w14:paraId="0E74602F"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p>
    <w:p w14:paraId="219A9749"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p>
    <w:p w14:paraId="42AA8570"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p>
    <w:p w14:paraId="22CE0330"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r w:rsidRPr="00C47A40">
        <w:rPr>
          <w:rFonts w:ascii="Times New Roman" w:eastAsia="Times New Roman" w:hAnsi="Times New Roman" w:cs="Times New Roman"/>
          <w:color w:val="000000"/>
          <w:lang w:val="es-MX" w:eastAsia="es-ES"/>
        </w:rPr>
        <w:tab/>
        <w:t xml:space="preserve"> </w:t>
      </w:r>
      <w:r w:rsidRPr="00C47A40">
        <w:rPr>
          <w:rFonts w:ascii="Times New Roman" w:eastAsia="Times New Roman" w:hAnsi="Times New Roman" w:cs="Times New Roman"/>
          <w:color w:val="000000"/>
          <w:lang w:val="es-MX" w:eastAsia="es-ES"/>
        </w:rPr>
        <w:tab/>
      </w:r>
      <w:r w:rsidRPr="00C47A40">
        <w:rPr>
          <w:rFonts w:ascii="Times New Roman" w:eastAsia="Times New Roman" w:hAnsi="Times New Roman" w:cs="Times New Roman"/>
          <w:color w:val="000000"/>
          <w:lang w:val="es-MX" w:eastAsia="es-ES"/>
        </w:rPr>
        <w:tab/>
        <w:t xml:space="preserve">              |</w:t>
      </w:r>
    </w:p>
    <w:p w14:paraId="545D18AF" w14:textId="77777777" w:rsidR="001A293D" w:rsidRPr="00C47A40" w:rsidRDefault="001A293D" w:rsidP="001A293D">
      <w:pPr>
        <w:spacing w:after="0" w:line="240" w:lineRule="auto"/>
        <w:rPr>
          <w:rFonts w:ascii="Times New Roman" w:eastAsia="Times New Roman" w:hAnsi="Times New Roman" w:cs="Times New Roman"/>
          <w:color w:val="000000"/>
          <w:lang w:val="es-MX" w:eastAsia="es-ES"/>
        </w:rPr>
      </w:pPr>
      <w:r w:rsidRPr="00C47A40">
        <w:rPr>
          <w:rFonts w:ascii="Times New Roman" w:eastAsia="Times New Roman" w:hAnsi="Times New Roman" w:cs="Times New Roman"/>
          <w:color w:val="000000"/>
          <w:lang w:val="es-MX" w:eastAsia="es-ES"/>
        </w:rPr>
        <w:tab/>
      </w:r>
    </w:p>
    <w:p w14:paraId="7DD17025" w14:textId="2D665ABC" w:rsidR="001A293D" w:rsidRPr="00D7121B" w:rsidRDefault="001A293D" w:rsidP="00D7121B">
      <w:pPr>
        <w:spacing w:after="0" w:line="240" w:lineRule="auto"/>
        <w:rPr>
          <w:rFonts w:ascii="Times New Roman" w:eastAsia="Times New Roman" w:hAnsi="Times New Roman" w:cs="Times New Roman"/>
          <w:color w:val="000000"/>
          <w:lang w:val="es-MX" w:eastAsia="es-ES"/>
        </w:rPr>
      </w:pPr>
      <w:r w:rsidRPr="00C47A40">
        <w:rPr>
          <w:rFonts w:ascii="Times New Roman" w:eastAsia="Times New Roman" w:hAnsi="Times New Roman" w:cs="Times New Roman"/>
          <w:color w:val="000000"/>
          <w:lang w:val="es-MX" w:eastAsia="es-ES"/>
        </w:rPr>
        <w:tab/>
      </w:r>
      <w:r w:rsidRPr="00C47A40">
        <w:rPr>
          <w:rFonts w:ascii="Times New Roman" w:eastAsia="Times New Roman" w:hAnsi="Times New Roman" w:cs="Times New Roman"/>
          <w:color w:val="000000"/>
          <w:lang w:val="es-MX" w:eastAsia="es-ES"/>
        </w:rPr>
        <w:tab/>
      </w:r>
      <w:r w:rsidRPr="00C47A40">
        <w:rPr>
          <w:rFonts w:ascii="Times New Roman" w:eastAsia="Times New Roman" w:hAnsi="Times New Roman" w:cs="Times New Roman"/>
          <w:color w:val="000000"/>
          <w:lang w:val="es-MX" w:eastAsia="es-ES"/>
        </w:rPr>
        <w:tab/>
        <w:t xml:space="preserve">            </w:t>
      </w:r>
      <w:r>
        <w:rPr>
          <w:rFonts w:ascii="Times New Roman" w:eastAsia="Times New Roman" w:hAnsi="Times New Roman" w:cs="Times New Roman"/>
          <w:b/>
          <w:color w:val="000000"/>
          <w:lang w:val="es-MX" w:eastAsia="es-ES"/>
        </w:rPr>
        <w:t>3,0</w:t>
      </w:r>
      <w:r w:rsidRPr="00C47A40">
        <w:rPr>
          <w:rFonts w:ascii="Times New Roman" w:eastAsia="Times New Roman" w:hAnsi="Times New Roman" w:cs="Times New Roman"/>
          <w:color w:val="000000"/>
          <w:lang w:val="es-MX" w:eastAsia="es-ES"/>
        </w:rPr>
        <w:tab/>
      </w:r>
      <w:r w:rsidRPr="00C47A40">
        <w:rPr>
          <w:rFonts w:ascii="Times New Roman" w:eastAsia="Times New Roman" w:hAnsi="Times New Roman" w:cs="Times New Roman"/>
          <w:b/>
          <w:color w:val="000000"/>
          <w:lang w:val="es-MX" w:eastAsia="es-ES"/>
        </w:rPr>
        <w:t>Dificultad</w:t>
      </w:r>
    </w:p>
    <w:p w14:paraId="66C834E6"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lastRenderedPageBreak/>
        <w:t>Como se puede observar en este grafico, los cuadrantes tienen la siguiente correspondencia:</w:t>
      </w:r>
    </w:p>
    <w:p w14:paraId="29A24654" w14:textId="77777777" w:rsidR="001A293D" w:rsidRPr="002C0430" w:rsidRDefault="001A293D" w:rsidP="001A293D">
      <w:pPr>
        <w:spacing w:after="0" w:line="240" w:lineRule="auto"/>
        <w:ind w:left="360"/>
        <w:jc w:val="both"/>
        <w:rPr>
          <w:rFonts w:ascii="Arial" w:eastAsia="Arial" w:hAnsi="Arial" w:cs="Arial"/>
          <w:color w:val="000000"/>
          <w:sz w:val="24"/>
          <w:szCs w:val="24"/>
        </w:rPr>
      </w:pPr>
    </w:p>
    <w:p w14:paraId="5170D823" w14:textId="77777777" w:rsidR="001A293D" w:rsidRPr="002C0430" w:rsidRDefault="001A293D" w:rsidP="001A293D">
      <w:pPr>
        <w:tabs>
          <w:tab w:val="left" w:pos="1080"/>
        </w:tabs>
        <w:spacing w:after="0" w:line="240" w:lineRule="auto"/>
        <w:ind w:left="1080" w:hanging="360"/>
        <w:rPr>
          <w:rFonts w:ascii="Arial" w:eastAsia="Arial" w:hAnsi="Arial" w:cs="Arial"/>
          <w:color w:val="000000"/>
          <w:sz w:val="24"/>
          <w:szCs w:val="24"/>
        </w:rPr>
      </w:pPr>
      <w:r w:rsidRPr="002C0430">
        <w:rPr>
          <w:rFonts w:ascii="Arial" w:eastAsia="Symbol" w:hAnsi="Arial" w:cs="Arial"/>
          <w:color w:val="000000"/>
          <w:sz w:val="24"/>
          <w:szCs w:val="24"/>
        </w:rPr>
        <w:t></w:t>
      </w:r>
      <w:r w:rsidRPr="002C0430">
        <w:rPr>
          <w:rFonts w:ascii="Arial" w:eastAsia="Symbol" w:hAnsi="Arial" w:cs="Arial"/>
          <w:color w:val="000000"/>
          <w:sz w:val="24"/>
          <w:szCs w:val="24"/>
        </w:rPr>
        <w:tab/>
      </w:r>
      <w:r w:rsidRPr="002C0430">
        <w:rPr>
          <w:rFonts w:ascii="Arial" w:eastAsia="Arial" w:hAnsi="Arial" w:cs="Arial"/>
          <w:color w:val="000000"/>
          <w:sz w:val="24"/>
          <w:szCs w:val="24"/>
        </w:rPr>
        <w:t>El Cuadrante</w:t>
      </w:r>
      <w:r w:rsidRPr="002C0430">
        <w:rPr>
          <w:rFonts w:ascii="Arial" w:eastAsia="Arial" w:hAnsi="Arial" w:cs="Arial"/>
          <w:b/>
          <w:color w:val="000000"/>
          <w:sz w:val="24"/>
          <w:szCs w:val="24"/>
        </w:rPr>
        <w:t xml:space="preserve"> I</w:t>
      </w:r>
      <w:r w:rsidRPr="002C0430">
        <w:rPr>
          <w:rFonts w:ascii="Arial" w:eastAsia="Arial" w:hAnsi="Arial" w:cs="Arial"/>
          <w:color w:val="000000"/>
          <w:sz w:val="24"/>
          <w:szCs w:val="24"/>
        </w:rPr>
        <w:t xml:space="preserve">  a la categoría de ALTA </w:t>
      </w:r>
      <w:r w:rsidRPr="002C0430">
        <w:rPr>
          <w:rFonts w:ascii="Arial" w:eastAsia="Arial" w:hAnsi="Arial" w:cs="Arial"/>
          <w:b/>
          <w:color w:val="000000"/>
          <w:sz w:val="24"/>
          <w:szCs w:val="24"/>
        </w:rPr>
        <w:t>RELEVANCIA</w:t>
      </w:r>
      <w:r w:rsidRPr="002C0430">
        <w:rPr>
          <w:rFonts w:ascii="Arial" w:eastAsia="Arial" w:hAnsi="Arial" w:cs="Arial"/>
          <w:color w:val="000000"/>
          <w:sz w:val="24"/>
          <w:szCs w:val="24"/>
        </w:rPr>
        <w:t xml:space="preserve"> y BAJA  </w:t>
      </w:r>
      <w:r w:rsidRPr="002C0430">
        <w:rPr>
          <w:rFonts w:ascii="Arial" w:eastAsia="Arial" w:hAnsi="Arial" w:cs="Arial"/>
          <w:b/>
          <w:color w:val="000000"/>
          <w:sz w:val="24"/>
          <w:szCs w:val="24"/>
        </w:rPr>
        <w:t>DIFICULTAD</w:t>
      </w:r>
      <w:r w:rsidRPr="002C0430">
        <w:rPr>
          <w:rFonts w:ascii="Arial" w:eastAsia="Arial" w:hAnsi="Arial" w:cs="Arial"/>
          <w:color w:val="000000"/>
          <w:sz w:val="24"/>
          <w:szCs w:val="24"/>
        </w:rPr>
        <w:t xml:space="preserve">, </w:t>
      </w:r>
    </w:p>
    <w:p w14:paraId="71208576" w14:textId="77777777" w:rsidR="001A293D" w:rsidRPr="002C0430" w:rsidRDefault="001A293D" w:rsidP="001A293D">
      <w:pPr>
        <w:spacing w:after="0" w:line="240" w:lineRule="auto"/>
        <w:ind w:left="360"/>
        <w:rPr>
          <w:rFonts w:ascii="Arial" w:eastAsia="Arial" w:hAnsi="Arial" w:cs="Arial"/>
          <w:color w:val="000000"/>
          <w:sz w:val="24"/>
          <w:szCs w:val="24"/>
        </w:rPr>
      </w:pPr>
    </w:p>
    <w:p w14:paraId="07ACFC67" w14:textId="77777777" w:rsidR="001A293D" w:rsidRPr="002C0430" w:rsidRDefault="001A293D" w:rsidP="001A293D">
      <w:pPr>
        <w:tabs>
          <w:tab w:val="left" w:pos="1080"/>
        </w:tabs>
        <w:spacing w:after="0" w:line="240" w:lineRule="auto"/>
        <w:ind w:left="1080" w:hanging="360"/>
        <w:rPr>
          <w:rFonts w:ascii="Arial" w:eastAsia="Arial" w:hAnsi="Arial" w:cs="Arial"/>
          <w:color w:val="000000"/>
          <w:sz w:val="24"/>
          <w:szCs w:val="24"/>
        </w:rPr>
      </w:pPr>
      <w:r w:rsidRPr="002C0430">
        <w:rPr>
          <w:rFonts w:ascii="Arial" w:eastAsia="Symbol" w:hAnsi="Arial" w:cs="Arial"/>
          <w:color w:val="000000"/>
          <w:sz w:val="24"/>
          <w:szCs w:val="24"/>
        </w:rPr>
        <w:t></w:t>
      </w:r>
      <w:r w:rsidRPr="002C0430">
        <w:rPr>
          <w:rFonts w:ascii="Arial" w:eastAsia="Symbol" w:hAnsi="Arial" w:cs="Arial"/>
          <w:color w:val="000000"/>
          <w:sz w:val="24"/>
          <w:szCs w:val="24"/>
        </w:rPr>
        <w:tab/>
      </w:r>
      <w:r w:rsidRPr="002C0430">
        <w:rPr>
          <w:rFonts w:ascii="Arial" w:eastAsia="Arial" w:hAnsi="Arial" w:cs="Arial"/>
          <w:color w:val="000000"/>
          <w:sz w:val="24"/>
          <w:szCs w:val="24"/>
        </w:rPr>
        <w:t xml:space="preserve">El Cuadrante II a la categoría de ALTA </w:t>
      </w:r>
      <w:r w:rsidRPr="002C0430">
        <w:rPr>
          <w:rFonts w:ascii="Arial" w:eastAsia="Arial" w:hAnsi="Arial" w:cs="Arial"/>
          <w:b/>
          <w:color w:val="000000"/>
          <w:sz w:val="24"/>
          <w:szCs w:val="24"/>
        </w:rPr>
        <w:t>RELEVANCIA</w:t>
      </w:r>
      <w:r w:rsidRPr="002C0430">
        <w:rPr>
          <w:rFonts w:ascii="Arial" w:eastAsia="Arial" w:hAnsi="Arial" w:cs="Arial"/>
          <w:color w:val="000000"/>
          <w:sz w:val="24"/>
          <w:szCs w:val="24"/>
        </w:rPr>
        <w:t xml:space="preserve"> y ALTA </w:t>
      </w:r>
      <w:r w:rsidRPr="002C0430">
        <w:rPr>
          <w:rFonts w:ascii="Arial" w:eastAsia="Arial" w:hAnsi="Arial" w:cs="Arial"/>
          <w:b/>
          <w:color w:val="000000"/>
          <w:sz w:val="24"/>
          <w:szCs w:val="24"/>
        </w:rPr>
        <w:t>DIFICULTAD</w:t>
      </w:r>
      <w:r w:rsidRPr="002C0430">
        <w:rPr>
          <w:rFonts w:ascii="Arial" w:eastAsia="Arial" w:hAnsi="Arial" w:cs="Arial"/>
          <w:color w:val="000000"/>
          <w:sz w:val="24"/>
          <w:szCs w:val="24"/>
        </w:rPr>
        <w:t xml:space="preserve">, </w:t>
      </w:r>
    </w:p>
    <w:p w14:paraId="125BAAB3" w14:textId="77777777" w:rsidR="001A293D" w:rsidRPr="002C0430" w:rsidRDefault="001A293D" w:rsidP="001A293D">
      <w:pPr>
        <w:spacing w:after="0" w:line="240" w:lineRule="auto"/>
        <w:ind w:left="360"/>
        <w:rPr>
          <w:rFonts w:ascii="Arial" w:eastAsia="Arial" w:hAnsi="Arial" w:cs="Arial"/>
          <w:color w:val="000000"/>
          <w:sz w:val="24"/>
          <w:szCs w:val="24"/>
        </w:rPr>
      </w:pPr>
    </w:p>
    <w:p w14:paraId="61B0601B" w14:textId="77777777" w:rsidR="001A293D" w:rsidRPr="002C0430" w:rsidRDefault="001A293D" w:rsidP="001A293D">
      <w:pPr>
        <w:tabs>
          <w:tab w:val="left" w:pos="1080"/>
        </w:tabs>
        <w:spacing w:after="0" w:line="240" w:lineRule="auto"/>
        <w:ind w:left="1080" w:hanging="360"/>
        <w:rPr>
          <w:rFonts w:ascii="Arial" w:eastAsia="Arial" w:hAnsi="Arial" w:cs="Arial"/>
          <w:color w:val="000000"/>
          <w:sz w:val="24"/>
          <w:szCs w:val="24"/>
        </w:rPr>
      </w:pPr>
      <w:r w:rsidRPr="002C0430">
        <w:rPr>
          <w:rFonts w:ascii="Arial" w:eastAsia="Symbol" w:hAnsi="Arial" w:cs="Arial"/>
          <w:color w:val="000000"/>
          <w:sz w:val="24"/>
          <w:szCs w:val="24"/>
        </w:rPr>
        <w:t></w:t>
      </w:r>
      <w:r w:rsidRPr="002C0430">
        <w:rPr>
          <w:rFonts w:ascii="Arial" w:eastAsia="Symbol" w:hAnsi="Arial" w:cs="Arial"/>
          <w:color w:val="000000"/>
          <w:sz w:val="24"/>
          <w:szCs w:val="24"/>
        </w:rPr>
        <w:tab/>
      </w:r>
      <w:r w:rsidRPr="002C0430">
        <w:rPr>
          <w:rFonts w:ascii="Arial" w:eastAsia="Arial" w:hAnsi="Arial" w:cs="Arial"/>
          <w:color w:val="000000"/>
          <w:sz w:val="24"/>
          <w:szCs w:val="24"/>
        </w:rPr>
        <w:t xml:space="preserve">El Cuadrante III a la categoría de BAJA </w:t>
      </w:r>
      <w:r w:rsidRPr="002C0430">
        <w:rPr>
          <w:rFonts w:ascii="Arial" w:eastAsia="Arial" w:hAnsi="Arial" w:cs="Arial"/>
          <w:b/>
          <w:color w:val="000000"/>
          <w:sz w:val="24"/>
          <w:szCs w:val="24"/>
        </w:rPr>
        <w:t>RELEVANCIA</w:t>
      </w:r>
      <w:r w:rsidRPr="002C0430">
        <w:rPr>
          <w:rFonts w:ascii="Arial" w:eastAsia="Arial" w:hAnsi="Arial" w:cs="Arial"/>
          <w:color w:val="000000"/>
          <w:sz w:val="24"/>
          <w:szCs w:val="24"/>
        </w:rPr>
        <w:t xml:space="preserve">  y BAJA </w:t>
      </w:r>
      <w:r w:rsidRPr="002C0430">
        <w:rPr>
          <w:rFonts w:ascii="Arial" w:eastAsia="Arial" w:hAnsi="Arial" w:cs="Arial"/>
          <w:b/>
          <w:color w:val="000000"/>
          <w:sz w:val="24"/>
          <w:szCs w:val="24"/>
        </w:rPr>
        <w:t>DIFICULTAD</w:t>
      </w:r>
    </w:p>
    <w:p w14:paraId="4663C5CC" w14:textId="77777777" w:rsidR="001A293D" w:rsidRPr="002C0430" w:rsidRDefault="001A293D" w:rsidP="001A293D">
      <w:pPr>
        <w:spacing w:after="0" w:line="240" w:lineRule="auto"/>
        <w:jc w:val="both"/>
        <w:rPr>
          <w:rFonts w:ascii="Arial" w:eastAsia="Arial" w:hAnsi="Arial" w:cs="Arial"/>
          <w:color w:val="000000"/>
          <w:sz w:val="24"/>
          <w:szCs w:val="24"/>
        </w:rPr>
      </w:pPr>
    </w:p>
    <w:p w14:paraId="7CA802B7" w14:textId="77777777" w:rsidR="001A293D" w:rsidRPr="002C0430" w:rsidRDefault="001A293D" w:rsidP="001A293D">
      <w:pPr>
        <w:tabs>
          <w:tab w:val="left" w:pos="1080"/>
        </w:tabs>
        <w:spacing w:after="0" w:line="240" w:lineRule="auto"/>
        <w:ind w:left="1080" w:hanging="360"/>
        <w:jc w:val="both"/>
        <w:rPr>
          <w:rFonts w:ascii="Arial" w:eastAsia="Arial" w:hAnsi="Arial" w:cs="Arial"/>
          <w:color w:val="000000"/>
          <w:sz w:val="24"/>
          <w:szCs w:val="24"/>
        </w:rPr>
      </w:pPr>
      <w:r w:rsidRPr="002C0430">
        <w:rPr>
          <w:rFonts w:ascii="Arial" w:eastAsia="Symbol" w:hAnsi="Arial" w:cs="Arial"/>
          <w:color w:val="000000"/>
          <w:sz w:val="24"/>
          <w:szCs w:val="24"/>
        </w:rPr>
        <w:t></w:t>
      </w:r>
      <w:r w:rsidRPr="002C0430">
        <w:rPr>
          <w:rFonts w:ascii="Arial" w:eastAsia="Symbol" w:hAnsi="Arial" w:cs="Arial"/>
          <w:color w:val="000000"/>
          <w:sz w:val="24"/>
          <w:szCs w:val="24"/>
        </w:rPr>
        <w:tab/>
      </w:r>
      <w:r w:rsidRPr="002C0430">
        <w:rPr>
          <w:rFonts w:ascii="Arial" w:eastAsia="Arial" w:hAnsi="Arial" w:cs="Arial"/>
          <w:color w:val="000000"/>
          <w:sz w:val="24"/>
          <w:szCs w:val="24"/>
        </w:rPr>
        <w:t xml:space="preserve">EL Cuadrante IV a la categoría de BAJA </w:t>
      </w:r>
      <w:r w:rsidRPr="002C0430">
        <w:rPr>
          <w:rFonts w:ascii="Arial" w:eastAsia="Arial" w:hAnsi="Arial" w:cs="Arial"/>
          <w:b/>
          <w:color w:val="000000"/>
          <w:sz w:val="24"/>
          <w:szCs w:val="24"/>
        </w:rPr>
        <w:t>RELEVANCIA</w:t>
      </w:r>
      <w:r w:rsidRPr="002C0430">
        <w:rPr>
          <w:rFonts w:ascii="Arial" w:eastAsia="Arial" w:hAnsi="Arial" w:cs="Arial"/>
          <w:color w:val="000000"/>
          <w:sz w:val="24"/>
          <w:szCs w:val="24"/>
        </w:rPr>
        <w:t xml:space="preserve"> y ALTA </w:t>
      </w:r>
      <w:r w:rsidRPr="002C0430">
        <w:rPr>
          <w:rFonts w:ascii="Arial" w:eastAsia="Arial" w:hAnsi="Arial" w:cs="Arial"/>
          <w:b/>
          <w:color w:val="000000"/>
          <w:sz w:val="24"/>
          <w:szCs w:val="24"/>
        </w:rPr>
        <w:t>DIFICULTAD</w:t>
      </w:r>
    </w:p>
    <w:p w14:paraId="547D1DFD" w14:textId="77777777" w:rsidR="001A293D" w:rsidRPr="002C0430" w:rsidRDefault="001A293D" w:rsidP="001A293D">
      <w:pPr>
        <w:spacing w:after="0" w:line="240" w:lineRule="auto"/>
        <w:jc w:val="both"/>
        <w:rPr>
          <w:rFonts w:ascii="Arial" w:eastAsia="Arial" w:hAnsi="Arial" w:cs="Arial"/>
          <w:color w:val="000000"/>
          <w:sz w:val="24"/>
          <w:szCs w:val="24"/>
        </w:rPr>
      </w:pPr>
    </w:p>
    <w:p w14:paraId="5EF46852" w14:textId="77777777" w:rsidR="001A293D" w:rsidRPr="002C0430" w:rsidRDefault="001A293D" w:rsidP="001A293D">
      <w:pPr>
        <w:spacing w:after="0" w:line="240" w:lineRule="auto"/>
        <w:rPr>
          <w:rFonts w:ascii="Arial" w:eastAsia="Arial" w:hAnsi="Arial" w:cs="Arial"/>
          <w:b/>
          <w:color w:val="000000"/>
          <w:sz w:val="24"/>
          <w:szCs w:val="24"/>
        </w:rPr>
      </w:pPr>
      <w:r w:rsidRPr="002C0430">
        <w:rPr>
          <w:rFonts w:ascii="Arial" w:eastAsia="Arial" w:hAnsi="Arial" w:cs="Arial"/>
          <w:b/>
          <w:color w:val="000000"/>
          <w:sz w:val="24"/>
          <w:szCs w:val="24"/>
        </w:rPr>
        <w:t>2.5 Grado Final de Prioridad (GFP)</w:t>
      </w:r>
    </w:p>
    <w:p w14:paraId="615303D4" w14:textId="77777777" w:rsidR="001A293D" w:rsidRPr="002C0430" w:rsidRDefault="001A293D" w:rsidP="001A293D">
      <w:pPr>
        <w:spacing w:after="0" w:line="240" w:lineRule="auto"/>
        <w:jc w:val="both"/>
        <w:rPr>
          <w:rFonts w:ascii="Arial" w:eastAsia="Arial" w:hAnsi="Arial" w:cs="Arial"/>
          <w:color w:val="000000"/>
          <w:sz w:val="24"/>
          <w:szCs w:val="24"/>
        </w:rPr>
      </w:pPr>
    </w:p>
    <w:p w14:paraId="48C6C763"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 xml:space="preserve">Una  vez analizados los datos en función de la RELEVANCIA y la DIFICULTAD de las necesidades/problemas, el siguiente paso es determinar el </w:t>
      </w:r>
      <w:r w:rsidRPr="002C0430">
        <w:rPr>
          <w:rFonts w:ascii="Arial" w:eastAsia="Arial" w:hAnsi="Arial" w:cs="Arial"/>
          <w:b/>
          <w:color w:val="000000"/>
          <w:sz w:val="24"/>
          <w:szCs w:val="24"/>
        </w:rPr>
        <w:t>Grado Final de Prioridad</w:t>
      </w:r>
      <w:r w:rsidRPr="002C0430">
        <w:rPr>
          <w:rFonts w:ascii="Arial" w:eastAsia="Arial" w:hAnsi="Arial" w:cs="Arial"/>
          <w:color w:val="000000"/>
          <w:sz w:val="24"/>
          <w:szCs w:val="24"/>
        </w:rPr>
        <w:t xml:space="preserve"> (</w:t>
      </w:r>
      <w:r w:rsidRPr="002C0430">
        <w:rPr>
          <w:rFonts w:ascii="Arial" w:eastAsia="Arial" w:hAnsi="Arial" w:cs="Arial"/>
          <w:b/>
          <w:color w:val="000000"/>
          <w:sz w:val="24"/>
          <w:szCs w:val="24"/>
        </w:rPr>
        <w:t>GFP</w:t>
      </w:r>
      <w:r w:rsidRPr="002C0430">
        <w:rPr>
          <w:rFonts w:ascii="Arial" w:eastAsia="Arial" w:hAnsi="Arial" w:cs="Arial"/>
          <w:color w:val="000000"/>
          <w:sz w:val="24"/>
          <w:szCs w:val="24"/>
        </w:rPr>
        <w:t>)</w:t>
      </w:r>
    </w:p>
    <w:p w14:paraId="0CDC05F9" w14:textId="77777777" w:rsidR="001A293D" w:rsidRPr="002C0430" w:rsidRDefault="001A293D" w:rsidP="001A293D">
      <w:pPr>
        <w:spacing w:after="0" w:line="240" w:lineRule="auto"/>
        <w:jc w:val="both"/>
        <w:rPr>
          <w:rFonts w:ascii="Arial" w:eastAsia="Arial" w:hAnsi="Arial" w:cs="Arial"/>
          <w:color w:val="000000"/>
          <w:sz w:val="24"/>
          <w:szCs w:val="24"/>
        </w:rPr>
      </w:pPr>
    </w:p>
    <w:p w14:paraId="6FDDCF3C" w14:textId="77777777" w:rsidR="001A293D" w:rsidRPr="002C0430" w:rsidRDefault="001A293D" w:rsidP="001A293D">
      <w:pPr>
        <w:spacing w:after="0" w:line="240" w:lineRule="auto"/>
        <w:jc w:val="both"/>
        <w:rPr>
          <w:rFonts w:ascii="Arial" w:eastAsia="Arial" w:hAnsi="Arial" w:cs="Arial"/>
          <w:color w:val="000000"/>
          <w:sz w:val="24"/>
          <w:szCs w:val="24"/>
        </w:rPr>
      </w:pPr>
    </w:p>
    <w:p w14:paraId="2B643054"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Este se consigue a partir de los valores que se obtienen la siguiente formula:</w:t>
      </w:r>
    </w:p>
    <w:p w14:paraId="3D9EBFFC" w14:textId="77777777" w:rsidR="001A293D" w:rsidRPr="002C0430" w:rsidRDefault="001A293D" w:rsidP="001A293D">
      <w:pPr>
        <w:spacing w:after="0" w:line="240" w:lineRule="auto"/>
        <w:jc w:val="both"/>
        <w:rPr>
          <w:rFonts w:ascii="Arial" w:eastAsia="Arial" w:hAnsi="Arial" w:cs="Arial"/>
          <w:color w:val="000000"/>
          <w:sz w:val="24"/>
          <w:szCs w:val="24"/>
        </w:rPr>
      </w:pPr>
    </w:p>
    <w:p w14:paraId="0E380C9A" w14:textId="77777777" w:rsidR="001A293D" w:rsidRPr="002C0430" w:rsidRDefault="001A293D" w:rsidP="001A293D">
      <w:pPr>
        <w:spacing w:after="0" w:line="240" w:lineRule="auto"/>
        <w:jc w:val="both"/>
        <w:rPr>
          <w:rFonts w:ascii="Arial" w:eastAsia="Arial" w:hAnsi="Arial" w:cs="Arial"/>
          <w:color w:val="000000"/>
          <w:sz w:val="24"/>
          <w:szCs w:val="24"/>
        </w:rPr>
      </w:pPr>
    </w:p>
    <w:p w14:paraId="1748328F" w14:textId="77777777" w:rsidR="001A293D" w:rsidRPr="002C0430" w:rsidRDefault="001A293D" w:rsidP="001A293D">
      <w:pPr>
        <w:spacing w:after="0" w:line="240" w:lineRule="auto"/>
        <w:jc w:val="both"/>
        <w:rPr>
          <w:rFonts w:ascii="Arial" w:eastAsia="Arial" w:hAnsi="Arial" w:cs="Arial"/>
          <w:color w:val="000000"/>
          <w:sz w:val="24"/>
          <w:szCs w:val="24"/>
        </w:rPr>
      </w:pPr>
    </w:p>
    <w:p w14:paraId="47C85DC8" w14:textId="77777777" w:rsidR="001A293D" w:rsidRPr="002C0430" w:rsidRDefault="001A293D" w:rsidP="001A293D">
      <w:pPr>
        <w:spacing w:after="0" w:line="240" w:lineRule="auto"/>
        <w:jc w:val="center"/>
        <w:rPr>
          <w:rFonts w:ascii="Arial" w:eastAsia="Arial" w:hAnsi="Arial" w:cs="Arial"/>
          <w:color w:val="000000"/>
          <w:sz w:val="24"/>
          <w:szCs w:val="24"/>
        </w:rPr>
      </w:pPr>
      <w:r w:rsidRPr="002C0430">
        <w:rPr>
          <w:rFonts w:ascii="Arial" w:eastAsia="Arial" w:hAnsi="Arial" w:cs="Arial"/>
          <w:color w:val="000000"/>
          <w:sz w:val="24"/>
          <w:szCs w:val="24"/>
        </w:rPr>
        <w:t>Grado Final de Prioridad:   GFP  =</w:t>
      </w:r>
      <w:r>
        <w:rPr>
          <w:rFonts w:ascii="Arial" w:eastAsia="Arial" w:hAnsi="Arial" w:cs="Arial"/>
          <w:color w:val="000000"/>
          <w:sz w:val="24"/>
          <w:szCs w:val="24"/>
        </w:rPr>
        <w:t xml:space="preserve">  TOTAL   x    </w:t>
      </w:r>
      <w:r w:rsidRPr="002C0430">
        <w:rPr>
          <w:rFonts w:ascii="Arial" w:eastAsia="Arial" w:hAnsi="Arial" w:cs="Arial"/>
          <w:color w:val="000000"/>
          <w:sz w:val="24"/>
          <w:szCs w:val="24"/>
        </w:rPr>
        <w:t>Relevancia</w:t>
      </w:r>
    </w:p>
    <w:p w14:paraId="6CC2A695" w14:textId="77777777" w:rsidR="001A293D" w:rsidRPr="002C0430" w:rsidRDefault="001A293D" w:rsidP="001A293D">
      <w:pPr>
        <w:spacing w:after="0" w:line="240" w:lineRule="auto"/>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666432" behindDoc="0" locked="0" layoutInCell="1" allowOverlap="1" wp14:anchorId="420E6C74" wp14:editId="3E63840B">
                <wp:simplePos x="0" y="0"/>
                <wp:positionH relativeFrom="column">
                  <wp:posOffset>3920490</wp:posOffset>
                </wp:positionH>
                <wp:positionV relativeFrom="paragraph">
                  <wp:posOffset>17145</wp:posOffset>
                </wp:positionV>
                <wp:extent cx="914400" cy="0"/>
                <wp:effectExtent l="0" t="0" r="19050" b="19050"/>
                <wp:wrapNone/>
                <wp:docPr id="14" name="Conector reto 14"/>
                <wp:cNvGraphicFramePr/>
                <a:graphic xmlns:a="http://schemas.openxmlformats.org/drawingml/2006/main">
                  <a:graphicData uri="http://schemas.microsoft.com/office/word/2010/wordprocessingShape">
                    <wps:wsp>
                      <wps:cNvCnPr/>
                      <wps:spPr>
                        <a:xfrm>
                          <a:off x="0" y="0"/>
                          <a:ext cx="914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0A45C732" id="Conector reto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8.7pt,1.35pt" to="380.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" strokecolor="black [3213]" strokeweight="1.5pt"/>
            </w:pict>
          </mc:Fallback>
        </mc:AlternateContent>
      </w:r>
      <w:r w:rsidRPr="002C0430">
        <w:rPr>
          <w:rFonts w:ascii="Arial" w:eastAsia="Arial" w:hAnsi="Arial" w:cs="Arial"/>
          <w:color w:val="000000"/>
          <w:sz w:val="24"/>
          <w:szCs w:val="24"/>
        </w:rPr>
        <w:t xml:space="preserve">                                                                                           </w:t>
      </w:r>
      <w:r>
        <w:rPr>
          <w:rFonts w:ascii="Arial" w:eastAsia="Arial" w:hAnsi="Arial" w:cs="Arial"/>
          <w:color w:val="000000"/>
          <w:sz w:val="24"/>
          <w:szCs w:val="24"/>
        </w:rPr>
        <w:t xml:space="preserve">    </w:t>
      </w:r>
      <w:r w:rsidRPr="002C0430">
        <w:rPr>
          <w:rFonts w:ascii="Arial" w:eastAsia="Arial" w:hAnsi="Arial" w:cs="Arial"/>
          <w:color w:val="000000"/>
          <w:sz w:val="24"/>
          <w:szCs w:val="24"/>
        </w:rPr>
        <w:t>Dificultad</w:t>
      </w:r>
    </w:p>
    <w:p w14:paraId="027D95AC" w14:textId="77777777" w:rsidR="001A293D" w:rsidRPr="002C0430" w:rsidRDefault="001A293D" w:rsidP="001A293D">
      <w:pPr>
        <w:spacing w:after="0" w:line="240" w:lineRule="auto"/>
        <w:jc w:val="center"/>
        <w:rPr>
          <w:rFonts w:ascii="Arial" w:eastAsia="Arial" w:hAnsi="Arial" w:cs="Arial"/>
          <w:color w:val="000000"/>
          <w:sz w:val="24"/>
          <w:szCs w:val="24"/>
        </w:rPr>
      </w:pPr>
    </w:p>
    <w:p w14:paraId="26E39E8F"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 xml:space="preserve">Donde el TOTAL representa la sumatoria de los atributos: GRAVEDAD, TIEMPO, EXTENSION Y RELEVANCIA para cada necesidad/problema de cada sector (Tabla No 1),  y  el cociente Relevancia/Dificultad corresponde a un factor de ajuste, de tal forma que el Grado Final de Prioridad puede ser mayor, igual o menor que el valor TOTAL. </w:t>
      </w:r>
    </w:p>
    <w:p w14:paraId="05469AD6" w14:textId="77777777" w:rsidR="001A293D" w:rsidRPr="002C0430" w:rsidRDefault="001A293D" w:rsidP="001A293D">
      <w:pPr>
        <w:spacing w:after="0" w:line="240" w:lineRule="auto"/>
        <w:jc w:val="both"/>
        <w:rPr>
          <w:rFonts w:ascii="Arial" w:eastAsia="Arial" w:hAnsi="Arial" w:cs="Arial"/>
          <w:color w:val="000000"/>
          <w:sz w:val="24"/>
          <w:szCs w:val="24"/>
        </w:rPr>
      </w:pPr>
    </w:p>
    <w:p w14:paraId="00AEC7C8"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Con los valor</w:t>
      </w:r>
      <w:r>
        <w:rPr>
          <w:rFonts w:ascii="Arial" w:eastAsia="Arial" w:hAnsi="Arial" w:cs="Arial"/>
          <w:color w:val="000000"/>
          <w:sz w:val="24"/>
          <w:szCs w:val="24"/>
        </w:rPr>
        <w:t>es del Grado Final de Prioridad</w:t>
      </w:r>
      <w:r w:rsidRPr="002C0430">
        <w:rPr>
          <w:rFonts w:ascii="Arial" w:eastAsia="Arial" w:hAnsi="Arial" w:cs="Arial"/>
          <w:color w:val="000000"/>
          <w:sz w:val="24"/>
          <w:szCs w:val="24"/>
        </w:rPr>
        <w:t xml:space="preserve"> que se obtienen se puede establecer un orden de priorid</w:t>
      </w:r>
      <w:r>
        <w:rPr>
          <w:rFonts w:ascii="Arial" w:eastAsia="Arial" w:hAnsi="Arial" w:cs="Arial"/>
          <w:color w:val="000000"/>
          <w:sz w:val="24"/>
          <w:szCs w:val="24"/>
        </w:rPr>
        <w:t>ad de las necesidades/problemas, por cuadrante, entre todos los sectores.</w:t>
      </w:r>
    </w:p>
    <w:p w14:paraId="4C32F46F" w14:textId="77777777" w:rsidR="001A293D" w:rsidRPr="002C0430" w:rsidRDefault="001A293D" w:rsidP="001A293D">
      <w:pPr>
        <w:spacing w:after="0" w:line="240" w:lineRule="auto"/>
        <w:jc w:val="both"/>
        <w:rPr>
          <w:rFonts w:ascii="Arial" w:eastAsia="Arial" w:hAnsi="Arial" w:cs="Arial"/>
          <w:color w:val="000000"/>
          <w:sz w:val="24"/>
          <w:szCs w:val="24"/>
        </w:rPr>
      </w:pPr>
    </w:p>
    <w:p w14:paraId="59D829AE" w14:textId="77777777" w:rsidR="001A293D" w:rsidRPr="002C0430" w:rsidRDefault="001A293D" w:rsidP="001A293D">
      <w:pPr>
        <w:spacing w:after="0" w:line="240" w:lineRule="auto"/>
        <w:jc w:val="both"/>
        <w:rPr>
          <w:rFonts w:ascii="Arial" w:eastAsia="Arial" w:hAnsi="Arial" w:cs="Arial"/>
          <w:color w:val="000000"/>
          <w:sz w:val="24"/>
          <w:szCs w:val="24"/>
        </w:rPr>
      </w:pPr>
      <w:r w:rsidRPr="002C0430">
        <w:rPr>
          <w:rFonts w:ascii="Arial" w:eastAsia="Arial" w:hAnsi="Arial" w:cs="Arial"/>
          <w:color w:val="000000"/>
          <w:sz w:val="24"/>
          <w:szCs w:val="24"/>
        </w:rPr>
        <w:t>Es de dest</w:t>
      </w:r>
      <w:r>
        <w:rPr>
          <w:rFonts w:ascii="Arial" w:eastAsia="Arial" w:hAnsi="Arial" w:cs="Arial"/>
          <w:color w:val="000000"/>
          <w:sz w:val="24"/>
          <w:szCs w:val="24"/>
        </w:rPr>
        <w:t xml:space="preserve">acar que la metodología de priorización </w:t>
      </w:r>
      <w:r w:rsidRPr="002C0430">
        <w:rPr>
          <w:rFonts w:ascii="Arial" w:eastAsia="Arial" w:hAnsi="Arial" w:cs="Arial"/>
          <w:color w:val="000000"/>
          <w:sz w:val="24"/>
          <w:szCs w:val="24"/>
        </w:rPr>
        <w:t>es una herramienta de apoyo que permite a los tomadores de decisiones tener una base</w:t>
      </w:r>
      <w:r>
        <w:rPr>
          <w:rFonts w:ascii="Arial" w:eastAsia="Arial" w:hAnsi="Arial" w:cs="Arial"/>
          <w:color w:val="000000"/>
          <w:sz w:val="24"/>
          <w:szCs w:val="24"/>
        </w:rPr>
        <w:t xml:space="preserve"> de comparación cuantitativa entre necesidades/problemas</w:t>
      </w:r>
      <w:r w:rsidRPr="002C0430">
        <w:rPr>
          <w:rFonts w:ascii="Arial" w:eastAsia="Arial" w:hAnsi="Arial" w:cs="Arial"/>
          <w:color w:val="000000"/>
          <w:sz w:val="24"/>
          <w:szCs w:val="24"/>
        </w:rPr>
        <w:t>, aunque esta no necesariamente es la única consideración que se puede tener en cuenta para priorizar un conjunto de necesidades/problemas.</w:t>
      </w:r>
    </w:p>
    <w:p w14:paraId="54C3D7F8" w14:textId="77777777" w:rsidR="001A293D" w:rsidRDefault="001A293D" w:rsidP="001A293D">
      <w:pPr>
        <w:rPr>
          <w:rFonts w:ascii="Arial" w:eastAsia="Calibri" w:hAnsi="Arial" w:cs="Arial"/>
          <w:sz w:val="24"/>
          <w:szCs w:val="24"/>
        </w:rPr>
      </w:pPr>
    </w:p>
    <w:p w14:paraId="52C2EA26" w14:textId="2A4984B4" w:rsidR="00EC01AA" w:rsidRPr="006C45C9" w:rsidRDefault="001A293D" w:rsidP="00FD15F0">
      <w:pPr>
        <w:rPr>
          <w:lang w:val="es-419"/>
        </w:rPr>
      </w:pPr>
      <w:r>
        <w:rPr>
          <w:rFonts w:ascii="Arial" w:eastAsia="Calibri" w:hAnsi="Arial" w:cs="Arial"/>
          <w:sz w:val="24"/>
          <w:szCs w:val="24"/>
        </w:rPr>
        <w:t xml:space="preserve">Así es que, en esta etapa de elaboración del PER-2016/2021, no se irá aplicar el Gráfico de Cuadrantes para la priorización entre sectores, el que será hecho en la próxima etapa del trabajo, que tratará de la formulación de la </w:t>
      </w:r>
      <w:r w:rsidR="00FD15F0">
        <w:rPr>
          <w:rFonts w:ascii="Arial" w:eastAsia="Calibri" w:hAnsi="Arial" w:cs="Arial"/>
          <w:sz w:val="24"/>
          <w:szCs w:val="24"/>
        </w:rPr>
        <w:t>Guía</w:t>
      </w:r>
      <w:r>
        <w:rPr>
          <w:rFonts w:ascii="Arial" w:eastAsia="Calibri" w:hAnsi="Arial" w:cs="Arial"/>
          <w:sz w:val="24"/>
          <w:szCs w:val="24"/>
        </w:rPr>
        <w:t xml:space="preserve"> para </w:t>
      </w:r>
      <w:r w:rsidR="00FD15F0">
        <w:rPr>
          <w:rFonts w:ascii="Arial" w:eastAsia="Calibri" w:hAnsi="Arial" w:cs="Arial"/>
          <w:sz w:val="24"/>
          <w:szCs w:val="24"/>
        </w:rPr>
        <w:t>I</w:t>
      </w:r>
      <w:r>
        <w:rPr>
          <w:rFonts w:ascii="Arial" w:eastAsia="Calibri" w:hAnsi="Arial" w:cs="Arial"/>
          <w:sz w:val="24"/>
          <w:szCs w:val="24"/>
        </w:rPr>
        <w:t>mplementación del PER.</w:t>
      </w:r>
      <w:r w:rsidR="00FD15F0">
        <w:rPr>
          <w:rFonts w:ascii="Arial" w:eastAsia="Calibri" w:hAnsi="Arial" w:cs="Arial"/>
          <w:sz w:val="24"/>
          <w:szCs w:val="24"/>
        </w:rPr>
        <w:t xml:space="preserve">, </w:t>
      </w:r>
      <w:r w:rsidR="00EC01AA" w:rsidRPr="006C45C9">
        <w:rPr>
          <w:lang w:val="es-419"/>
        </w:rPr>
        <w:br w:type="page"/>
      </w:r>
    </w:p>
    <w:p w14:paraId="2455562D" w14:textId="6D3F2D9E" w:rsidR="00EC01AA" w:rsidRPr="004B48B3" w:rsidRDefault="00EC01AA" w:rsidP="00EC01AA">
      <w:pPr>
        <w:rPr>
          <w:rFonts w:ascii="Times New Roman" w:hAnsi="Times New Roman" w:cs="Times New Roman"/>
          <w:i/>
          <w:iCs/>
          <w:color w:val="548DD4" w:themeColor="text2" w:themeTint="99"/>
          <w:sz w:val="28"/>
          <w:szCs w:val="28"/>
        </w:rPr>
      </w:pPr>
      <w:r w:rsidRPr="004B48B3">
        <w:rPr>
          <w:rFonts w:ascii="Times New Roman" w:hAnsi="Times New Roman" w:cs="Times New Roman"/>
          <w:i/>
          <w:iCs/>
          <w:color w:val="548DD4" w:themeColor="text2" w:themeTint="99"/>
          <w:sz w:val="28"/>
          <w:szCs w:val="28"/>
        </w:rPr>
        <w:lastRenderedPageBreak/>
        <w:t>Glosario</w:t>
      </w:r>
    </w:p>
    <w:p w14:paraId="7AD6AE22" w14:textId="768E9C79" w:rsidR="00FE1AEE" w:rsidRPr="00FE1AEE" w:rsidRDefault="00FB16AF" w:rsidP="00FE1AEE">
      <w:pPr>
        <w:tabs>
          <w:tab w:val="left" w:pos="3720"/>
          <w:tab w:val="center" w:pos="5043"/>
        </w:tabs>
        <w:rPr>
          <w:rFonts w:ascii="Times New Roman" w:hAnsi="Times New Roman" w:cs="Times New Roman"/>
          <w:b/>
          <w:bCs/>
          <w:sz w:val="24"/>
          <w:szCs w:val="24"/>
          <w:lang w:val="es-419"/>
        </w:rPr>
      </w:pPr>
      <w:r w:rsidRPr="006C45C9">
        <w:rPr>
          <w:rFonts w:ascii="Times New Roman" w:hAnsi="Times New Roman" w:cs="Times New Roman"/>
          <w:b/>
          <w:bCs/>
          <w:sz w:val="24"/>
          <w:szCs w:val="24"/>
          <w:lang w:val="es-419"/>
        </w:rPr>
        <w:br w:type="page"/>
      </w:r>
      <w:r w:rsidR="00FE1AEE">
        <w:rPr>
          <w:rFonts w:asciiTheme="majorHAnsi" w:hAnsiTheme="majorHAnsi"/>
          <w:i/>
          <w:iCs/>
          <w:color w:val="548DD4" w:themeColor="text2" w:themeTint="99"/>
          <w:sz w:val="32"/>
          <w:szCs w:val="32"/>
        </w:rPr>
        <w:lastRenderedPageBreak/>
        <w:t>Lista de Autores y Revisores</w:t>
      </w:r>
    </w:p>
    <w:p w14:paraId="6A45396D" w14:textId="77777777" w:rsidR="00466E63" w:rsidRPr="00964A9E" w:rsidRDefault="00466E63" w:rsidP="00466E63">
      <w:pPr>
        <w:rPr>
          <w:rFonts w:ascii="Arial" w:eastAsia="Calibri" w:hAnsi="Arial" w:cs="Arial"/>
        </w:rPr>
      </w:pPr>
    </w:p>
    <w:p w14:paraId="711D06ED" w14:textId="77777777" w:rsidR="000B54EB" w:rsidRPr="00892476" w:rsidRDefault="000B54EB" w:rsidP="00851F36">
      <w:pPr>
        <w:jc w:val="both"/>
        <w:rPr>
          <w:rFonts w:ascii="Candara" w:hAnsi="Candara" w:cs="Arial"/>
        </w:rPr>
      </w:pPr>
    </w:p>
    <w:sectPr w:rsidR="000B54EB" w:rsidRPr="00892476" w:rsidSect="00755D16">
      <w:footerReference w:type="default" r:id="rId68"/>
      <w:pgSz w:w="12240" w:h="15840"/>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86909" w14:textId="77777777" w:rsidR="00930AD5" w:rsidRDefault="00930AD5" w:rsidP="00962139">
      <w:pPr>
        <w:spacing w:after="0" w:line="240" w:lineRule="auto"/>
      </w:pPr>
      <w:r>
        <w:separator/>
      </w:r>
    </w:p>
  </w:endnote>
  <w:endnote w:type="continuationSeparator" w:id="0">
    <w:p w14:paraId="1B537A5A" w14:textId="77777777" w:rsidR="00930AD5" w:rsidRDefault="00930AD5" w:rsidP="0096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750543"/>
      <w:docPartObj>
        <w:docPartGallery w:val="Page Numbers (Bottom of Page)"/>
        <w:docPartUnique/>
      </w:docPartObj>
    </w:sdtPr>
    <w:sdtEndPr/>
    <w:sdtContent>
      <w:p w14:paraId="6203D4AF" w14:textId="39BD0E25" w:rsidR="00930AD5" w:rsidRDefault="00930AD5">
        <w:pPr>
          <w:pStyle w:val="Footer"/>
          <w:jc w:val="center"/>
        </w:pPr>
        <w:r>
          <w:fldChar w:fldCharType="begin"/>
        </w:r>
        <w:r>
          <w:instrText>PAGE   \* MERGEFORMAT</w:instrText>
        </w:r>
        <w:r>
          <w:fldChar w:fldCharType="separate"/>
        </w:r>
        <w:r>
          <w:rPr>
            <w:lang w:val="pt-BR"/>
          </w:rPr>
          <w:t>2</w:t>
        </w:r>
        <w:r>
          <w:fldChar w:fldCharType="end"/>
        </w:r>
      </w:p>
    </w:sdtContent>
  </w:sdt>
  <w:p w14:paraId="067ACF7F" w14:textId="77777777" w:rsidR="00930AD5" w:rsidRDefault="00930AD5">
    <w:pPr>
      <w:pStyle w:val="BodyTex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108592"/>
      <w:docPartObj>
        <w:docPartGallery w:val="Page Numbers (Bottom of Page)"/>
        <w:docPartUnique/>
      </w:docPartObj>
    </w:sdtPr>
    <w:sdtEndPr/>
    <w:sdtContent>
      <w:p w14:paraId="141A2B14" w14:textId="73A7D6CA" w:rsidR="00930AD5" w:rsidRDefault="00930AD5">
        <w:pPr>
          <w:pStyle w:val="Footer"/>
          <w:jc w:val="center"/>
        </w:pPr>
        <w:r>
          <w:fldChar w:fldCharType="begin"/>
        </w:r>
        <w:r>
          <w:instrText>PAGE   \* MERGEFORMAT</w:instrText>
        </w:r>
        <w:r>
          <w:fldChar w:fldCharType="separate"/>
        </w:r>
        <w:r>
          <w:rPr>
            <w:lang w:val="pt-BR"/>
          </w:rPr>
          <w:t>2</w:t>
        </w:r>
        <w:r>
          <w:fldChar w:fldCharType="end"/>
        </w:r>
      </w:p>
    </w:sdtContent>
  </w:sdt>
  <w:p w14:paraId="219CB6B6" w14:textId="77777777" w:rsidR="00930AD5" w:rsidRDefault="00930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4A27E7EE" w14:textId="77777777" w:rsidTr="00F030C2">
      <w:tc>
        <w:tcPr>
          <w:tcW w:w="4320" w:type="dxa"/>
        </w:tcPr>
        <w:p w14:paraId="6453DE76" w14:textId="77777777" w:rsidR="00930AD5" w:rsidRDefault="00930AD5" w:rsidP="00F030C2">
          <w:pPr>
            <w:pStyle w:val="Header"/>
            <w:ind w:left="-115"/>
          </w:pPr>
        </w:p>
      </w:tc>
      <w:tc>
        <w:tcPr>
          <w:tcW w:w="4320" w:type="dxa"/>
        </w:tcPr>
        <w:p w14:paraId="008A359B" w14:textId="77777777" w:rsidR="00930AD5" w:rsidRDefault="00930AD5" w:rsidP="00F030C2">
          <w:pPr>
            <w:pStyle w:val="Header"/>
            <w:jc w:val="center"/>
          </w:pPr>
        </w:p>
      </w:tc>
      <w:tc>
        <w:tcPr>
          <w:tcW w:w="4320" w:type="dxa"/>
        </w:tcPr>
        <w:p w14:paraId="51371B87" w14:textId="77777777" w:rsidR="00930AD5" w:rsidRDefault="00930AD5" w:rsidP="00F030C2">
          <w:pPr>
            <w:pStyle w:val="Header"/>
            <w:ind w:right="-115"/>
            <w:jc w:val="right"/>
          </w:pPr>
        </w:p>
      </w:tc>
    </w:tr>
  </w:tbl>
  <w:p w14:paraId="77F96B40" w14:textId="77777777" w:rsidR="00930AD5" w:rsidRDefault="00930AD5" w:rsidP="00F03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6EDCE2C8" w14:textId="77777777" w:rsidTr="00F030C2">
      <w:tc>
        <w:tcPr>
          <w:tcW w:w="4320" w:type="dxa"/>
        </w:tcPr>
        <w:p w14:paraId="519F0347" w14:textId="77777777" w:rsidR="00930AD5" w:rsidRDefault="00930AD5" w:rsidP="00F030C2">
          <w:pPr>
            <w:pStyle w:val="Header"/>
            <w:ind w:left="-115"/>
          </w:pPr>
        </w:p>
      </w:tc>
      <w:tc>
        <w:tcPr>
          <w:tcW w:w="4320" w:type="dxa"/>
        </w:tcPr>
        <w:p w14:paraId="5C4D9708" w14:textId="77777777" w:rsidR="00930AD5" w:rsidRDefault="00930AD5" w:rsidP="00F030C2">
          <w:pPr>
            <w:pStyle w:val="Header"/>
            <w:jc w:val="center"/>
          </w:pPr>
        </w:p>
      </w:tc>
      <w:tc>
        <w:tcPr>
          <w:tcW w:w="4320" w:type="dxa"/>
        </w:tcPr>
        <w:p w14:paraId="27A7E3DA" w14:textId="77777777" w:rsidR="00930AD5" w:rsidRDefault="00930AD5" w:rsidP="00F030C2">
          <w:pPr>
            <w:pStyle w:val="Header"/>
            <w:ind w:right="-115"/>
            <w:jc w:val="right"/>
          </w:pPr>
        </w:p>
      </w:tc>
    </w:tr>
  </w:tbl>
  <w:p w14:paraId="2AF50287" w14:textId="77777777" w:rsidR="00930AD5" w:rsidRDefault="00930AD5" w:rsidP="00F030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1A764059" w14:textId="77777777" w:rsidTr="00F030C2">
      <w:tc>
        <w:tcPr>
          <w:tcW w:w="4320" w:type="dxa"/>
        </w:tcPr>
        <w:p w14:paraId="0113AF16" w14:textId="77777777" w:rsidR="00930AD5" w:rsidRDefault="00930AD5" w:rsidP="00F030C2">
          <w:pPr>
            <w:pStyle w:val="Header"/>
            <w:ind w:left="-115"/>
          </w:pPr>
        </w:p>
      </w:tc>
      <w:tc>
        <w:tcPr>
          <w:tcW w:w="4320" w:type="dxa"/>
        </w:tcPr>
        <w:p w14:paraId="6B30859E" w14:textId="77777777" w:rsidR="00930AD5" w:rsidRDefault="00930AD5" w:rsidP="00F030C2">
          <w:pPr>
            <w:pStyle w:val="Header"/>
            <w:jc w:val="center"/>
          </w:pPr>
        </w:p>
      </w:tc>
      <w:tc>
        <w:tcPr>
          <w:tcW w:w="4320" w:type="dxa"/>
        </w:tcPr>
        <w:p w14:paraId="3F82DD72" w14:textId="77777777" w:rsidR="00930AD5" w:rsidRDefault="00930AD5" w:rsidP="00F030C2">
          <w:pPr>
            <w:pStyle w:val="Header"/>
            <w:ind w:right="-115"/>
            <w:jc w:val="right"/>
          </w:pPr>
        </w:p>
      </w:tc>
    </w:tr>
  </w:tbl>
  <w:p w14:paraId="458F5951" w14:textId="77777777" w:rsidR="00930AD5" w:rsidRDefault="00930AD5" w:rsidP="00F030C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566D663A" w14:textId="77777777" w:rsidTr="00F030C2">
      <w:tc>
        <w:tcPr>
          <w:tcW w:w="4320" w:type="dxa"/>
        </w:tcPr>
        <w:p w14:paraId="77233E91" w14:textId="77777777" w:rsidR="00930AD5" w:rsidRDefault="00930AD5" w:rsidP="00F030C2">
          <w:pPr>
            <w:pStyle w:val="Header"/>
            <w:ind w:left="-115"/>
          </w:pPr>
        </w:p>
      </w:tc>
      <w:tc>
        <w:tcPr>
          <w:tcW w:w="4320" w:type="dxa"/>
        </w:tcPr>
        <w:p w14:paraId="1E242F46" w14:textId="77777777" w:rsidR="00930AD5" w:rsidRDefault="00930AD5" w:rsidP="00F030C2">
          <w:pPr>
            <w:pStyle w:val="Header"/>
            <w:jc w:val="center"/>
          </w:pPr>
        </w:p>
      </w:tc>
      <w:tc>
        <w:tcPr>
          <w:tcW w:w="4320" w:type="dxa"/>
        </w:tcPr>
        <w:p w14:paraId="6D3647CD" w14:textId="77777777" w:rsidR="00930AD5" w:rsidRDefault="00930AD5" w:rsidP="00F030C2">
          <w:pPr>
            <w:pStyle w:val="Header"/>
            <w:ind w:right="-115"/>
            <w:jc w:val="right"/>
          </w:pPr>
        </w:p>
      </w:tc>
    </w:tr>
  </w:tbl>
  <w:p w14:paraId="3DF7A87F" w14:textId="77777777" w:rsidR="00930AD5" w:rsidRDefault="00930AD5" w:rsidP="00F030C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1643" w14:textId="77777777" w:rsidR="00930AD5" w:rsidRDefault="00930AD5">
    <w:pPr>
      <w:pStyle w:val="Footer"/>
    </w:pPr>
  </w:p>
  <w:p w14:paraId="1320C3B8" w14:textId="77777777" w:rsidR="00930AD5" w:rsidRDefault="00930AD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580085"/>
      <w:docPartObj>
        <w:docPartGallery w:val="Page Numbers (Bottom of Page)"/>
        <w:docPartUnique/>
      </w:docPartObj>
    </w:sdtPr>
    <w:sdtEndPr/>
    <w:sdtContent>
      <w:p w14:paraId="114E5B8A" w14:textId="40813548" w:rsidR="00930AD5" w:rsidRDefault="00930AD5">
        <w:pPr>
          <w:pStyle w:val="Footer"/>
          <w:jc w:val="center"/>
        </w:pPr>
        <w:r>
          <w:fldChar w:fldCharType="begin"/>
        </w:r>
        <w:r>
          <w:instrText>PAGE   \* MERGEFORMAT</w:instrText>
        </w:r>
        <w:r>
          <w:fldChar w:fldCharType="separate"/>
        </w:r>
        <w:r w:rsidRPr="00F72F3E">
          <w:rPr>
            <w:noProof/>
            <w:lang w:val="pt-BR"/>
          </w:rPr>
          <w:t>149</w:t>
        </w:r>
        <w:r>
          <w:fldChar w:fldCharType="end"/>
        </w:r>
      </w:p>
    </w:sdtContent>
  </w:sdt>
  <w:p w14:paraId="4A4D489D" w14:textId="77777777" w:rsidR="00930AD5" w:rsidRPr="00FE6B87" w:rsidRDefault="00930AD5" w:rsidP="00FE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120DE" w14:textId="77777777" w:rsidR="00930AD5" w:rsidRDefault="00930AD5" w:rsidP="00962139">
      <w:pPr>
        <w:spacing w:after="0" w:line="240" w:lineRule="auto"/>
      </w:pPr>
      <w:r>
        <w:separator/>
      </w:r>
    </w:p>
  </w:footnote>
  <w:footnote w:type="continuationSeparator" w:id="0">
    <w:p w14:paraId="6021A096" w14:textId="77777777" w:rsidR="00930AD5" w:rsidRDefault="00930AD5" w:rsidP="00962139">
      <w:pPr>
        <w:spacing w:after="0" w:line="240" w:lineRule="auto"/>
      </w:pPr>
      <w:r>
        <w:continuationSeparator/>
      </w:r>
    </w:p>
  </w:footnote>
  <w:footnote w:id="1">
    <w:p w14:paraId="6566DDC0" w14:textId="17086922" w:rsidR="00930AD5" w:rsidRPr="0098047B" w:rsidRDefault="00930AD5" w:rsidP="0098047B">
      <w:pPr>
        <w:spacing w:after="0"/>
        <w:jc w:val="both"/>
        <w:rPr>
          <w:rFonts w:ascii="Times New Roman" w:hAnsi="Times New Roman" w:cs="Times New Roman"/>
          <w:sz w:val="16"/>
          <w:szCs w:val="16"/>
        </w:rPr>
      </w:pPr>
      <w:r w:rsidRPr="0098047B">
        <w:rPr>
          <w:rStyle w:val="FootnoteReference"/>
          <w:rFonts w:ascii="Times New Roman" w:hAnsi="Times New Roman" w:cs="Times New Roman"/>
          <w:sz w:val="16"/>
          <w:szCs w:val="16"/>
        </w:rPr>
        <w:footnoteRef/>
      </w:r>
      <w:r w:rsidRPr="0098047B">
        <w:rPr>
          <w:rFonts w:ascii="Times New Roman" w:hAnsi="Times New Roman" w:cs="Times New Roman"/>
          <w:sz w:val="16"/>
          <w:szCs w:val="16"/>
        </w:rPr>
        <w:t xml:space="preserve"> Para el proceso de formulación de las necesidades o problemas se debe tener en cuenta:</w:t>
      </w:r>
    </w:p>
    <w:p w14:paraId="1AA5E510" w14:textId="63AA20F6" w:rsidR="00930AD5" w:rsidRPr="0098047B" w:rsidRDefault="00930AD5" w:rsidP="0098047B">
      <w:pPr>
        <w:pStyle w:val="ListParagraph"/>
        <w:numPr>
          <w:ilvl w:val="0"/>
          <w:numId w:val="7"/>
        </w:numPr>
        <w:spacing w:after="0" w:line="240" w:lineRule="auto"/>
        <w:jc w:val="both"/>
        <w:rPr>
          <w:rFonts w:ascii="Times New Roman" w:hAnsi="Times New Roman" w:cs="Times New Roman"/>
          <w:bCs/>
          <w:sz w:val="16"/>
          <w:szCs w:val="16"/>
        </w:rPr>
      </w:pPr>
      <w:r w:rsidRPr="0098047B">
        <w:rPr>
          <w:rFonts w:ascii="Times New Roman" w:hAnsi="Times New Roman" w:cs="Times New Roman"/>
          <w:bCs/>
          <w:sz w:val="16"/>
          <w:szCs w:val="16"/>
        </w:rPr>
        <w:t xml:space="preserve">Una necesidad comprende todo aquello que se desea y comprende una situación de insatisfacción o carencia. </w:t>
      </w:r>
    </w:p>
    <w:p w14:paraId="69515048" w14:textId="10BF6479" w:rsidR="00930AD5" w:rsidRPr="0098047B" w:rsidRDefault="00930AD5" w:rsidP="0098047B">
      <w:pPr>
        <w:pStyle w:val="ListParagraph"/>
        <w:numPr>
          <w:ilvl w:val="0"/>
          <w:numId w:val="6"/>
        </w:numPr>
        <w:spacing w:after="0" w:line="240" w:lineRule="auto"/>
        <w:jc w:val="both"/>
        <w:rPr>
          <w:rFonts w:ascii="Times New Roman" w:hAnsi="Times New Roman" w:cs="Times New Roman"/>
          <w:bCs/>
          <w:sz w:val="16"/>
          <w:szCs w:val="16"/>
        </w:rPr>
      </w:pPr>
      <w:r w:rsidRPr="0098047B">
        <w:rPr>
          <w:rFonts w:ascii="Times New Roman" w:hAnsi="Times New Roman" w:cs="Times New Roman"/>
          <w:bCs/>
          <w:sz w:val="16"/>
          <w:szCs w:val="16"/>
        </w:rPr>
        <w:t>Un problema es una situación a resolver</w:t>
      </w:r>
      <w:r w:rsidR="0098047B">
        <w:rPr>
          <w:rFonts w:ascii="Times New Roman" w:hAnsi="Times New Roman" w:cs="Times New Roman"/>
          <w:bCs/>
          <w:sz w:val="16"/>
          <w:szCs w:val="16"/>
        </w:rPr>
        <w:t>.</w:t>
      </w:r>
    </w:p>
    <w:p w14:paraId="6F81C035" w14:textId="77777777" w:rsidR="00930AD5" w:rsidRPr="0067589F" w:rsidRDefault="00930AD5" w:rsidP="00EA02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963732"/>
      <w:docPartObj>
        <w:docPartGallery w:val="Page Numbers (Top of Page)"/>
        <w:docPartUnique/>
      </w:docPartObj>
    </w:sdtPr>
    <w:sdtEndPr/>
    <w:sdtContent>
      <w:p w14:paraId="13B3CEEB" w14:textId="04B3328E" w:rsidR="00930AD5" w:rsidRDefault="00930AD5">
        <w:pPr>
          <w:pStyle w:val="Header"/>
          <w:jc w:val="center"/>
        </w:pPr>
        <w:r>
          <w:fldChar w:fldCharType="begin"/>
        </w:r>
        <w:r>
          <w:instrText>PAGE   \* MERGEFORMAT</w:instrText>
        </w:r>
        <w:r>
          <w:fldChar w:fldCharType="separate"/>
        </w:r>
        <w:r w:rsidRPr="00F72F3E">
          <w:rPr>
            <w:noProof/>
            <w:lang w:val="pt-BR"/>
          </w:rPr>
          <w:t>52</w:t>
        </w:r>
        <w:r>
          <w:fldChar w:fldCharType="end"/>
        </w:r>
      </w:p>
    </w:sdtContent>
  </w:sdt>
  <w:p w14:paraId="4E4179BF" w14:textId="77777777" w:rsidR="00930AD5" w:rsidRDefault="00930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6CC6E0DC" w14:textId="77777777" w:rsidTr="00F030C2">
      <w:tc>
        <w:tcPr>
          <w:tcW w:w="4320" w:type="dxa"/>
        </w:tcPr>
        <w:p w14:paraId="743872D6" w14:textId="77777777" w:rsidR="00930AD5" w:rsidRDefault="00930AD5" w:rsidP="00F030C2">
          <w:pPr>
            <w:pStyle w:val="Header"/>
            <w:ind w:left="-115"/>
          </w:pPr>
        </w:p>
      </w:tc>
      <w:tc>
        <w:tcPr>
          <w:tcW w:w="4320" w:type="dxa"/>
        </w:tcPr>
        <w:p w14:paraId="349A5FC6" w14:textId="77777777" w:rsidR="00930AD5" w:rsidRDefault="00930AD5" w:rsidP="00F030C2">
          <w:pPr>
            <w:pStyle w:val="Header"/>
            <w:jc w:val="center"/>
          </w:pPr>
        </w:p>
      </w:tc>
      <w:tc>
        <w:tcPr>
          <w:tcW w:w="4320" w:type="dxa"/>
        </w:tcPr>
        <w:p w14:paraId="2158F54A" w14:textId="77777777" w:rsidR="00930AD5" w:rsidRDefault="00930AD5" w:rsidP="00F030C2">
          <w:pPr>
            <w:pStyle w:val="Header"/>
            <w:ind w:right="-115"/>
            <w:jc w:val="right"/>
          </w:pPr>
        </w:p>
      </w:tc>
    </w:tr>
  </w:tbl>
  <w:p w14:paraId="24AD54FB" w14:textId="77777777" w:rsidR="00930AD5" w:rsidRDefault="00930AD5" w:rsidP="00F03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0E8E9C1A" w14:textId="77777777" w:rsidTr="00F030C2">
      <w:tc>
        <w:tcPr>
          <w:tcW w:w="4320" w:type="dxa"/>
        </w:tcPr>
        <w:p w14:paraId="28BD338E" w14:textId="77777777" w:rsidR="00930AD5" w:rsidRDefault="00930AD5" w:rsidP="00F030C2">
          <w:pPr>
            <w:pStyle w:val="Header"/>
            <w:ind w:left="-115"/>
          </w:pPr>
        </w:p>
      </w:tc>
      <w:tc>
        <w:tcPr>
          <w:tcW w:w="4320" w:type="dxa"/>
        </w:tcPr>
        <w:p w14:paraId="7D6F97A3" w14:textId="77777777" w:rsidR="00930AD5" w:rsidRDefault="00930AD5" w:rsidP="00F030C2">
          <w:pPr>
            <w:pStyle w:val="Header"/>
            <w:jc w:val="center"/>
          </w:pPr>
        </w:p>
      </w:tc>
      <w:tc>
        <w:tcPr>
          <w:tcW w:w="4320" w:type="dxa"/>
        </w:tcPr>
        <w:p w14:paraId="3D194C3D" w14:textId="77777777" w:rsidR="00930AD5" w:rsidRDefault="00930AD5" w:rsidP="00F030C2">
          <w:pPr>
            <w:pStyle w:val="Header"/>
            <w:ind w:right="-115"/>
            <w:jc w:val="right"/>
          </w:pPr>
        </w:p>
      </w:tc>
    </w:tr>
  </w:tbl>
  <w:p w14:paraId="1007400E" w14:textId="77777777" w:rsidR="00930AD5" w:rsidRDefault="00930AD5" w:rsidP="00F03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02F4CCDF" w14:textId="77777777" w:rsidTr="00F030C2">
      <w:tc>
        <w:tcPr>
          <w:tcW w:w="4320" w:type="dxa"/>
        </w:tcPr>
        <w:p w14:paraId="7D8EA9D1" w14:textId="77777777" w:rsidR="00930AD5" w:rsidRDefault="00930AD5" w:rsidP="00F030C2">
          <w:pPr>
            <w:pStyle w:val="Header"/>
            <w:ind w:left="-115"/>
          </w:pPr>
        </w:p>
      </w:tc>
      <w:tc>
        <w:tcPr>
          <w:tcW w:w="4320" w:type="dxa"/>
        </w:tcPr>
        <w:p w14:paraId="6515AD63" w14:textId="77777777" w:rsidR="00930AD5" w:rsidRDefault="00930AD5" w:rsidP="00F030C2">
          <w:pPr>
            <w:pStyle w:val="Header"/>
            <w:jc w:val="center"/>
          </w:pPr>
        </w:p>
      </w:tc>
      <w:tc>
        <w:tcPr>
          <w:tcW w:w="4320" w:type="dxa"/>
        </w:tcPr>
        <w:p w14:paraId="0BA98F8D" w14:textId="77777777" w:rsidR="00930AD5" w:rsidRDefault="00930AD5" w:rsidP="00F030C2">
          <w:pPr>
            <w:pStyle w:val="Header"/>
            <w:ind w:right="-115"/>
            <w:jc w:val="right"/>
          </w:pPr>
        </w:p>
      </w:tc>
    </w:tr>
  </w:tbl>
  <w:p w14:paraId="046446C8" w14:textId="77777777" w:rsidR="00930AD5" w:rsidRDefault="00930AD5" w:rsidP="00F03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3E348FB8" w14:textId="77777777" w:rsidTr="00F030C2">
      <w:tc>
        <w:tcPr>
          <w:tcW w:w="4320" w:type="dxa"/>
        </w:tcPr>
        <w:p w14:paraId="24C6C90E" w14:textId="77777777" w:rsidR="00930AD5" w:rsidRDefault="00930AD5" w:rsidP="00F030C2">
          <w:pPr>
            <w:pStyle w:val="Header"/>
            <w:ind w:left="-115"/>
          </w:pPr>
        </w:p>
      </w:tc>
      <w:tc>
        <w:tcPr>
          <w:tcW w:w="4320" w:type="dxa"/>
        </w:tcPr>
        <w:p w14:paraId="791BD7ED" w14:textId="77777777" w:rsidR="00930AD5" w:rsidRDefault="00930AD5" w:rsidP="00F030C2">
          <w:pPr>
            <w:pStyle w:val="Header"/>
            <w:jc w:val="center"/>
          </w:pPr>
        </w:p>
      </w:tc>
      <w:tc>
        <w:tcPr>
          <w:tcW w:w="4320" w:type="dxa"/>
        </w:tcPr>
        <w:p w14:paraId="3C37A7FE" w14:textId="77777777" w:rsidR="00930AD5" w:rsidRDefault="00930AD5" w:rsidP="00F030C2">
          <w:pPr>
            <w:pStyle w:val="Header"/>
            <w:ind w:right="-115"/>
            <w:jc w:val="right"/>
          </w:pPr>
        </w:p>
      </w:tc>
    </w:tr>
  </w:tbl>
  <w:p w14:paraId="017A5486" w14:textId="77777777" w:rsidR="00930AD5" w:rsidRDefault="00930AD5" w:rsidP="00F030C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2"/>
      <w:gridCol w:w="3362"/>
      <w:gridCol w:w="3362"/>
    </w:tblGrid>
    <w:tr w:rsidR="00930AD5" w14:paraId="1023387E" w14:textId="77777777" w:rsidTr="00D136BB">
      <w:tc>
        <w:tcPr>
          <w:tcW w:w="3362" w:type="dxa"/>
        </w:tcPr>
        <w:p w14:paraId="21D8621A" w14:textId="77777777" w:rsidR="00930AD5" w:rsidRDefault="00930AD5" w:rsidP="00D136BB">
          <w:pPr>
            <w:pStyle w:val="Header"/>
            <w:ind w:left="-115"/>
          </w:pPr>
        </w:p>
      </w:tc>
      <w:tc>
        <w:tcPr>
          <w:tcW w:w="3362" w:type="dxa"/>
        </w:tcPr>
        <w:p w14:paraId="05384069" w14:textId="77777777" w:rsidR="00930AD5" w:rsidRDefault="00930AD5" w:rsidP="00D136BB">
          <w:pPr>
            <w:pStyle w:val="Header"/>
            <w:jc w:val="center"/>
          </w:pPr>
        </w:p>
      </w:tc>
      <w:tc>
        <w:tcPr>
          <w:tcW w:w="3362" w:type="dxa"/>
        </w:tcPr>
        <w:p w14:paraId="5A0BC220" w14:textId="77777777" w:rsidR="00930AD5" w:rsidRDefault="00930AD5" w:rsidP="00D136BB">
          <w:pPr>
            <w:pStyle w:val="Header"/>
            <w:ind w:right="-115"/>
            <w:jc w:val="right"/>
          </w:pPr>
        </w:p>
      </w:tc>
    </w:tr>
  </w:tbl>
  <w:p w14:paraId="323AFEB5" w14:textId="77777777" w:rsidR="00930AD5" w:rsidRDefault="00930AD5" w:rsidP="00D136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320"/>
      <w:gridCol w:w="4320"/>
      <w:gridCol w:w="4320"/>
    </w:tblGrid>
    <w:tr w:rsidR="00930AD5" w14:paraId="0AB77E75" w14:textId="77777777" w:rsidTr="00FC07E5">
      <w:tc>
        <w:tcPr>
          <w:tcW w:w="4320" w:type="dxa"/>
        </w:tcPr>
        <w:p w14:paraId="681774A5" w14:textId="77777777" w:rsidR="00930AD5" w:rsidRDefault="00930AD5" w:rsidP="00FC07E5">
          <w:pPr>
            <w:pStyle w:val="Header"/>
            <w:ind w:left="-115"/>
          </w:pPr>
        </w:p>
      </w:tc>
      <w:tc>
        <w:tcPr>
          <w:tcW w:w="4320" w:type="dxa"/>
        </w:tcPr>
        <w:p w14:paraId="66E2DD18" w14:textId="77777777" w:rsidR="00930AD5" w:rsidRDefault="00930AD5" w:rsidP="00FC07E5">
          <w:pPr>
            <w:pStyle w:val="Header"/>
            <w:jc w:val="center"/>
          </w:pPr>
        </w:p>
      </w:tc>
      <w:tc>
        <w:tcPr>
          <w:tcW w:w="4320" w:type="dxa"/>
        </w:tcPr>
        <w:p w14:paraId="2848C4ED" w14:textId="77777777" w:rsidR="00930AD5" w:rsidRDefault="00930AD5" w:rsidP="00FC07E5">
          <w:pPr>
            <w:pStyle w:val="Header"/>
            <w:ind w:right="-115"/>
            <w:jc w:val="right"/>
          </w:pPr>
        </w:p>
      </w:tc>
    </w:tr>
  </w:tbl>
  <w:p w14:paraId="3C7B177C" w14:textId="77777777" w:rsidR="00930AD5" w:rsidRDefault="00930AD5" w:rsidP="00FC0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4162E5A"/>
    <w:lvl w:ilvl="0">
      <w:start w:val="1"/>
      <w:numFmt w:val="bullet"/>
      <w:pStyle w:val="ListBullet2"/>
      <w:lvlText w:val="o"/>
      <w:lvlJc w:val="left"/>
      <w:pPr>
        <w:tabs>
          <w:tab w:val="num" w:pos="4678"/>
        </w:tabs>
        <w:ind w:left="4678" w:hanging="283"/>
      </w:pPr>
      <w:rPr>
        <w:rFonts w:ascii="Courier New" w:hAnsi="Courier New" w:hint="default"/>
      </w:rPr>
    </w:lvl>
  </w:abstractNum>
  <w:abstractNum w:abstractNumId="1" w15:restartNumberingAfterBreak="0">
    <w:nsid w:val="FFFFFF89"/>
    <w:multiLevelType w:val="singleLevel"/>
    <w:tmpl w:val="AD94B404"/>
    <w:lvl w:ilvl="0">
      <w:start w:val="1"/>
      <w:numFmt w:val="bullet"/>
      <w:pStyle w:val="ListBullet"/>
      <w:lvlText w:val=""/>
      <w:lvlJc w:val="left"/>
      <w:pPr>
        <w:tabs>
          <w:tab w:val="num" w:pos="709"/>
        </w:tabs>
        <w:ind w:left="709" w:hanging="425"/>
      </w:pPr>
      <w:rPr>
        <w:rFonts w:ascii="Symbol" w:hAnsi="Symbol" w:hint="default"/>
      </w:rPr>
    </w:lvl>
  </w:abstractNum>
  <w:abstractNum w:abstractNumId="2" w15:restartNumberingAfterBreak="0">
    <w:nsid w:val="FFFFFFFE"/>
    <w:multiLevelType w:val="singleLevel"/>
    <w:tmpl w:val="3B9092F2"/>
    <w:lvl w:ilvl="0">
      <w:numFmt w:val="decimal"/>
      <w:lvlText w:val="*"/>
      <w:lvlJc w:val="left"/>
    </w:lvl>
  </w:abstractNum>
  <w:abstractNum w:abstractNumId="3" w15:restartNumberingAfterBreak="0">
    <w:nsid w:val="016B1959"/>
    <w:multiLevelType w:val="multilevel"/>
    <w:tmpl w:val="A4A60696"/>
    <w:lvl w:ilvl="0">
      <w:start w:val="1"/>
      <w:numFmt w:val="upperRoman"/>
      <w:pStyle w:val="AppendixHeading1"/>
      <w:lvlText w:val="APPENDIX %1."/>
      <w:lvlJc w:val="left"/>
      <w:pPr>
        <w:tabs>
          <w:tab w:val="num" w:pos="2160"/>
        </w:tabs>
        <w:ind w:left="0" w:firstLine="0"/>
      </w:pPr>
      <w:rPr>
        <w:rFonts w:hint="default"/>
      </w:rPr>
    </w:lvl>
    <w:lvl w:ilvl="1">
      <w:start w:val="1"/>
      <w:numFmt w:val="decimal"/>
      <w:pStyle w:val="AppendixHeading2"/>
      <w:lvlText w:val="%1.%2."/>
      <w:lvlJc w:val="left"/>
      <w:pPr>
        <w:tabs>
          <w:tab w:val="num" w:pos="360"/>
        </w:tabs>
        <w:ind w:left="0" w:firstLine="0"/>
      </w:pPr>
      <w:rPr>
        <w:rFonts w:hint="default"/>
      </w:rPr>
    </w:lvl>
    <w:lvl w:ilvl="2">
      <w:start w:val="1"/>
      <w:numFmt w:val="decimal"/>
      <w:pStyle w:val="AppendixHeading3"/>
      <w:lvlText w:val="%1.%2.%3."/>
      <w:lvlJc w:val="left"/>
      <w:pPr>
        <w:tabs>
          <w:tab w:val="num" w:pos="720"/>
        </w:tabs>
        <w:ind w:left="0" w:firstLine="0"/>
      </w:pPr>
      <w:rPr>
        <w:rFonts w:hint="default"/>
      </w:rPr>
    </w:lvl>
    <w:lvl w:ilvl="3">
      <w:start w:val="1"/>
      <w:numFmt w:val="decimal"/>
      <w:pStyle w:val="AppendixHeading4"/>
      <w:lvlText w:val="%1.%2.%3.%4."/>
      <w:lvlJc w:val="left"/>
      <w:pPr>
        <w:tabs>
          <w:tab w:val="num" w:pos="720"/>
        </w:tabs>
        <w:ind w:left="0" w:firstLine="0"/>
      </w:pPr>
      <w:rPr>
        <w:rFonts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05A006E9"/>
    <w:multiLevelType w:val="hybridMultilevel"/>
    <w:tmpl w:val="1A3E3A26"/>
    <w:lvl w:ilvl="0" w:tplc="092C3B8E">
      <w:start w:val="1"/>
      <w:numFmt w:val="decimal"/>
      <w:lvlText w:val="[%1]"/>
      <w:lvlJc w:val="left"/>
      <w:pPr>
        <w:ind w:left="360" w:hanging="360"/>
      </w:pPr>
      <w:rPr>
        <w:lang w:val="en-US"/>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start w:val="1"/>
      <w:numFmt w:val="decimal"/>
      <w:lvlText w:val="%4."/>
      <w:lvlJc w:val="left"/>
      <w:pPr>
        <w:ind w:left="2520" w:hanging="360"/>
      </w:pPr>
    </w:lvl>
    <w:lvl w:ilvl="4" w:tplc="2C0A0019">
      <w:start w:val="1"/>
      <w:numFmt w:val="lowerLetter"/>
      <w:lvlText w:val="%5."/>
      <w:lvlJc w:val="left"/>
      <w:pPr>
        <w:ind w:left="3240" w:hanging="360"/>
      </w:pPr>
    </w:lvl>
    <w:lvl w:ilvl="5" w:tplc="2C0A001B">
      <w:start w:val="1"/>
      <w:numFmt w:val="lowerRoman"/>
      <w:lvlText w:val="%6."/>
      <w:lvlJc w:val="right"/>
      <w:pPr>
        <w:ind w:left="3960" w:hanging="180"/>
      </w:pPr>
    </w:lvl>
    <w:lvl w:ilvl="6" w:tplc="2C0A000F">
      <w:start w:val="1"/>
      <w:numFmt w:val="decimal"/>
      <w:lvlText w:val="%7."/>
      <w:lvlJc w:val="left"/>
      <w:pPr>
        <w:ind w:left="4680" w:hanging="360"/>
      </w:pPr>
    </w:lvl>
    <w:lvl w:ilvl="7" w:tplc="2C0A0019">
      <w:start w:val="1"/>
      <w:numFmt w:val="lowerLetter"/>
      <w:lvlText w:val="%8."/>
      <w:lvlJc w:val="left"/>
      <w:pPr>
        <w:ind w:left="5400" w:hanging="360"/>
      </w:pPr>
    </w:lvl>
    <w:lvl w:ilvl="8" w:tplc="2C0A001B">
      <w:start w:val="1"/>
      <w:numFmt w:val="lowerRoman"/>
      <w:lvlText w:val="%9."/>
      <w:lvlJc w:val="right"/>
      <w:pPr>
        <w:ind w:left="6120" w:hanging="180"/>
      </w:pPr>
    </w:lvl>
  </w:abstractNum>
  <w:abstractNum w:abstractNumId="5" w15:restartNumberingAfterBreak="0">
    <w:nsid w:val="0831019C"/>
    <w:multiLevelType w:val="hybridMultilevel"/>
    <w:tmpl w:val="BAAAB178"/>
    <w:lvl w:ilvl="0" w:tplc="B49C7434">
      <w:start w:val="1"/>
      <w:numFmt w:val="decimal"/>
      <w:lvlText w:val="(%1)"/>
      <w:lvlJc w:val="left"/>
      <w:pPr>
        <w:ind w:left="360" w:hanging="360"/>
      </w:pPr>
      <w:rPr>
        <w:rFonts w:hint="default"/>
        <w:sz w:val="20"/>
      </w:rPr>
    </w:lvl>
    <w:lvl w:ilvl="1" w:tplc="B49C7434">
      <w:start w:val="1"/>
      <w:numFmt w:val="decimal"/>
      <w:lvlText w:val="(%2)"/>
      <w:lvlJc w:val="left"/>
      <w:pPr>
        <w:ind w:left="1080" w:hanging="360"/>
      </w:pPr>
      <w:rPr>
        <w:rFonts w:hint="default"/>
        <w:sz w:val="2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8816F35"/>
    <w:multiLevelType w:val="hybridMultilevel"/>
    <w:tmpl w:val="4CD8516A"/>
    <w:lvl w:ilvl="0" w:tplc="3B9092F2">
      <w:numFmt w:val="bullet"/>
      <w:lvlText w:val=""/>
      <w:lvlJc w:val="left"/>
      <w:pPr>
        <w:ind w:left="1287" w:hanging="360"/>
      </w:pPr>
      <w:rPr>
        <w:rFonts w:ascii="Wingdings" w:hAnsi="Wingdings" w:hint="default"/>
        <w:sz w:val="14"/>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096E6FF1"/>
    <w:multiLevelType w:val="hybridMultilevel"/>
    <w:tmpl w:val="A82AE46C"/>
    <w:lvl w:ilvl="0" w:tplc="A792099C">
      <w:start w:val="1"/>
      <w:numFmt w:val="decimal"/>
      <w:lvlText w:val="%1."/>
      <w:lvlJc w:val="left"/>
      <w:pPr>
        <w:tabs>
          <w:tab w:val="num" w:pos="712"/>
        </w:tabs>
        <w:ind w:left="1071" w:hanging="360"/>
      </w:pPr>
      <w:rPr>
        <w:rFonts w:hint="default"/>
        <w:lang w:val="es-BO"/>
      </w:rPr>
    </w:lvl>
    <w:lvl w:ilvl="1" w:tplc="08090019">
      <w:start w:val="1"/>
      <w:numFmt w:val="lowerLetter"/>
      <w:lvlText w:val="%2."/>
      <w:lvlJc w:val="left"/>
      <w:pPr>
        <w:tabs>
          <w:tab w:val="num" w:pos="78"/>
        </w:tabs>
        <w:ind w:left="78" w:hanging="360"/>
      </w:pPr>
    </w:lvl>
    <w:lvl w:ilvl="2" w:tplc="0809001B" w:tentative="1">
      <w:start w:val="1"/>
      <w:numFmt w:val="lowerRoman"/>
      <w:lvlText w:val="%3."/>
      <w:lvlJc w:val="right"/>
      <w:pPr>
        <w:tabs>
          <w:tab w:val="num" w:pos="798"/>
        </w:tabs>
        <w:ind w:left="798" w:hanging="180"/>
      </w:pPr>
    </w:lvl>
    <w:lvl w:ilvl="3" w:tplc="0809000F" w:tentative="1">
      <w:start w:val="1"/>
      <w:numFmt w:val="decimal"/>
      <w:lvlText w:val="%4."/>
      <w:lvlJc w:val="left"/>
      <w:pPr>
        <w:tabs>
          <w:tab w:val="num" w:pos="1518"/>
        </w:tabs>
        <w:ind w:left="1518" w:hanging="360"/>
      </w:pPr>
    </w:lvl>
    <w:lvl w:ilvl="4" w:tplc="08090019" w:tentative="1">
      <w:start w:val="1"/>
      <w:numFmt w:val="lowerLetter"/>
      <w:lvlText w:val="%5."/>
      <w:lvlJc w:val="left"/>
      <w:pPr>
        <w:tabs>
          <w:tab w:val="num" w:pos="2238"/>
        </w:tabs>
        <w:ind w:left="2238" w:hanging="360"/>
      </w:pPr>
    </w:lvl>
    <w:lvl w:ilvl="5" w:tplc="0809001B" w:tentative="1">
      <w:start w:val="1"/>
      <w:numFmt w:val="lowerRoman"/>
      <w:lvlText w:val="%6."/>
      <w:lvlJc w:val="right"/>
      <w:pPr>
        <w:tabs>
          <w:tab w:val="num" w:pos="2958"/>
        </w:tabs>
        <w:ind w:left="2958" w:hanging="180"/>
      </w:pPr>
    </w:lvl>
    <w:lvl w:ilvl="6" w:tplc="0809000F" w:tentative="1">
      <w:start w:val="1"/>
      <w:numFmt w:val="decimal"/>
      <w:lvlText w:val="%7."/>
      <w:lvlJc w:val="left"/>
      <w:pPr>
        <w:tabs>
          <w:tab w:val="num" w:pos="3678"/>
        </w:tabs>
        <w:ind w:left="3678" w:hanging="360"/>
      </w:pPr>
    </w:lvl>
    <w:lvl w:ilvl="7" w:tplc="08090019" w:tentative="1">
      <w:start w:val="1"/>
      <w:numFmt w:val="lowerLetter"/>
      <w:lvlText w:val="%8."/>
      <w:lvlJc w:val="left"/>
      <w:pPr>
        <w:tabs>
          <w:tab w:val="num" w:pos="4398"/>
        </w:tabs>
        <w:ind w:left="4398" w:hanging="360"/>
      </w:pPr>
    </w:lvl>
    <w:lvl w:ilvl="8" w:tplc="0809001B" w:tentative="1">
      <w:start w:val="1"/>
      <w:numFmt w:val="lowerRoman"/>
      <w:lvlText w:val="%9."/>
      <w:lvlJc w:val="right"/>
      <w:pPr>
        <w:tabs>
          <w:tab w:val="num" w:pos="5118"/>
        </w:tabs>
        <w:ind w:left="5118" w:hanging="180"/>
      </w:pPr>
    </w:lvl>
  </w:abstractNum>
  <w:abstractNum w:abstractNumId="8" w15:restartNumberingAfterBreak="0">
    <w:nsid w:val="0BC66D37"/>
    <w:multiLevelType w:val="hybridMultilevel"/>
    <w:tmpl w:val="3EFA8CBA"/>
    <w:lvl w:ilvl="0" w:tplc="B49C7434">
      <w:start w:val="1"/>
      <w:numFmt w:val="decimal"/>
      <w:lvlText w:val="(%1)"/>
      <w:lvlJc w:val="left"/>
      <w:pPr>
        <w:ind w:left="360" w:hanging="360"/>
      </w:pPr>
      <w:rPr>
        <w:rFonts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0E824BDA"/>
    <w:multiLevelType w:val="multilevel"/>
    <w:tmpl w:val="B45824C4"/>
    <w:lvl w:ilvl="0">
      <w:start w:val="1"/>
      <w:numFmt w:val="decimal"/>
      <w:lvlText w:val="%1"/>
      <w:lvlJc w:val="left"/>
      <w:pPr>
        <w:ind w:left="420" w:hanging="420"/>
      </w:pPr>
      <w:rPr>
        <w:rFonts w:hint="default"/>
      </w:rPr>
    </w:lvl>
    <w:lvl w:ilvl="1">
      <w:start w:val="2"/>
      <w:numFmt w:val="decimal"/>
      <w:pStyle w:val="Heading2"/>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0E9E68A6"/>
    <w:multiLevelType w:val="multilevel"/>
    <w:tmpl w:val="CC28D3DC"/>
    <w:lvl w:ilvl="0">
      <w:start w:val="1"/>
      <w:numFmt w:val="decimal"/>
      <w:lvlText w:val="T%1."/>
      <w:lvlJc w:val="left"/>
      <w:pPr>
        <w:ind w:left="451" w:hanging="451"/>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upperRoman"/>
      <w:lvlText w:val="%4."/>
      <w:lvlJc w:val="right"/>
      <w:pPr>
        <w:ind w:left="207" w:firstLine="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774" w:hanging="567"/>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36F41BA"/>
    <w:multiLevelType w:val="hybridMultilevel"/>
    <w:tmpl w:val="683EAE6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1374090F"/>
    <w:multiLevelType w:val="hybridMultilevel"/>
    <w:tmpl w:val="9892B52A"/>
    <w:lvl w:ilvl="0" w:tplc="F950F41C">
      <w:start w:val="1"/>
      <w:numFmt w:val="decimal"/>
      <w:lvlText w:val="(%1)"/>
      <w:lvlJc w:val="left"/>
      <w:pPr>
        <w:ind w:left="1200" w:hanging="8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5476F8"/>
    <w:multiLevelType w:val="hybridMultilevel"/>
    <w:tmpl w:val="BCACC488"/>
    <w:lvl w:ilvl="0" w:tplc="B3F8C4D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65457E8"/>
    <w:multiLevelType w:val="hybridMultilevel"/>
    <w:tmpl w:val="75B28F9A"/>
    <w:lvl w:ilvl="0" w:tplc="0C0A0001">
      <w:start w:val="1"/>
      <w:numFmt w:val="bullet"/>
      <w:lvlText w:val=""/>
      <w:lvlJc w:val="left"/>
      <w:pPr>
        <w:ind w:left="1494" w:hanging="360"/>
      </w:pPr>
      <w:rPr>
        <w:rFonts w:ascii="Symbol" w:hAnsi="Symbol" w:hint="default"/>
      </w:rPr>
    </w:lvl>
    <w:lvl w:ilvl="1" w:tplc="0C0A0003">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5" w15:restartNumberingAfterBreak="0">
    <w:nsid w:val="1B0707EF"/>
    <w:multiLevelType w:val="hybridMultilevel"/>
    <w:tmpl w:val="06AA1FC4"/>
    <w:lvl w:ilvl="0" w:tplc="B49C7434">
      <w:start w:val="1"/>
      <w:numFmt w:val="decimal"/>
      <w:lvlText w:val="(%1)"/>
      <w:lvlJc w:val="left"/>
      <w:pPr>
        <w:ind w:left="360" w:hanging="360"/>
      </w:pPr>
      <w:rPr>
        <w:rFonts w:hint="default"/>
        <w:sz w:val="20"/>
      </w:rPr>
    </w:lvl>
    <w:lvl w:ilvl="1" w:tplc="B49C7434">
      <w:start w:val="1"/>
      <w:numFmt w:val="decimal"/>
      <w:lvlText w:val="(%2)"/>
      <w:lvlJc w:val="left"/>
      <w:pPr>
        <w:ind w:left="1080" w:hanging="360"/>
      </w:pPr>
      <w:rPr>
        <w:rFonts w:hint="default"/>
        <w:sz w:val="2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1DDC3C29"/>
    <w:multiLevelType w:val="hybridMultilevel"/>
    <w:tmpl w:val="902E9D62"/>
    <w:lvl w:ilvl="0" w:tplc="586A3E7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B53E1"/>
    <w:multiLevelType w:val="hybridMultilevel"/>
    <w:tmpl w:val="C88660F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2104476E"/>
    <w:multiLevelType w:val="hybridMultilevel"/>
    <w:tmpl w:val="AD90EBFC"/>
    <w:lvl w:ilvl="0" w:tplc="6B78684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1A43BDF"/>
    <w:multiLevelType w:val="hybridMultilevel"/>
    <w:tmpl w:val="8292A800"/>
    <w:lvl w:ilvl="0" w:tplc="90268ED8">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3B17C3D"/>
    <w:multiLevelType w:val="hybridMultilevel"/>
    <w:tmpl w:val="E3BC5856"/>
    <w:lvl w:ilvl="0" w:tplc="B49C7434">
      <w:start w:val="1"/>
      <w:numFmt w:val="decimal"/>
      <w:lvlText w:val="(%1)"/>
      <w:lvlJc w:val="left"/>
      <w:pPr>
        <w:ind w:left="360" w:hanging="360"/>
      </w:pPr>
      <w:rPr>
        <w:rFonts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8B142C3"/>
    <w:multiLevelType w:val="hybridMultilevel"/>
    <w:tmpl w:val="3EB05018"/>
    <w:lvl w:ilvl="0" w:tplc="952AEB92">
      <w:start w:val="1"/>
      <w:numFmt w:val="decimal"/>
      <w:lvlText w:val="[%1]"/>
      <w:lvlJc w:val="left"/>
      <w:pPr>
        <w:ind w:left="720" w:hanging="360"/>
      </w:pPr>
      <w:rPr>
        <w:lang w:val="en-G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2C9452FF"/>
    <w:multiLevelType w:val="hybridMultilevel"/>
    <w:tmpl w:val="9572D6A8"/>
    <w:lvl w:ilvl="0" w:tplc="B49C7434">
      <w:start w:val="1"/>
      <w:numFmt w:val="decimal"/>
      <w:lvlText w:val="(%1)"/>
      <w:lvlJc w:val="left"/>
      <w:pPr>
        <w:ind w:left="360" w:hanging="360"/>
      </w:pPr>
      <w:rPr>
        <w:rFonts w:hint="default"/>
        <w:sz w:val="20"/>
      </w:rPr>
    </w:lvl>
    <w:lvl w:ilvl="1" w:tplc="B49C7434">
      <w:start w:val="1"/>
      <w:numFmt w:val="decimal"/>
      <w:lvlText w:val="(%2)"/>
      <w:lvlJc w:val="left"/>
      <w:pPr>
        <w:ind w:left="1080" w:hanging="360"/>
      </w:pPr>
      <w:rPr>
        <w:rFonts w:hint="default"/>
        <w:sz w:val="2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2DFD6E86"/>
    <w:multiLevelType w:val="hybridMultilevel"/>
    <w:tmpl w:val="C3DEC95A"/>
    <w:lvl w:ilvl="0" w:tplc="FB8492DC">
      <w:start w:val="1"/>
      <w:numFmt w:val="decimal"/>
      <w:lvlText w:val="%1)"/>
      <w:lvlJc w:val="left"/>
      <w:pPr>
        <w:tabs>
          <w:tab w:val="num" w:pos="720"/>
        </w:tabs>
        <w:ind w:left="720" w:hanging="360"/>
      </w:pPr>
    </w:lvl>
    <w:lvl w:ilvl="1" w:tplc="ACA6CF5C" w:tentative="1">
      <w:start w:val="1"/>
      <w:numFmt w:val="decimal"/>
      <w:lvlText w:val="%2)"/>
      <w:lvlJc w:val="left"/>
      <w:pPr>
        <w:tabs>
          <w:tab w:val="num" w:pos="1440"/>
        </w:tabs>
        <w:ind w:left="1440" w:hanging="360"/>
      </w:pPr>
    </w:lvl>
    <w:lvl w:ilvl="2" w:tplc="98D25740" w:tentative="1">
      <w:start w:val="1"/>
      <w:numFmt w:val="decimal"/>
      <w:lvlText w:val="%3)"/>
      <w:lvlJc w:val="left"/>
      <w:pPr>
        <w:tabs>
          <w:tab w:val="num" w:pos="2160"/>
        </w:tabs>
        <w:ind w:left="2160" w:hanging="360"/>
      </w:pPr>
    </w:lvl>
    <w:lvl w:ilvl="3" w:tplc="865E609A" w:tentative="1">
      <w:start w:val="1"/>
      <w:numFmt w:val="decimal"/>
      <w:lvlText w:val="%4)"/>
      <w:lvlJc w:val="left"/>
      <w:pPr>
        <w:tabs>
          <w:tab w:val="num" w:pos="2880"/>
        </w:tabs>
        <w:ind w:left="2880" w:hanging="360"/>
      </w:pPr>
    </w:lvl>
    <w:lvl w:ilvl="4" w:tplc="8CBA3EA4" w:tentative="1">
      <w:start w:val="1"/>
      <w:numFmt w:val="decimal"/>
      <w:lvlText w:val="%5)"/>
      <w:lvlJc w:val="left"/>
      <w:pPr>
        <w:tabs>
          <w:tab w:val="num" w:pos="3600"/>
        </w:tabs>
        <w:ind w:left="3600" w:hanging="360"/>
      </w:pPr>
    </w:lvl>
    <w:lvl w:ilvl="5" w:tplc="8FB238E0" w:tentative="1">
      <w:start w:val="1"/>
      <w:numFmt w:val="decimal"/>
      <w:lvlText w:val="%6)"/>
      <w:lvlJc w:val="left"/>
      <w:pPr>
        <w:tabs>
          <w:tab w:val="num" w:pos="4320"/>
        </w:tabs>
        <w:ind w:left="4320" w:hanging="360"/>
      </w:pPr>
    </w:lvl>
    <w:lvl w:ilvl="6" w:tplc="389E5DB0" w:tentative="1">
      <w:start w:val="1"/>
      <w:numFmt w:val="decimal"/>
      <w:lvlText w:val="%7)"/>
      <w:lvlJc w:val="left"/>
      <w:pPr>
        <w:tabs>
          <w:tab w:val="num" w:pos="5040"/>
        </w:tabs>
        <w:ind w:left="5040" w:hanging="360"/>
      </w:pPr>
    </w:lvl>
    <w:lvl w:ilvl="7" w:tplc="B2B8B7FA" w:tentative="1">
      <w:start w:val="1"/>
      <w:numFmt w:val="decimal"/>
      <w:lvlText w:val="%8)"/>
      <w:lvlJc w:val="left"/>
      <w:pPr>
        <w:tabs>
          <w:tab w:val="num" w:pos="5760"/>
        </w:tabs>
        <w:ind w:left="5760" w:hanging="360"/>
      </w:pPr>
    </w:lvl>
    <w:lvl w:ilvl="8" w:tplc="81FE4EE0" w:tentative="1">
      <w:start w:val="1"/>
      <w:numFmt w:val="decimal"/>
      <w:lvlText w:val="%9)"/>
      <w:lvlJc w:val="left"/>
      <w:pPr>
        <w:tabs>
          <w:tab w:val="num" w:pos="6480"/>
        </w:tabs>
        <w:ind w:left="6480" w:hanging="360"/>
      </w:pPr>
    </w:lvl>
  </w:abstractNum>
  <w:abstractNum w:abstractNumId="24" w15:restartNumberingAfterBreak="0">
    <w:nsid w:val="2E5D5D2A"/>
    <w:multiLevelType w:val="hybridMultilevel"/>
    <w:tmpl w:val="B658F4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EA406D5"/>
    <w:multiLevelType w:val="hybridMultilevel"/>
    <w:tmpl w:val="71460B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F964C8B"/>
    <w:multiLevelType w:val="hybridMultilevel"/>
    <w:tmpl w:val="52144380"/>
    <w:lvl w:ilvl="0" w:tplc="3B9092F2">
      <w:numFmt w:val="bullet"/>
      <w:lvlText w:val=""/>
      <w:lvlJc w:val="left"/>
      <w:pPr>
        <w:ind w:left="720" w:hanging="360"/>
      </w:pPr>
      <w:rPr>
        <w:rFonts w:ascii="Wingdings" w:hAnsi="Wingdings" w:hint="default"/>
        <w:sz w:val="14"/>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61A4D3A"/>
    <w:multiLevelType w:val="hybridMultilevel"/>
    <w:tmpl w:val="699C0F20"/>
    <w:lvl w:ilvl="0" w:tplc="8B56D462">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D53927"/>
    <w:multiLevelType w:val="hybridMultilevel"/>
    <w:tmpl w:val="9A2C23B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3805567A"/>
    <w:multiLevelType w:val="hybridMultilevel"/>
    <w:tmpl w:val="9C62C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3C431C84"/>
    <w:multiLevelType w:val="hybridMultilevel"/>
    <w:tmpl w:val="45645F52"/>
    <w:lvl w:ilvl="0" w:tplc="DAA22E96">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DC44AFB"/>
    <w:multiLevelType w:val="hybridMultilevel"/>
    <w:tmpl w:val="C36C78A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FAD1206"/>
    <w:multiLevelType w:val="hybridMultilevel"/>
    <w:tmpl w:val="312003F6"/>
    <w:lvl w:ilvl="0" w:tplc="3B9092F2">
      <w:numFmt w:val="bullet"/>
      <w:lvlText w:val=""/>
      <w:lvlJc w:val="left"/>
      <w:pPr>
        <w:ind w:left="720" w:hanging="360"/>
      </w:pPr>
      <w:rPr>
        <w:rFonts w:ascii="Wingdings" w:hAnsi="Wingdings" w:hint="default"/>
        <w:sz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53A0513"/>
    <w:multiLevelType w:val="hybridMultilevel"/>
    <w:tmpl w:val="BC929C24"/>
    <w:lvl w:ilvl="0" w:tplc="CCB6E122">
      <w:start w:val="1"/>
      <w:numFmt w:val="decimal"/>
      <w:pStyle w:val="ListNumber"/>
      <w:lvlText w:val="%1."/>
      <w:lvlJc w:val="right"/>
      <w:pPr>
        <w:tabs>
          <w:tab w:val="num" w:pos="567"/>
        </w:tabs>
        <w:ind w:left="567" w:hanging="142"/>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C90805"/>
    <w:multiLevelType w:val="hybridMultilevel"/>
    <w:tmpl w:val="1520AF4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2D192C"/>
    <w:multiLevelType w:val="hybridMultilevel"/>
    <w:tmpl w:val="CB8665D4"/>
    <w:lvl w:ilvl="0" w:tplc="3B9092F2">
      <w:numFmt w:val="bullet"/>
      <w:lvlText w:val=""/>
      <w:lvlJc w:val="left"/>
      <w:pPr>
        <w:ind w:left="720" w:hanging="360"/>
      </w:pPr>
      <w:rPr>
        <w:rFonts w:ascii="Wingdings" w:hAnsi="Wingdings" w:hint="default"/>
        <w:sz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ED61D4A"/>
    <w:multiLevelType w:val="hybridMultilevel"/>
    <w:tmpl w:val="9E1C43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4EDA4045"/>
    <w:multiLevelType w:val="hybridMultilevel"/>
    <w:tmpl w:val="D818D056"/>
    <w:lvl w:ilvl="0" w:tplc="64E4098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BF6594"/>
    <w:multiLevelType w:val="hybridMultilevel"/>
    <w:tmpl w:val="BEE851EC"/>
    <w:lvl w:ilvl="0" w:tplc="2CF40858">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52CD45AD"/>
    <w:multiLevelType w:val="multilevel"/>
    <w:tmpl w:val="788052AC"/>
    <w:lvl w:ilvl="0">
      <w:start w:val="1"/>
      <w:numFmt w:val="decimal"/>
      <w:pStyle w:val="Heading1"/>
      <w:lvlText w:val="%1."/>
      <w:lvlJc w:val="left"/>
      <w:pPr>
        <w:tabs>
          <w:tab w:val="num" w:pos="360"/>
        </w:tabs>
        <w:ind w:left="0" w:firstLine="0"/>
      </w:pPr>
      <w:rPr>
        <w:rFonts w:hint="default"/>
      </w:rPr>
    </w:lvl>
    <w:lvl w:ilvl="1">
      <w:start w:val="1"/>
      <w:numFmt w:val="decimal"/>
      <w:lvlText w:val="%1.%2."/>
      <w:lvlJc w:val="left"/>
      <w:pPr>
        <w:tabs>
          <w:tab w:val="num" w:pos="2346"/>
        </w:tabs>
        <w:ind w:left="1844" w:firstLine="0"/>
      </w:pPr>
      <w:rPr>
        <w:rFonts w:hint="default"/>
        <w:lang w:val="es-ES"/>
      </w:rPr>
    </w:lvl>
    <w:lvl w:ilvl="2">
      <w:start w:val="1"/>
      <w:numFmt w:val="decimal"/>
      <w:pStyle w:val="Heading3"/>
      <w:lvlText w:val="%1.%2.%3."/>
      <w:lvlJc w:val="left"/>
      <w:pPr>
        <w:tabs>
          <w:tab w:val="num" w:pos="1429"/>
        </w:tabs>
        <w:ind w:left="709" w:firstLine="0"/>
      </w:pPr>
      <w:rPr>
        <w:rFonts w:hint="default"/>
      </w:rPr>
    </w:lvl>
    <w:lvl w:ilvl="3">
      <w:start w:val="1"/>
      <w:numFmt w:val="decimal"/>
      <w:pStyle w:val="Heading4"/>
      <w:lvlText w:val="%1.%2.%3.%4."/>
      <w:lvlJc w:val="left"/>
      <w:pPr>
        <w:tabs>
          <w:tab w:val="num" w:pos="720"/>
        </w:tabs>
        <w:ind w:left="0" w:firstLine="0"/>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4F1793B"/>
    <w:multiLevelType w:val="hybridMultilevel"/>
    <w:tmpl w:val="2996B246"/>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3D4CDA"/>
    <w:multiLevelType w:val="hybridMultilevel"/>
    <w:tmpl w:val="558EBCF6"/>
    <w:lvl w:ilvl="0" w:tplc="68620E28">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A5627F"/>
    <w:multiLevelType w:val="hybridMultilevel"/>
    <w:tmpl w:val="D1846C24"/>
    <w:lvl w:ilvl="0" w:tplc="B49C7434">
      <w:start w:val="1"/>
      <w:numFmt w:val="decimal"/>
      <w:lvlText w:val="(%1)"/>
      <w:lvlJc w:val="left"/>
      <w:pPr>
        <w:ind w:left="360" w:hanging="360"/>
      </w:pPr>
      <w:rPr>
        <w:rFonts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58550730"/>
    <w:multiLevelType w:val="hybridMultilevel"/>
    <w:tmpl w:val="CA64EFD2"/>
    <w:lvl w:ilvl="0" w:tplc="3B9092F2">
      <w:numFmt w:val="bullet"/>
      <w:lvlText w:val=""/>
      <w:lvlJc w:val="left"/>
      <w:pPr>
        <w:ind w:left="720" w:hanging="360"/>
      </w:pPr>
      <w:rPr>
        <w:rFonts w:ascii="Wingdings" w:hAnsi="Wingdings" w:hint="default"/>
        <w:sz w:val="14"/>
      </w:rPr>
    </w:lvl>
    <w:lvl w:ilvl="1" w:tplc="0C0A0001">
      <w:start w:val="1"/>
      <w:numFmt w:val="bullet"/>
      <w:lvlText w:val=""/>
      <w:lvlJc w:val="left"/>
      <w:pPr>
        <w:ind w:left="1500" w:hanging="42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587128B0"/>
    <w:multiLevelType w:val="hybridMultilevel"/>
    <w:tmpl w:val="FD181008"/>
    <w:lvl w:ilvl="0" w:tplc="952AEB92">
      <w:start w:val="1"/>
      <w:numFmt w:val="decimal"/>
      <w:lvlText w:val="[%1]"/>
      <w:lvlJc w:val="left"/>
      <w:pPr>
        <w:ind w:left="1134" w:hanging="777"/>
      </w:pPr>
      <w:rPr>
        <w:rFonts w:hint="default"/>
        <w:lang w:val="en-GB"/>
      </w:rPr>
    </w:lvl>
    <w:lvl w:ilvl="1" w:tplc="2E3E7CD8">
      <w:numFmt w:val="bullet"/>
      <w:lvlText w:val="•"/>
      <w:lvlJc w:val="left"/>
      <w:pPr>
        <w:ind w:left="1785" w:hanging="705"/>
      </w:pPr>
      <w:rPr>
        <w:rFonts w:ascii="Times New Roman" w:eastAsiaTheme="minorHAnsi" w:hAnsi="Times New Roman"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9387723"/>
    <w:multiLevelType w:val="hybridMultilevel"/>
    <w:tmpl w:val="B268B176"/>
    <w:lvl w:ilvl="0" w:tplc="0409000F">
      <w:start w:val="1"/>
      <w:numFmt w:val="decimal"/>
      <w:lvlText w:val="%1."/>
      <w:lvlJc w:val="left"/>
      <w:pPr>
        <w:ind w:left="1287" w:hanging="360"/>
      </w:pPr>
    </w:lvl>
    <w:lvl w:ilvl="1" w:tplc="04090013">
      <w:start w:val="1"/>
      <w:numFmt w:val="upperRoman"/>
      <w:lvlText w:val="%2."/>
      <w:lvlJc w:val="right"/>
      <w:pPr>
        <w:ind w:left="2367" w:hanging="720"/>
      </w:pPr>
      <w:rPr>
        <w:rFonts w:hint="default"/>
      </w:rPr>
    </w:lvl>
    <w:lvl w:ilvl="2" w:tplc="0409001B" w:tentative="1">
      <w:start w:val="1"/>
      <w:numFmt w:val="lowerRoman"/>
      <w:lvlText w:val="%3."/>
      <w:lvlJc w:val="right"/>
      <w:pPr>
        <w:ind w:left="2727" w:hanging="180"/>
      </w:pPr>
    </w:lvl>
    <w:lvl w:ilvl="3" w:tplc="B49C7434">
      <w:start w:val="1"/>
      <w:numFmt w:val="decimal"/>
      <w:lvlText w:val="(%4)"/>
      <w:lvlJc w:val="left"/>
      <w:pPr>
        <w:ind w:left="3447" w:hanging="360"/>
      </w:pPr>
      <w:rPr>
        <w:rFonts w:hint="default"/>
        <w:sz w:val="20"/>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6" w15:restartNumberingAfterBreak="0">
    <w:nsid w:val="5E93651B"/>
    <w:multiLevelType w:val="hybridMultilevel"/>
    <w:tmpl w:val="12E4F128"/>
    <w:lvl w:ilvl="0" w:tplc="3B9092F2">
      <w:numFmt w:val="bullet"/>
      <w:lvlText w:val=""/>
      <w:lvlJc w:val="left"/>
      <w:pPr>
        <w:ind w:left="720" w:hanging="360"/>
      </w:pPr>
      <w:rPr>
        <w:rFonts w:ascii="Wingdings" w:hAnsi="Wingdings" w:hint="default"/>
        <w:sz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F6C7E58"/>
    <w:multiLevelType w:val="multilevel"/>
    <w:tmpl w:val="9D1EFCD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5F8C4498"/>
    <w:multiLevelType w:val="hybridMultilevel"/>
    <w:tmpl w:val="FF1426D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FE5311C"/>
    <w:multiLevelType w:val="hybridMultilevel"/>
    <w:tmpl w:val="E9A61678"/>
    <w:lvl w:ilvl="0" w:tplc="3B9092F2">
      <w:numFmt w:val="bullet"/>
      <w:lvlText w:val=""/>
      <w:lvlJc w:val="left"/>
      <w:pPr>
        <w:ind w:left="1287" w:hanging="360"/>
      </w:pPr>
      <w:rPr>
        <w:rFonts w:ascii="Wingdings" w:hAnsi="Wingdings" w:hint="default"/>
        <w:sz w:val="14"/>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0" w15:restartNumberingAfterBreak="0">
    <w:nsid w:val="60B70F4A"/>
    <w:multiLevelType w:val="hybridMultilevel"/>
    <w:tmpl w:val="DC6216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61746352"/>
    <w:multiLevelType w:val="hybridMultilevel"/>
    <w:tmpl w:val="25708D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2" w15:restartNumberingAfterBreak="0">
    <w:nsid w:val="62CE44AD"/>
    <w:multiLevelType w:val="hybridMultilevel"/>
    <w:tmpl w:val="CB66BE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62E41756"/>
    <w:multiLevelType w:val="hybridMultilevel"/>
    <w:tmpl w:val="0F9881D0"/>
    <w:lvl w:ilvl="0" w:tplc="B3F8C4DC">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34B104E"/>
    <w:multiLevelType w:val="hybridMultilevel"/>
    <w:tmpl w:val="489E4488"/>
    <w:lvl w:ilvl="0" w:tplc="0DD27FD4">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3655805"/>
    <w:multiLevelType w:val="hybridMultilevel"/>
    <w:tmpl w:val="FD181008"/>
    <w:lvl w:ilvl="0" w:tplc="952AEB92">
      <w:start w:val="1"/>
      <w:numFmt w:val="decimal"/>
      <w:lvlText w:val="[%1]"/>
      <w:lvlJc w:val="left"/>
      <w:pPr>
        <w:ind w:left="777" w:hanging="777"/>
      </w:pPr>
      <w:rPr>
        <w:rFonts w:hint="default"/>
        <w:lang w:val="en-GB"/>
      </w:rPr>
    </w:lvl>
    <w:lvl w:ilvl="1" w:tplc="2E3E7CD8">
      <w:numFmt w:val="bullet"/>
      <w:lvlText w:val="•"/>
      <w:lvlJc w:val="left"/>
      <w:pPr>
        <w:ind w:left="1785" w:hanging="705"/>
      </w:pPr>
      <w:rPr>
        <w:rFonts w:ascii="Times New Roman" w:eastAsiaTheme="minorHAnsi" w:hAnsi="Times New Roman"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3C423DB"/>
    <w:multiLevelType w:val="hybridMultilevel"/>
    <w:tmpl w:val="9A60BBEA"/>
    <w:lvl w:ilvl="0" w:tplc="FFEA790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1B599E"/>
    <w:multiLevelType w:val="hybridMultilevel"/>
    <w:tmpl w:val="74704F18"/>
    <w:lvl w:ilvl="0" w:tplc="B49C7434">
      <w:start w:val="1"/>
      <w:numFmt w:val="decimal"/>
      <w:lvlText w:val="(%1)"/>
      <w:lvlJc w:val="left"/>
      <w:pPr>
        <w:ind w:left="360" w:hanging="360"/>
      </w:pPr>
      <w:rPr>
        <w:rFonts w:hint="default"/>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8" w15:restartNumberingAfterBreak="0">
    <w:nsid w:val="673B15B5"/>
    <w:multiLevelType w:val="hybridMultilevel"/>
    <w:tmpl w:val="CB0C086C"/>
    <w:lvl w:ilvl="0" w:tplc="2DA200C8">
      <w:start w:val="1"/>
      <w:numFmt w:val="decimal"/>
      <w:lvlText w:val="%1."/>
      <w:lvlJc w:val="left"/>
      <w:pPr>
        <w:tabs>
          <w:tab w:val="num" w:pos="646"/>
        </w:tabs>
        <w:ind w:left="1005" w:hanging="360"/>
      </w:pPr>
      <w:rPr>
        <w:rFonts w:hint="default"/>
      </w:rPr>
    </w:lvl>
    <w:lvl w:ilvl="1" w:tplc="08090019">
      <w:start w:val="1"/>
      <w:numFmt w:val="lowerLetter"/>
      <w:lvlText w:val="%2."/>
      <w:lvlJc w:val="left"/>
      <w:pPr>
        <w:tabs>
          <w:tab w:val="num" w:pos="12"/>
        </w:tabs>
        <w:ind w:left="12" w:hanging="360"/>
      </w:pPr>
    </w:lvl>
    <w:lvl w:ilvl="2" w:tplc="0809001B" w:tentative="1">
      <w:start w:val="1"/>
      <w:numFmt w:val="lowerRoman"/>
      <w:lvlText w:val="%3."/>
      <w:lvlJc w:val="right"/>
      <w:pPr>
        <w:tabs>
          <w:tab w:val="num" w:pos="732"/>
        </w:tabs>
        <w:ind w:left="732" w:hanging="180"/>
      </w:pPr>
    </w:lvl>
    <w:lvl w:ilvl="3" w:tplc="0809000F" w:tentative="1">
      <w:start w:val="1"/>
      <w:numFmt w:val="decimal"/>
      <w:lvlText w:val="%4."/>
      <w:lvlJc w:val="left"/>
      <w:pPr>
        <w:tabs>
          <w:tab w:val="num" w:pos="1452"/>
        </w:tabs>
        <w:ind w:left="1452" w:hanging="360"/>
      </w:pPr>
    </w:lvl>
    <w:lvl w:ilvl="4" w:tplc="08090019" w:tentative="1">
      <w:start w:val="1"/>
      <w:numFmt w:val="lowerLetter"/>
      <w:lvlText w:val="%5."/>
      <w:lvlJc w:val="left"/>
      <w:pPr>
        <w:tabs>
          <w:tab w:val="num" w:pos="2172"/>
        </w:tabs>
        <w:ind w:left="2172" w:hanging="360"/>
      </w:pPr>
    </w:lvl>
    <w:lvl w:ilvl="5" w:tplc="0809001B" w:tentative="1">
      <w:start w:val="1"/>
      <w:numFmt w:val="lowerRoman"/>
      <w:lvlText w:val="%6."/>
      <w:lvlJc w:val="right"/>
      <w:pPr>
        <w:tabs>
          <w:tab w:val="num" w:pos="2892"/>
        </w:tabs>
        <w:ind w:left="2892" w:hanging="180"/>
      </w:pPr>
    </w:lvl>
    <w:lvl w:ilvl="6" w:tplc="0809000F" w:tentative="1">
      <w:start w:val="1"/>
      <w:numFmt w:val="decimal"/>
      <w:lvlText w:val="%7."/>
      <w:lvlJc w:val="left"/>
      <w:pPr>
        <w:tabs>
          <w:tab w:val="num" w:pos="3612"/>
        </w:tabs>
        <w:ind w:left="3612" w:hanging="360"/>
      </w:pPr>
    </w:lvl>
    <w:lvl w:ilvl="7" w:tplc="08090019" w:tentative="1">
      <w:start w:val="1"/>
      <w:numFmt w:val="lowerLetter"/>
      <w:lvlText w:val="%8."/>
      <w:lvlJc w:val="left"/>
      <w:pPr>
        <w:tabs>
          <w:tab w:val="num" w:pos="4332"/>
        </w:tabs>
        <w:ind w:left="4332" w:hanging="360"/>
      </w:pPr>
    </w:lvl>
    <w:lvl w:ilvl="8" w:tplc="0809001B" w:tentative="1">
      <w:start w:val="1"/>
      <w:numFmt w:val="lowerRoman"/>
      <w:lvlText w:val="%9."/>
      <w:lvlJc w:val="right"/>
      <w:pPr>
        <w:tabs>
          <w:tab w:val="num" w:pos="5052"/>
        </w:tabs>
        <w:ind w:left="5052" w:hanging="180"/>
      </w:pPr>
    </w:lvl>
  </w:abstractNum>
  <w:abstractNum w:abstractNumId="59" w15:restartNumberingAfterBreak="0">
    <w:nsid w:val="6AE51D4B"/>
    <w:multiLevelType w:val="hybridMultilevel"/>
    <w:tmpl w:val="55B46270"/>
    <w:lvl w:ilvl="0" w:tplc="B49C7434">
      <w:start w:val="1"/>
      <w:numFmt w:val="decimal"/>
      <w:lvlText w:val="(%1)"/>
      <w:lvlJc w:val="left"/>
      <w:pPr>
        <w:ind w:left="360" w:hanging="360"/>
      </w:pPr>
      <w:rPr>
        <w:rFonts w:hint="default"/>
        <w:sz w:val="20"/>
      </w:rPr>
    </w:lvl>
    <w:lvl w:ilvl="1" w:tplc="F8FA239A">
      <w:start w:val="1"/>
      <w:numFmt w:val="decimal"/>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0" w15:restartNumberingAfterBreak="0">
    <w:nsid w:val="6C930BBD"/>
    <w:multiLevelType w:val="multilevel"/>
    <w:tmpl w:val="7DACA532"/>
    <w:lvl w:ilvl="0">
      <w:start w:val="1"/>
      <w:numFmt w:val="upperRoman"/>
      <w:pStyle w:val="ANEXOHeading1"/>
      <w:lvlText w:val="ANNEX %1."/>
      <w:lvlJc w:val="left"/>
      <w:pPr>
        <w:tabs>
          <w:tab w:val="num" w:pos="180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eading2"/>
      <w:lvlText w:val="%1-%2."/>
      <w:lvlJc w:val="left"/>
      <w:pPr>
        <w:tabs>
          <w:tab w:val="num" w:pos="720"/>
        </w:tabs>
        <w:ind w:left="0" w:firstLine="0"/>
      </w:pPr>
      <w:rPr>
        <w:rFonts w:hint="default"/>
      </w:rPr>
    </w:lvl>
    <w:lvl w:ilvl="2">
      <w:start w:val="1"/>
      <w:numFmt w:val="decimal"/>
      <w:pStyle w:val="AnnexHeading3"/>
      <w:lvlText w:val="%1-%2.%3."/>
      <w:lvlJc w:val="left"/>
      <w:pPr>
        <w:tabs>
          <w:tab w:val="num" w:pos="720"/>
        </w:tabs>
        <w:ind w:left="0" w:firstLine="0"/>
      </w:pPr>
      <w:rPr>
        <w:rFonts w:hint="default"/>
      </w:rPr>
    </w:lvl>
    <w:lvl w:ilvl="3">
      <w:start w:val="1"/>
      <w:numFmt w:val="decimal"/>
      <w:pStyle w:val="AnnexHeading4"/>
      <w:lvlText w:val="%1-%2.%3.%4."/>
      <w:lvlJc w:val="left"/>
      <w:pPr>
        <w:tabs>
          <w:tab w:val="num" w:pos="1080"/>
        </w:tabs>
        <w:ind w:left="0" w:firstLine="0"/>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61" w15:restartNumberingAfterBreak="0">
    <w:nsid w:val="6D9953EF"/>
    <w:multiLevelType w:val="hybridMultilevel"/>
    <w:tmpl w:val="77C2B3A6"/>
    <w:lvl w:ilvl="0" w:tplc="3B9092F2">
      <w:numFmt w:val="bullet"/>
      <w:lvlText w:val=""/>
      <w:lvlJc w:val="left"/>
      <w:pPr>
        <w:ind w:left="1287" w:hanging="360"/>
      </w:pPr>
      <w:rPr>
        <w:rFonts w:ascii="Wingdings" w:hAnsi="Wingdings" w:hint="default"/>
        <w:sz w:val="14"/>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2" w15:restartNumberingAfterBreak="0">
    <w:nsid w:val="6DC73A2E"/>
    <w:multiLevelType w:val="hybridMultilevel"/>
    <w:tmpl w:val="4B0679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71D01376"/>
    <w:multiLevelType w:val="hybridMultilevel"/>
    <w:tmpl w:val="947262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72002902"/>
    <w:multiLevelType w:val="hybridMultilevel"/>
    <w:tmpl w:val="61AEAB9C"/>
    <w:lvl w:ilvl="0" w:tplc="4902466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726E453E"/>
    <w:multiLevelType w:val="hybridMultilevel"/>
    <w:tmpl w:val="E93409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9"/>
  </w:num>
  <w:num w:numId="3">
    <w:abstractNumId w:val="18"/>
  </w:num>
  <w:num w:numId="4">
    <w:abstractNumId w:val="41"/>
  </w:num>
  <w:num w:numId="5">
    <w:abstractNumId w:val="54"/>
  </w:num>
  <w:num w:numId="6">
    <w:abstractNumId w:val="50"/>
  </w:num>
  <w:num w:numId="7">
    <w:abstractNumId w:val="63"/>
  </w:num>
  <w:num w:numId="8">
    <w:abstractNumId w:val="7"/>
  </w:num>
  <w:num w:numId="9">
    <w:abstractNumId w:val="58"/>
  </w:num>
  <w:num w:numId="10">
    <w:abstractNumId w:val="29"/>
  </w:num>
  <w:num w:numId="11">
    <w:abstractNumId w:val="38"/>
  </w:num>
  <w:num w:numId="12">
    <w:abstractNumId w:val="2"/>
    <w:lvlOverride w:ilvl="0">
      <w:lvl w:ilvl="0">
        <w:numFmt w:val="bullet"/>
        <w:lvlText w:val=""/>
        <w:legacy w:legacy="1" w:legacySpace="0" w:legacyIndent="0"/>
        <w:lvlJc w:val="left"/>
        <w:rPr>
          <w:rFonts w:ascii="Wingdings" w:hAnsi="Wingdings" w:hint="default"/>
          <w:sz w:val="14"/>
        </w:rPr>
      </w:lvl>
    </w:lvlOverride>
  </w:num>
  <w:num w:numId="13">
    <w:abstractNumId w:val="34"/>
  </w:num>
  <w:num w:numId="14">
    <w:abstractNumId w:val="55"/>
  </w:num>
  <w:num w:numId="15">
    <w:abstractNumId w:val="64"/>
  </w:num>
  <w:num w:numId="16">
    <w:abstractNumId w:val="12"/>
  </w:num>
  <w:num w:numId="17">
    <w:abstractNumId w:val="48"/>
  </w:num>
  <w:num w:numId="18">
    <w:abstractNumId w:val="3"/>
  </w:num>
  <w:num w:numId="19">
    <w:abstractNumId w:val="60"/>
  </w:num>
  <w:num w:numId="20">
    <w:abstractNumId w:val="49"/>
  </w:num>
  <w:num w:numId="21">
    <w:abstractNumId w:val="61"/>
  </w:num>
  <w:num w:numId="22">
    <w:abstractNumId w:val="6"/>
  </w:num>
  <w:num w:numId="23">
    <w:abstractNumId w:val="32"/>
  </w:num>
  <w:num w:numId="24">
    <w:abstractNumId w:val="35"/>
  </w:num>
  <w:num w:numId="25">
    <w:abstractNumId w:val="46"/>
  </w:num>
  <w:num w:numId="26">
    <w:abstractNumId w:val="26"/>
  </w:num>
  <w:num w:numId="27">
    <w:abstractNumId w:val="28"/>
  </w:num>
  <w:num w:numId="28">
    <w:abstractNumId w:val="43"/>
  </w:num>
  <w:num w:numId="29">
    <w:abstractNumId w:val="14"/>
  </w:num>
  <w:num w:numId="30">
    <w:abstractNumId w:val="13"/>
  </w:num>
  <w:num w:numId="31">
    <w:abstractNumId w:val="19"/>
  </w:num>
  <w:num w:numId="32">
    <w:abstractNumId w:val="53"/>
  </w:num>
  <w:num w:numId="33">
    <w:abstractNumId w:val="30"/>
  </w:num>
  <w:num w:numId="34">
    <w:abstractNumId w:val="10"/>
  </w:num>
  <w:num w:numId="35">
    <w:abstractNumId w:val="1"/>
  </w:num>
  <w:num w:numId="36">
    <w:abstractNumId w:val="0"/>
  </w:num>
  <w:num w:numId="37">
    <w:abstractNumId w:val="23"/>
  </w:num>
  <w:num w:numId="38">
    <w:abstractNumId w:val="27"/>
  </w:num>
  <w:num w:numId="39">
    <w:abstractNumId w:val="33"/>
  </w:num>
  <w:num w:numId="40">
    <w:abstractNumId w:val="45"/>
  </w:num>
  <w:num w:numId="41">
    <w:abstractNumId w:val="56"/>
  </w:num>
  <w:num w:numId="42">
    <w:abstractNumId w:val="37"/>
  </w:num>
  <w:num w:numId="43">
    <w:abstractNumId w:val="16"/>
  </w:num>
  <w:num w:numId="44">
    <w:abstractNumId w:val="57"/>
  </w:num>
  <w:num w:numId="45">
    <w:abstractNumId w:val="42"/>
  </w:num>
  <w:num w:numId="46">
    <w:abstractNumId w:val="20"/>
  </w:num>
  <w:num w:numId="47">
    <w:abstractNumId w:val="8"/>
  </w:num>
  <w:num w:numId="48">
    <w:abstractNumId w:val="59"/>
  </w:num>
  <w:num w:numId="49">
    <w:abstractNumId w:val="5"/>
  </w:num>
  <w:num w:numId="50">
    <w:abstractNumId w:val="15"/>
  </w:num>
  <w:num w:numId="51">
    <w:abstractNumId w:val="22"/>
  </w:num>
  <w:num w:numId="52">
    <w:abstractNumId w:val="47"/>
  </w:num>
  <w:num w:numId="53">
    <w:abstractNumId w:val="17"/>
  </w:num>
  <w:num w:numId="54">
    <w:abstractNumId w:val="62"/>
  </w:num>
  <w:num w:numId="55">
    <w:abstractNumId w:val="36"/>
  </w:num>
  <w:num w:numId="56">
    <w:abstractNumId w:val="52"/>
  </w:num>
  <w:num w:numId="57">
    <w:abstractNumId w:val="51"/>
  </w:num>
  <w:num w:numId="58">
    <w:abstractNumId w:val="24"/>
  </w:num>
  <w:num w:numId="59">
    <w:abstractNumId w:val="25"/>
  </w:num>
  <w:num w:numId="60">
    <w:abstractNumId w:val="65"/>
  </w:num>
  <w:num w:numId="61">
    <w:abstractNumId w:val="11"/>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num>
  <w:num w:numId="71">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o:colormru v:ext="edit" colors="#e501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47"/>
    <w:rsid w:val="00002222"/>
    <w:rsid w:val="000112B9"/>
    <w:rsid w:val="00012458"/>
    <w:rsid w:val="00013BF9"/>
    <w:rsid w:val="00014218"/>
    <w:rsid w:val="00020638"/>
    <w:rsid w:val="000211C4"/>
    <w:rsid w:val="00027FEC"/>
    <w:rsid w:val="00031A5F"/>
    <w:rsid w:val="0004107C"/>
    <w:rsid w:val="000417CE"/>
    <w:rsid w:val="00043EA5"/>
    <w:rsid w:val="00050AB2"/>
    <w:rsid w:val="00057529"/>
    <w:rsid w:val="00057AA7"/>
    <w:rsid w:val="00065EC1"/>
    <w:rsid w:val="00073BC4"/>
    <w:rsid w:val="00082404"/>
    <w:rsid w:val="000961E7"/>
    <w:rsid w:val="00097CC4"/>
    <w:rsid w:val="000A0434"/>
    <w:rsid w:val="000A1833"/>
    <w:rsid w:val="000B54EB"/>
    <w:rsid w:val="000C137C"/>
    <w:rsid w:val="000D0F37"/>
    <w:rsid w:val="000D68CF"/>
    <w:rsid w:val="000D6C0F"/>
    <w:rsid w:val="000E47CD"/>
    <w:rsid w:val="000E4D2E"/>
    <w:rsid w:val="000F25A6"/>
    <w:rsid w:val="00102349"/>
    <w:rsid w:val="001061E1"/>
    <w:rsid w:val="001162CF"/>
    <w:rsid w:val="0012042D"/>
    <w:rsid w:val="00132971"/>
    <w:rsid w:val="00134568"/>
    <w:rsid w:val="00142FA3"/>
    <w:rsid w:val="00144A1C"/>
    <w:rsid w:val="00144FCC"/>
    <w:rsid w:val="001462E1"/>
    <w:rsid w:val="00146E62"/>
    <w:rsid w:val="0015297B"/>
    <w:rsid w:val="0016432A"/>
    <w:rsid w:val="00164E0C"/>
    <w:rsid w:val="00171F3D"/>
    <w:rsid w:val="00182FE6"/>
    <w:rsid w:val="00183EB9"/>
    <w:rsid w:val="00187E70"/>
    <w:rsid w:val="00192778"/>
    <w:rsid w:val="00196FF9"/>
    <w:rsid w:val="001A293D"/>
    <w:rsid w:val="001A7B0F"/>
    <w:rsid w:val="001B55A5"/>
    <w:rsid w:val="001C1B0E"/>
    <w:rsid w:val="001C2E44"/>
    <w:rsid w:val="001D6963"/>
    <w:rsid w:val="001E5205"/>
    <w:rsid w:val="001E6F51"/>
    <w:rsid w:val="001F4FCE"/>
    <w:rsid w:val="001F7F3E"/>
    <w:rsid w:val="002028B0"/>
    <w:rsid w:val="00207B2E"/>
    <w:rsid w:val="00216848"/>
    <w:rsid w:val="00217B75"/>
    <w:rsid w:val="002265EC"/>
    <w:rsid w:val="0022665D"/>
    <w:rsid w:val="00231B74"/>
    <w:rsid w:val="00234DFC"/>
    <w:rsid w:val="00242335"/>
    <w:rsid w:val="00250698"/>
    <w:rsid w:val="00253325"/>
    <w:rsid w:val="00272F11"/>
    <w:rsid w:val="00281D2B"/>
    <w:rsid w:val="00290B57"/>
    <w:rsid w:val="0029792E"/>
    <w:rsid w:val="002B1DC0"/>
    <w:rsid w:val="002B2EE7"/>
    <w:rsid w:val="002B473E"/>
    <w:rsid w:val="002B7E7F"/>
    <w:rsid w:val="002C0920"/>
    <w:rsid w:val="002C0F56"/>
    <w:rsid w:val="002C21C1"/>
    <w:rsid w:val="002C6BE7"/>
    <w:rsid w:val="002C7206"/>
    <w:rsid w:val="002D191B"/>
    <w:rsid w:val="002D4217"/>
    <w:rsid w:val="002E1A89"/>
    <w:rsid w:val="002F1396"/>
    <w:rsid w:val="002F6A18"/>
    <w:rsid w:val="0030156F"/>
    <w:rsid w:val="003042EF"/>
    <w:rsid w:val="003052B0"/>
    <w:rsid w:val="00307054"/>
    <w:rsid w:val="00311935"/>
    <w:rsid w:val="00312CCF"/>
    <w:rsid w:val="003131A7"/>
    <w:rsid w:val="00320AB1"/>
    <w:rsid w:val="00325887"/>
    <w:rsid w:val="003303BA"/>
    <w:rsid w:val="00343454"/>
    <w:rsid w:val="00344128"/>
    <w:rsid w:val="00344500"/>
    <w:rsid w:val="00350DC5"/>
    <w:rsid w:val="00364D81"/>
    <w:rsid w:val="003673F4"/>
    <w:rsid w:val="003719F8"/>
    <w:rsid w:val="00377B21"/>
    <w:rsid w:val="003879C8"/>
    <w:rsid w:val="00387EFF"/>
    <w:rsid w:val="00391477"/>
    <w:rsid w:val="00391C16"/>
    <w:rsid w:val="00394F96"/>
    <w:rsid w:val="00395ED6"/>
    <w:rsid w:val="003A6859"/>
    <w:rsid w:val="003C3128"/>
    <w:rsid w:val="003C5755"/>
    <w:rsid w:val="003D4FB2"/>
    <w:rsid w:val="003D5081"/>
    <w:rsid w:val="003D6B4B"/>
    <w:rsid w:val="003E2A70"/>
    <w:rsid w:val="003E2EAF"/>
    <w:rsid w:val="003F357F"/>
    <w:rsid w:val="003F59C4"/>
    <w:rsid w:val="003F5F18"/>
    <w:rsid w:val="004002AE"/>
    <w:rsid w:val="004040D3"/>
    <w:rsid w:val="00411FDE"/>
    <w:rsid w:val="00422B5D"/>
    <w:rsid w:val="00427072"/>
    <w:rsid w:val="0043231D"/>
    <w:rsid w:val="00435CE5"/>
    <w:rsid w:val="00436D72"/>
    <w:rsid w:val="00453E1B"/>
    <w:rsid w:val="00457895"/>
    <w:rsid w:val="004610AE"/>
    <w:rsid w:val="004664E1"/>
    <w:rsid w:val="00466E63"/>
    <w:rsid w:val="004773AD"/>
    <w:rsid w:val="00477CDD"/>
    <w:rsid w:val="004A0459"/>
    <w:rsid w:val="004A5318"/>
    <w:rsid w:val="004A78C6"/>
    <w:rsid w:val="004B0B93"/>
    <w:rsid w:val="004B48B3"/>
    <w:rsid w:val="004B752B"/>
    <w:rsid w:val="004C118A"/>
    <w:rsid w:val="004C34CF"/>
    <w:rsid w:val="004C547D"/>
    <w:rsid w:val="004C61AA"/>
    <w:rsid w:val="004D48C3"/>
    <w:rsid w:val="004D5BED"/>
    <w:rsid w:val="004E751A"/>
    <w:rsid w:val="004F5016"/>
    <w:rsid w:val="00500DEB"/>
    <w:rsid w:val="00500F77"/>
    <w:rsid w:val="00507869"/>
    <w:rsid w:val="00507897"/>
    <w:rsid w:val="005166DA"/>
    <w:rsid w:val="0052123D"/>
    <w:rsid w:val="005351C3"/>
    <w:rsid w:val="0054166A"/>
    <w:rsid w:val="00542F40"/>
    <w:rsid w:val="00543614"/>
    <w:rsid w:val="00545ACF"/>
    <w:rsid w:val="0054784F"/>
    <w:rsid w:val="00550625"/>
    <w:rsid w:val="00557B20"/>
    <w:rsid w:val="00565826"/>
    <w:rsid w:val="00577D7A"/>
    <w:rsid w:val="005912AF"/>
    <w:rsid w:val="00593DD6"/>
    <w:rsid w:val="00594227"/>
    <w:rsid w:val="0059466E"/>
    <w:rsid w:val="005A4CB8"/>
    <w:rsid w:val="005B2547"/>
    <w:rsid w:val="005B5DEA"/>
    <w:rsid w:val="005C2070"/>
    <w:rsid w:val="005C3363"/>
    <w:rsid w:val="005D0292"/>
    <w:rsid w:val="005D0DEA"/>
    <w:rsid w:val="005D33DD"/>
    <w:rsid w:val="005E1770"/>
    <w:rsid w:val="005E489C"/>
    <w:rsid w:val="005E58CC"/>
    <w:rsid w:val="005E7B6A"/>
    <w:rsid w:val="005F0B96"/>
    <w:rsid w:val="005F6931"/>
    <w:rsid w:val="0060007A"/>
    <w:rsid w:val="00600090"/>
    <w:rsid w:val="00602431"/>
    <w:rsid w:val="00616CEC"/>
    <w:rsid w:val="00621085"/>
    <w:rsid w:val="00621E6F"/>
    <w:rsid w:val="00627A67"/>
    <w:rsid w:val="00637766"/>
    <w:rsid w:val="0064353C"/>
    <w:rsid w:val="006454E8"/>
    <w:rsid w:val="00652572"/>
    <w:rsid w:val="00654004"/>
    <w:rsid w:val="00654AF8"/>
    <w:rsid w:val="00657951"/>
    <w:rsid w:val="0066293C"/>
    <w:rsid w:val="006843D0"/>
    <w:rsid w:val="00696836"/>
    <w:rsid w:val="006A2422"/>
    <w:rsid w:val="006A5474"/>
    <w:rsid w:val="006B59C8"/>
    <w:rsid w:val="006C2B1F"/>
    <w:rsid w:val="006C45C9"/>
    <w:rsid w:val="006C59C8"/>
    <w:rsid w:val="006D362C"/>
    <w:rsid w:val="006E683D"/>
    <w:rsid w:val="006E7F54"/>
    <w:rsid w:val="006F1722"/>
    <w:rsid w:val="006F1A19"/>
    <w:rsid w:val="006F348F"/>
    <w:rsid w:val="00706CA3"/>
    <w:rsid w:val="00710BB7"/>
    <w:rsid w:val="00715258"/>
    <w:rsid w:val="00722066"/>
    <w:rsid w:val="00722D2A"/>
    <w:rsid w:val="00732930"/>
    <w:rsid w:val="0074004D"/>
    <w:rsid w:val="0075034E"/>
    <w:rsid w:val="00755D16"/>
    <w:rsid w:val="00757684"/>
    <w:rsid w:val="00763CB3"/>
    <w:rsid w:val="007714F9"/>
    <w:rsid w:val="00786C31"/>
    <w:rsid w:val="007967D9"/>
    <w:rsid w:val="007A03A6"/>
    <w:rsid w:val="007A1A13"/>
    <w:rsid w:val="007B1665"/>
    <w:rsid w:val="007B3674"/>
    <w:rsid w:val="007C7C0A"/>
    <w:rsid w:val="007D63DB"/>
    <w:rsid w:val="007D64DD"/>
    <w:rsid w:val="007E07ED"/>
    <w:rsid w:val="007F08BA"/>
    <w:rsid w:val="00800000"/>
    <w:rsid w:val="00806395"/>
    <w:rsid w:val="00810735"/>
    <w:rsid w:val="008134B3"/>
    <w:rsid w:val="00820EE0"/>
    <w:rsid w:val="00832F68"/>
    <w:rsid w:val="00851F36"/>
    <w:rsid w:val="00852BE0"/>
    <w:rsid w:val="00853115"/>
    <w:rsid w:val="00853862"/>
    <w:rsid w:val="00854273"/>
    <w:rsid w:val="00860E4A"/>
    <w:rsid w:val="008614D1"/>
    <w:rsid w:val="008623FB"/>
    <w:rsid w:val="0086303C"/>
    <w:rsid w:val="008657FB"/>
    <w:rsid w:val="00872874"/>
    <w:rsid w:val="00873229"/>
    <w:rsid w:val="00890E05"/>
    <w:rsid w:val="00892476"/>
    <w:rsid w:val="00892D4B"/>
    <w:rsid w:val="00894ACB"/>
    <w:rsid w:val="008A4588"/>
    <w:rsid w:val="008A5CC7"/>
    <w:rsid w:val="008B6E73"/>
    <w:rsid w:val="008B7A9A"/>
    <w:rsid w:val="008E1E07"/>
    <w:rsid w:val="00902597"/>
    <w:rsid w:val="0090595C"/>
    <w:rsid w:val="0091473E"/>
    <w:rsid w:val="00917F73"/>
    <w:rsid w:val="00921043"/>
    <w:rsid w:val="00921A77"/>
    <w:rsid w:val="00922E67"/>
    <w:rsid w:val="00926E19"/>
    <w:rsid w:val="00927D1D"/>
    <w:rsid w:val="00930AD5"/>
    <w:rsid w:val="0093335E"/>
    <w:rsid w:val="0093619A"/>
    <w:rsid w:val="009373BD"/>
    <w:rsid w:val="009518E0"/>
    <w:rsid w:val="00962139"/>
    <w:rsid w:val="00971D66"/>
    <w:rsid w:val="00975B5C"/>
    <w:rsid w:val="009773DA"/>
    <w:rsid w:val="0098047B"/>
    <w:rsid w:val="00981C67"/>
    <w:rsid w:val="00985D3E"/>
    <w:rsid w:val="009B6E81"/>
    <w:rsid w:val="009C29B9"/>
    <w:rsid w:val="009C49D6"/>
    <w:rsid w:val="009C55A4"/>
    <w:rsid w:val="009E0603"/>
    <w:rsid w:val="009E36C4"/>
    <w:rsid w:val="009F0BCB"/>
    <w:rsid w:val="009F10B9"/>
    <w:rsid w:val="009F161E"/>
    <w:rsid w:val="009F1E3D"/>
    <w:rsid w:val="009F7845"/>
    <w:rsid w:val="00A018E6"/>
    <w:rsid w:val="00A11D1F"/>
    <w:rsid w:val="00A150CC"/>
    <w:rsid w:val="00A20C66"/>
    <w:rsid w:val="00A22CB9"/>
    <w:rsid w:val="00A342DD"/>
    <w:rsid w:val="00A35658"/>
    <w:rsid w:val="00A46F87"/>
    <w:rsid w:val="00A50986"/>
    <w:rsid w:val="00A56304"/>
    <w:rsid w:val="00A66896"/>
    <w:rsid w:val="00A94C82"/>
    <w:rsid w:val="00AA2A19"/>
    <w:rsid w:val="00AA6E02"/>
    <w:rsid w:val="00AA7739"/>
    <w:rsid w:val="00AD30CA"/>
    <w:rsid w:val="00AE1E0D"/>
    <w:rsid w:val="00AE3F33"/>
    <w:rsid w:val="00AF1D78"/>
    <w:rsid w:val="00AF26FA"/>
    <w:rsid w:val="00B02A85"/>
    <w:rsid w:val="00B10884"/>
    <w:rsid w:val="00B32F7A"/>
    <w:rsid w:val="00B37D5B"/>
    <w:rsid w:val="00B60C16"/>
    <w:rsid w:val="00B62608"/>
    <w:rsid w:val="00B6553F"/>
    <w:rsid w:val="00B765B7"/>
    <w:rsid w:val="00B855F0"/>
    <w:rsid w:val="00B90D08"/>
    <w:rsid w:val="00B90D66"/>
    <w:rsid w:val="00B97034"/>
    <w:rsid w:val="00BA0DDD"/>
    <w:rsid w:val="00BA22C6"/>
    <w:rsid w:val="00BA3AA0"/>
    <w:rsid w:val="00BA738B"/>
    <w:rsid w:val="00BB3E9A"/>
    <w:rsid w:val="00BC37D5"/>
    <w:rsid w:val="00BC71A8"/>
    <w:rsid w:val="00BD2AE5"/>
    <w:rsid w:val="00BD45A0"/>
    <w:rsid w:val="00BD4B03"/>
    <w:rsid w:val="00BE3BCB"/>
    <w:rsid w:val="00BE56A0"/>
    <w:rsid w:val="00BF0056"/>
    <w:rsid w:val="00BF2F49"/>
    <w:rsid w:val="00BF4F4F"/>
    <w:rsid w:val="00BF6F19"/>
    <w:rsid w:val="00C3462E"/>
    <w:rsid w:val="00C34D80"/>
    <w:rsid w:val="00C353E4"/>
    <w:rsid w:val="00C41191"/>
    <w:rsid w:val="00C519E3"/>
    <w:rsid w:val="00C5287A"/>
    <w:rsid w:val="00C54B63"/>
    <w:rsid w:val="00C54BEB"/>
    <w:rsid w:val="00C655DE"/>
    <w:rsid w:val="00C67C9C"/>
    <w:rsid w:val="00C94EA6"/>
    <w:rsid w:val="00C962EE"/>
    <w:rsid w:val="00C9654F"/>
    <w:rsid w:val="00CC1443"/>
    <w:rsid w:val="00CC6E29"/>
    <w:rsid w:val="00CD1806"/>
    <w:rsid w:val="00CE3637"/>
    <w:rsid w:val="00CF26AF"/>
    <w:rsid w:val="00CF585C"/>
    <w:rsid w:val="00CF6D50"/>
    <w:rsid w:val="00D03FCD"/>
    <w:rsid w:val="00D04233"/>
    <w:rsid w:val="00D06626"/>
    <w:rsid w:val="00D07291"/>
    <w:rsid w:val="00D136BB"/>
    <w:rsid w:val="00D14156"/>
    <w:rsid w:val="00D148EC"/>
    <w:rsid w:val="00D303DA"/>
    <w:rsid w:val="00D337FF"/>
    <w:rsid w:val="00D35402"/>
    <w:rsid w:val="00D360C1"/>
    <w:rsid w:val="00D46B71"/>
    <w:rsid w:val="00D532E8"/>
    <w:rsid w:val="00D657A4"/>
    <w:rsid w:val="00D7121B"/>
    <w:rsid w:val="00D73936"/>
    <w:rsid w:val="00D86383"/>
    <w:rsid w:val="00D91EFF"/>
    <w:rsid w:val="00D96757"/>
    <w:rsid w:val="00DA332B"/>
    <w:rsid w:val="00DA479D"/>
    <w:rsid w:val="00DB6F5B"/>
    <w:rsid w:val="00DB7DA3"/>
    <w:rsid w:val="00DC1143"/>
    <w:rsid w:val="00DC19DA"/>
    <w:rsid w:val="00DD2C78"/>
    <w:rsid w:val="00DD4FB0"/>
    <w:rsid w:val="00DD5969"/>
    <w:rsid w:val="00DE63DA"/>
    <w:rsid w:val="00DF0143"/>
    <w:rsid w:val="00DF375A"/>
    <w:rsid w:val="00E012B2"/>
    <w:rsid w:val="00E02102"/>
    <w:rsid w:val="00E03325"/>
    <w:rsid w:val="00E12DE3"/>
    <w:rsid w:val="00E12FF7"/>
    <w:rsid w:val="00E14CC0"/>
    <w:rsid w:val="00E262AD"/>
    <w:rsid w:val="00E304B5"/>
    <w:rsid w:val="00E34F44"/>
    <w:rsid w:val="00E362DC"/>
    <w:rsid w:val="00E37847"/>
    <w:rsid w:val="00E66C4F"/>
    <w:rsid w:val="00E75AE9"/>
    <w:rsid w:val="00E763DB"/>
    <w:rsid w:val="00E94D03"/>
    <w:rsid w:val="00E962FA"/>
    <w:rsid w:val="00E96B3A"/>
    <w:rsid w:val="00EA0293"/>
    <w:rsid w:val="00EA1F6C"/>
    <w:rsid w:val="00EA291F"/>
    <w:rsid w:val="00EA2977"/>
    <w:rsid w:val="00EA29E7"/>
    <w:rsid w:val="00EA598A"/>
    <w:rsid w:val="00EA72C0"/>
    <w:rsid w:val="00EA72D3"/>
    <w:rsid w:val="00EB06C1"/>
    <w:rsid w:val="00EB7481"/>
    <w:rsid w:val="00EC01AA"/>
    <w:rsid w:val="00ED5945"/>
    <w:rsid w:val="00ED61A6"/>
    <w:rsid w:val="00EE480A"/>
    <w:rsid w:val="00EE7DDE"/>
    <w:rsid w:val="00F030C2"/>
    <w:rsid w:val="00F0337A"/>
    <w:rsid w:val="00F12C31"/>
    <w:rsid w:val="00F30080"/>
    <w:rsid w:val="00F30648"/>
    <w:rsid w:val="00F32126"/>
    <w:rsid w:val="00F43927"/>
    <w:rsid w:val="00F47FDB"/>
    <w:rsid w:val="00F53D72"/>
    <w:rsid w:val="00F6513B"/>
    <w:rsid w:val="00F7095D"/>
    <w:rsid w:val="00F72F3E"/>
    <w:rsid w:val="00F75A40"/>
    <w:rsid w:val="00F82C49"/>
    <w:rsid w:val="00F90933"/>
    <w:rsid w:val="00F9332F"/>
    <w:rsid w:val="00FA5E49"/>
    <w:rsid w:val="00FA640A"/>
    <w:rsid w:val="00FA651F"/>
    <w:rsid w:val="00FB082A"/>
    <w:rsid w:val="00FB16AF"/>
    <w:rsid w:val="00FB193A"/>
    <w:rsid w:val="00FB2788"/>
    <w:rsid w:val="00FC07E5"/>
    <w:rsid w:val="00FC3BC3"/>
    <w:rsid w:val="00FD0FD4"/>
    <w:rsid w:val="00FD1215"/>
    <w:rsid w:val="00FD15F0"/>
    <w:rsid w:val="00FD3FED"/>
    <w:rsid w:val="00FD4974"/>
    <w:rsid w:val="00FD57B1"/>
    <w:rsid w:val="00FD657B"/>
    <w:rsid w:val="00FE0009"/>
    <w:rsid w:val="00FE0365"/>
    <w:rsid w:val="00FE1AEE"/>
    <w:rsid w:val="00FE4F5F"/>
    <w:rsid w:val="00FE6B87"/>
    <w:rsid w:val="00FF1791"/>
    <w:rsid w:val="00FF6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e50163"/>
    </o:shapedefaults>
    <o:shapelayout v:ext="edit">
      <o:idmap v:ext="edit" data="1"/>
    </o:shapelayout>
  </w:shapeDefaults>
  <w:decimalSymbol w:val="."/>
  <w:listSeparator w:val=","/>
  <w14:docId w14:val="7B70F48D"/>
  <w15:docId w15:val="{9D89AB8A-F69F-402E-A16E-ED3B607C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962139"/>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BodyText"/>
    <w:next w:val="BodyText"/>
    <w:link w:val="Heading2Char"/>
    <w:autoRedefine/>
    <w:uiPriority w:val="9"/>
    <w:qFormat/>
    <w:rsid w:val="00A56304"/>
    <w:pPr>
      <w:keepNext/>
      <w:keepLines/>
      <w:numPr>
        <w:ilvl w:val="1"/>
        <w:numId w:val="2"/>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outlineLvl w:val="1"/>
    </w:pPr>
    <w:rPr>
      <w:rFonts w:asciiTheme="majorHAnsi" w:hAnsiTheme="majorHAnsi"/>
      <w:b/>
      <w:iCs/>
      <w:color w:val="95B3D7" w:themeColor="accent1" w:themeTint="99"/>
      <w:sz w:val="32"/>
      <w:szCs w:val="32"/>
      <w:lang w:val="es-ES"/>
    </w:rPr>
  </w:style>
  <w:style w:type="paragraph" w:styleId="Heading3">
    <w:name w:val="heading 3"/>
    <w:basedOn w:val="BodyText"/>
    <w:next w:val="BodyText"/>
    <w:link w:val="Heading3Char"/>
    <w:uiPriority w:val="9"/>
    <w:qFormat/>
    <w:rsid w:val="00715258"/>
    <w:pPr>
      <w:keepNext/>
      <w:keepLines/>
      <w:numPr>
        <w:ilvl w:val="2"/>
        <w:numId w:val="1"/>
      </w:numPr>
      <w:tabs>
        <w:tab w:val="num" w:pos="720"/>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outlineLvl w:val="2"/>
    </w:pPr>
    <w:rPr>
      <w:b/>
      <w:bCs/>
      <w:szCs w:val="26"/>
    </w:rPr>
  </w:style>
  <w:style w:type="paragraph" w:styleId="Heading4">
    <w:name w:val="heading 4"/>
    <w:basedOn w:val="BodyText"/>
    <w:next w:val="BodyText"/>
    <w:link w:val="Heading4Char"/>
    <w:uiPriority w:val="9"/>
    <w:qFormat/>
    <w:rsid w:val="00715258"/>
    <w:pPr>
      <w:numPr>
        <w:ilvl w:val="3"/>
        <w:numId w:val="1"/>
      </w:numPr>
      <w:tabs>
        <w:tab w:val="left" w:pos="567"/>
        <w:tab w:val="left" w:pos="1134"/>
        <w:tab w:val="left" w:leader="underscore"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left"/>
      <w:outlineLvl w:val="3"/>
    </w:pPr>
    <w:rPr>
      <w:bCs/>
      <w:i/>
      <w:szCs w:val="28"/>
    </w:rPr>
  </w:style>
  <w:style w:type="paragraph" w:styleId="Heading5">
    <w:name w:val="heading 5"/>
    <w:basedOn w:val="Normal"/>
    <w:next w:val="Normal"/>
    <w:link w:val="Heading5Char"/>
    <w:uiPriority w:val="9"/>
    <w:qFormat/>
    <w:rsid w:val="00043EA5"/>
    <w:pPr>
      <w:overflowPunct w:val="0"/>
      <w:autoSpaceDE w:val="0"/>
      <w:autoSpaceDN w:val="0"/>
      <w:adjustRightInd w:val="0"/>
      <w:spacing w:before="240" w:after="60" w:line="240" w:lineRule="auto"/>
      <w:jc w:val="both"/>
      <w:textAlignment w:val="baseline"/>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
    <w:qFormat/>
    <w:rsid w:val="00043EA5"/>
    <w:pPr>
      <w:overflowPunct w:val="0"/>
      <w:autoSpaceDE w:val="0"/>
      <w:autoSpaceDN w:val="0"/>
      <w:adjustRightInd w:val="0"/>
      <w:spacing w:before="240" w:after="60" w:line="240" w:lineRule="auto"/>
      <w:jc w:val="both"/>
      <w:textAlignment w:val="baseline"/>
      <w:outlineLvl w:val="5"/>
    </w:pPr>
    <w:rPr>
      <w:rFonts w:ascii="Times New Roman" w:eastAsia="Times New Roman" w:hAnsi="Times New Roman" w:cs="Times New Roman"/>
      <w:b/>
      <w:bCs/>
      <w:sz w:val="24"/>
      <w:lang w:val="en-GB"/>
    </w:rPr>
  </w:style>
  <w:style w:type="paragraph" w:styleId="Heading7">
    <w:name w:val="heading 7"/>
    <w:basedOn w:val="Normal"/>
    <w:next w:val="Normal"/>
    <w:link w:val="Heading7Char"/>
    <w:uiPriority w:val="9"/>
    <w:qFormat/>
    <w:rsid w:val="00043EA5"/>
    <w:pPr>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
    <w:qFormat/>
    <w:rsid w:val="00043EA5"/>
    <w:pPr>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
    <w:qFormat/>
    <w:rsid w:val="00043EA5"/>
    <w:p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139"/>
    <w:rPr>
      <w:rFonts w:asciiTheme="majorHAnsi" w:eastAsiaTheme="majorEastAsia" w:hAnsiTheme="majorHAnsi" w:cstheme="majorBidi"/>
      <w:color w:val="365F91" w:themeColor="accent1" w:themeShade="BF"/>
      <w:sz w:val="32"/>
      <w:szCs w:val="32"/>
      <w:lang w:val="es-ES_tradnl"/>
    </w:rPr>
  </w:style>
  <w:style w:type="paragraph" w:styleId="BodyText">
    <w:name w:val="Body Text"/>
    <w:link w:val="BodyTextChar"/>
    <w:qFormat/>
    <w:rsid w:val="00715258"/>
    <w:pPr>
      <w:spacing w:after="24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715258"/>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rsid w:val="00A56304"/>
    <w:rPr>
      <w:rFonts w:asciiTheme="majorHAnsi" w:eastAsia="Times New Roman" w:hAnsiTheme="majorHAnsi" w:cs="Times New Roman"/>
      <w:b/>
      <w:iCs/>
      <w:color w:val="95B3D7" w:themeColor="accent1" w:themeTint="99"/>
      <w:sz w:val="32"/>
      <w:szCs w:val="32"/>
      <w:lang w:val="es-ES"/>
    </w:rPr>
  </w:style>
  <w:style w:type="character" w:customStyle="1" w:styleId="Heading3Char">
    <w:name w:val="Heading 3 Char"/>
    <w:basedOn w:val="DefaultParagraphFont"/>
    <w:link w:val="Heading3"/>
    <w:uiPriority w:val="9"/>
    <w:rsid w:val="00715258"/>
    <w:rPr>
      <w:rFonts w:ascii="Times New Roman" w:eastAsia="Times New Roman" w:hAnsi="Times New Roman" w:cs="Times New Roman"/>
      <w:b/>
      <w:bCs/>
      <w:sz w:val="24"/>
      <w:szCs w:val="26"/>
      <w:lang w:val="en-US"/>
    </w:rPr>
  </w:style>
  <w:style w:type="character" w:customStyle="1" w:styleId="Heading4Char">
    <w:name w:val="Heading 4 Char"/>
    <w:basedOn w:val="DefaultParagraphFont"/>
    <w:link w:val="Heading4"/>
    <w:uiPriority w:val="9"/>
    <w:rsid w:val="00715258"/>
    <w:rPr>
      <w:rFonts w:ascii="Times New Roman" w:eastAsia="Times New Roman" w:hAnsi="Times New Roman" w:cs="Times New Roman"/>
      <w:bCs/>
      <w:i/>
      <w:sz w:val="24"/>
      <w:szCs w:val="28"/>
      <w:lang w:val="en-US"/>
    </w:rPr>
  </w:style>
  <w:style w:type="character" w:customStyle="1" w:styleId="Heading5Char">
    <w:name w:val="Heading 5 Char"/>
    <w:basedOn w:val="DefaultParagraphFont"/>
    <w:link w:val="Heading5"/>
    <w:uiPriority w:val="9"/>
    <w:rsid w:val="00043EA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
    <w:rsid w:val="00043EA5"/>
    <w:rPr>
      <w:rFonts w:ascii="Times New Roman" w:eastAsia="Times New Roman" w:hAnsi="Times New Roman" w:cs="Times New Roman"/>
      <w:b/>
      <w:bCs/>
      <w:sz w:val="24"/>
      <w:lang w:val="en-GB"/>
    </w:rPr>
  </w:style>
  <w:style w:type="character" w:customStyle="1" w:styleId="Heading7Char">
    <w:name w:val="Heading 7 Char"/>
    <w:basedOn w:val="DefaultParagraphFont"/>
    <w:link w:val="Heading7"/>
    <w:uiPriority w:val="9"/>
    <w:rsid w:val="00043EA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rsid w:val="00043EA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sid w:val="00043EA5"/>
    <w:rPr>
      <w:rFonts w:ascii="Arial" w:eastAsia="Times New Roman" w:hAnsi="Arial" w:cs="Times New Roman"/>
      <w:sz w:val="24"/>
      <w:lang w:val="en-GB"/>
    </w:rPr>
  </w:style>
  <w:style w:type="paragraph" w:styleId="BalloonText">
    <w:name w:val="Balloon Text"/>
    <w:basedOn w:val="Normal"/>
    <w:link w:val="BalloonTextChar"/>
    <w:unhideWhenUsed/>
    <w:rsid w:val="00C96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962EE"/>
    <w:rPr>
      <w:rFonts w:ascii="Tahoma" w:hAnsi="Tahoma" w:cs="Tahoma"/>
      <w:sz w:val="16"/>
      <w:szCs w:val="16"/>
    </w:rPr>
  </w:style>
  <w:style w:type="paragraph" w:styleId="NormalWeb">
    <w:name w:val="Normal (Web)"/>
    <w:basedOn w:val="Normal"/>
    <w:uiPriority w:val="99"/>
    <w:unhideWhenUsed/>
    <w:rsid w:val="00BD2A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DefaultParagraphFont"/>
    <w:rsid w:val="00BD2AE5"/>
  </w:style>
  <w:style w:type="character" w:styleId="Strong">
    <w:name w:val="Strong"/>
    <w:basedOn w:val="DefaultParagraphFont"/>
    <w:uiPriority w:val="22"/>
    <w:qFormat/>
    <w:rsid w:val="00BD2AE5"/>
    <w:rPr>
      <w:b/>
      <w:bCs/>
    </w:rPr>
  </w:style>
  <w:style w:type="paragraph" w:styleId="ListParagraph">
    <w:name w:val="List Paragraph"/>
    <w:basedOn w:val="Normal"/>
    <w:uiPriority w:val="34"/>
    <w:qFormat/>
    <w:rsid w:val="00962139"/>
    <w:pPr>
      <w:spacing w:after="160" w:line="259" w:lineRule="auto"/>
      <w:ind w:left="720"/>
      <w:contextualSpacing/>
    </w:pPr>
  </w:style>
  <w:style w:type="paragraph" w:styleId="FootnoteText">
    <w:name w:val="footnote text"/>
    <w:basedOn w:val="Normal"/>
    <w:link w:val="FootnoteTextChar"/>
    <w:unhideWhenUsed/>
    <w:rsid w:val="00962139"/>
    <w:pPr>
      <w:spacing w:after="0" w:line="240" w:lineRule="auto"/>
    </w:pPr>
    <w:rPr>
      <w:sz w:val="20"/>
      <w:szCs w:val="20"/>
    </w:rPr>
  </w:style>
  <w:style w:type="character" w:customStyle="1" w:styleId="FootnoteTextChar">
    <w:name w:val="Footnote Text Char"/>
    <w:basedOn w:val="DefaultParagraphFont"/>
    <w:link w:val="FootnoteText"/>
    <w:rsid w:val="00962139"/>
    <w:rPr>
      <w:sz w:val="20"/>
      <w:szCs w:val="20"/>
    </w:rPr>
  </w:style>
  <w:style w:type="character" w:styleId="FootnoteReference">
    <w:name w:val="footnote reference"/>
    <w:basedOn w:val="DefaultParagraphFont"/>
    <w:unhideWhenUsed/>
    <w:rsid w:val="00962139"/>
    <w:rPr>
      <w:vertAlign w:val="superscript"/>
    </w:rPr>
  </w:style>
  <w:style w:type="paragraph" w:styleId="Header">
    <w:name w:val="header"/>
    <w:basedOn w:val="Normal"/>
    <w:link w:val="HeaderChar"/>
    <w:uiPriority w:val="99"/>
    <w:unhideWhenUsed/>
    <w:rsid w:val="00FE6B87"/>
    <w:pPr>
      <w:tabs>
        <w:tab w:val="center" w:pos="4419"/>
        <w:tab w:val="right" w:pos="8838"/>
      </w:tabs>
      <w:spacing w:after="0" w:line="240" w:lineRule="auto"/>
    </w:pPr>
  </w:style>
  <w:style w:type="character" w:customStyle="1" w:styleId="HeaderChar">
    <w:name w:val="Header Char"/>
    <w:basedOn w:val="DefaultParagraphFont"/>
    <w:link w:val="Header"/>
    <w:uiPriority w:val="99"/>
    <w:rsid w:val="00FE6B87"/>
  </w:style>
  <w:style w:type="paragraph" w:styleId="Footer">
    <w:name w:val="footer"/>
    <w:basedOn w:val="Normal"/>
    <w:link w:val="FooterChar"/>
    <w:uiPriority w:val="99"/>
    <w:unhideWhenUsed/>
    <w:rsid w:val="00FE6B87"/>
    <w:pPr>
      <w:tabs>
        <w:tab w:val="center" w:pos="4419"/>
        <w:tab w:val="right" w:pos="8838"/>
      </w:tabs>
      <w:spacing w:after="0" w:line="240" w:lineRule="auto"/>
    </w:pPr>
  </w:style>
  <w:style w:type="character" w:customStyle="1" w:styleId="FooterChar">
    <w:name w:val="Footer Char"/>
    <w:basedOn w:val="DefaultParagraphFont"/>
    <w:link w:val="Footer"/>
    <w:uiPriority w:val="99"/>
    <w:rsid w:val="00FE6B87"/>
  </w:style>
  <w:style w:type="paragraph" w:styleId="NoSpacing">
    <w:name w:val="No Spacing"/>
    <w:link w:val="NoSpacingChar"/>
    <w:uiPriority w:val="1"/>
    <w:qFormat/>
    <w:rsid w:val="00FE6B87"/>
    <w:pPr>
      <w:spacing w:after="0" w:line="240" w:lineRule="auto"/>
    </w:pPr>
    <w:rPr>
      <w:rFonts w:eastAsiaTheme="minorEastAsia"/>
      <w:lang w:eastAsia="es-MX"/>
    </w:rPr>
  </w:style>
  <w:style w:type="character" w:customStyle="1" w:styleId="NoSpacingChar">
    <w:name w:val="No Spacing Char"/>
    <w:basedOn w:val="DefaultParagraphFont"/>
    <w:link w:val="NoSpacing"/>
    <w:uiPriority w:val="1"/>
    <w:rsid w:val="00FE6B87"/>
    <w:rPr>
      <w:rFonts w:eastAsiaTheme="minorEastAsia"/>
      <w:lang w:eastAsia="es-MX"/>
    </w:rPr>
  </w:style>
  <w:style w:type="table" w:styleId="TableGrid">
    <w:name w:val="Table Grid"/>
    <w:basedOn w:val="TableNormal"/>
    <w:rsid w:val="004C6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11935"/>
  </w:style>
  <w:style w:type="character" w:styleId="Hyperlink">
    <w:name w:val="Hyperlink"/>
    <w:basedOn w:val="DefaultParagraphFont"/>
    <w:uiPriority w:val="99"/>
    <w:unhideWhenUsed/>
    <w:rsid w:val="00311935"/>
    <w:rPr>
      <w:color w:val="0000FF"/>
      <w:u w:val="single"/>
    </w:rPr>
  </w:style>
  <w:style w:type="paragraph" w:styleId="TOC1">
    <w:name w:val="toc 1"/>
    <w:basedOn w:val="BodyText"/>
    <w:next w:val="Normal"/>
    <w:uiPriority w:val="39"/>
    <w:rsid w:val="00715258"/>
    <w:pPr>
      <w:tabs>
        <w:tab w:val="left" w:pos="567"/>
        <w:tab w:val="right" w:leader="dot" w:pos="9072"/>
      </w:tabs>
      <w:overflowPunct w:val="0"/>
      <w:autoSpaceDE w:val="0"/>
      <w:autoSpaceDN w:val="0"/>
      <w:adjustRightInd w:val="0"/>
      <w:spacing w:before="240" w:after="120"/>
      <w:ind w:left="567" w:right="567" w:hanging="567"/>
      <w:jc w:val="left"/>
      <w:textAlignment w:val="baseline"/>
    </w:pPr>
    <w:rPr>
      <w:bCs/>
      <w:iCs/>
      <w:caps/>
      <w:noProof/>
      <w:szCs w:val="28"/>
      <w:lang w:val="en-GB"/>
    </w:rPr>
  </w:style>
  <w:style w:type="paragraph" w:styleId="TOC2">
    <w:name w:val="toc 2"/>
    <w:basedOn w:val="BodyText"/>
    <w:next w:val="BodyText"/>
    <w:uiPriority w:val="39"/>
    <w:rsid w:val="00715258"/>
    <w:pPr>
      <w:tabs>
        <w:tab w:val="left" w:pos="1418"/>
        <w:tab w:val="right" w:leader="dot" w:pos="9072"/>
      </w:tabs>
      <w:overflowPunct w:val="0"/>
      <w:autoSpaceDE w:val="0"/>
      <w:autoSpaceDN w:val="0"/>
      <w:adjustRightInd w:val="0"/>
      <w:spacing w:after="0"/>
      <w:ind w:left="1418" w:right="567" w:hanging="851"/>
      <w:jc w:val="left"/>
      <w:textAlignment w:val="baseline"/>
    </w:pPr>
    <w:rPr>
      <w:bCs/>
      <w:caps/>
      <w:noProof/>
      <w:szCs w:val="26"/>
      <w:lang w:val="en-GB"/>
    </w:rPr>
  </w:style>
  <w:style w:type="paragraph" w:styleId="TOC3">
    <w:name w:val="toc 3"/>
    <w:basedOn w:val="BodyText"/>
    <w:next w:val="BodyText"/>
    <w:uiPriority w:val="39"/>
    <w:rsid w:val="00715258"/>
    <w:pPr>
      <w:tabs>
        <w:tab w:val="left" w:pos="2126"/>
        <w:tab w:val="right" w:leader="dot" w:pos="9072"/>
      </w:tabs>
      <w:overflowPunct w:val="0"/>
      <w:autoSpaceDE w:val="0"/>
      <w:autoSpaceDN w:val="0"/>
      <w:adjustRightInd w:val="0"/>
      <w:spacing w:after="0"/>
      <w:ind w:left="2127" w:right="567" w:hanging="709"/>
      <w:jc w:val="left"/>
      <w:textAlignment w:val="baseline"/>
    </w:pPr>
    <w:rPr>
      <w:noProof/>
      <w:szCs w:val="24"/>
      <w:lang w:val="en-GB"/>
    </w:rPr>
  </w:style>
  <w:style w:type="paragraph" w:customStyle="1" w:styleId="zyxP1Footer">
    <w:name w:val="zyxP1_Footer"/>
    <w:basedOn w:val="Normal"/>
    <w:rsid w:val="00715258"/>
    <w:pPr>
      <w:widowControl w:val="0"/>
      <w:overflowPunct w:val="0"/>
      <w:autoSpaceDE w:val="0"/>
      <w:autoSpaceDN w:val="0"/>
      <w:adjustRightInd w:val="0"/>
      <w:spacing w:after="0" w:line="160" w:lineRule="exact"/>
      <w:ind w:left="108"/>
      <w:textAlignment w:val="baseline"/>
    </w:pPr>
    <w:rPr>
      <w:rFonts w:ascii="Times New Roman" w:eastAsia="Times New Roman" w:hAnsi="Times New Roman" w:cs="Times New Roman"/>
      <w:sz w:val="14"/>
      <w:szCs w:val="20"/>
      <w:lang w:val="en-GB"/>
    </w:rPr>
  </w:style>
  <w:style w:type="paragraph" w:customStyle="1" w:styleId="zyxCopies">
    <w:name w:val="zyxCopies"/>
    <w:basedOn w:val="zyxP1Footer"/>
    <w:rsid w:val="00715258"/>
    <w:pPr>
      <w:spacing w:line="200" w:lineRule="exact"/>
    </w:pPr>
    <w:rPr>
      <w:sz w:val="18"/>
    </w:rPr>
  </w:style>
  <w:style w:type="character" w:customStyle="1" w:styleId="MenoPendente1">
    <w:name w:val="Menção Pendente1"/>
    <w:basedOn w:val="DefaultParagraphFont"/>
    <w:uiPriority w:val="99"/>
    <w:semiHidden/>
    <w:unhideWhenUsed/>
    <w:rsid w:val="003D6B4B"/>
    <w:rPr>
      <w:color w:val="605E5C"/>
      <w:shd w:val="clear" w:color="auto" w:fill="E1DFDD"/>
    </w:rPr>
  </w:style>
  <w:style w:type="paragraph" w:styleId="Title">
    <w:name w:val="Title"/>
    <w:basedOn w:val="Normal"/>
    <w:next w:val="BodyText"/>
    <w:link w:val="TitleChar"/>
    <w:rsid w:val="003719F8"/>
    <w:pPr>
      <w:overflowPunct w:val="0"/>
      <w:autoSpaceDE w:val="0"/>
      <w:autoSpaceDN w:val="0"/>
      <w:adjustRightInd w:val="0"/>
      <w:spacing w:before="2835" w:after="360" w:line="240" w:lineRule="auto"/>
      <w:jc w:val="right"/>
      <w:textAlignment w:val="baseline"/>
    </w:pPr>
    <w:rPr>
      <w:rFonts w:ascii="Times New Roman" w:eastAsia="Times New Roman" w:hAnsi="Times New Roman" w:cs="Times New Roman"/>
      <w:b/>
      <w:bCs/>
      <w:i/>
      <w:sz w:val="60"/>
      <w:szCs w:val="32"/>
      <w:lang w:val="en-GB"/>
    </w:rPr>
  </w:style>
  <w:style w:type="character" w:customStyle="1" w:styleId="TitleChar">
    <w:name w:val="Title Char"/>
    <w:basedOn w:val="DefaultParagraphFont"/>
    <w:link w:val="Title"/>
    <w:rsid w:val="003719F8"/>
    <w:rPr>
      <w:rFonts w:ascii="Times New Roman" w:eastAsia="Times New Roman" w:hAnsi="Times New Roman" w:cs="Times New Roman"/>
      <w:b/>
      <w:bCs/>
      <w:i/>
      <w:sz w:val="60"/>
      <w:szCs w:val="32"/>
      <w:lang w:val="en-GB"/>
    </w:rPr>
  </w:style>
  <w:style w:type="paragraph" w:styleId="CommentText">
    <w:name w:val="annotation text"/>
    <w:basedOn w:val="Normal"/>
    <w:link w:val="CommentTextChar"/>
    <w:uiPriority w:val="99"/>
    <w:semiHidden/>
    <w:unhideWhenUsed/>
    <w:rsid w:val="00436D72"/>
    <w:pPr>
      <w:spacing w:after="0" w:line="240" w:lineRule="auto"/>
    </w:pPr>
    <w:rPr>
      <w:rFonts w:ascii="Times New Roman" w:eastAsia="Times New Roman" w:hAnsi="Times New Roman" w:cs="Times New Roman"/>
      <w:sz w:val="20"/>
      <w:szCs w:val="20"/>
      <w:lang w:val="es-MX" w:eastAsia="es-ES"/>
    </w:rPr>
  </w:style>
  <w:style w:type="character" w:customStyle="1" w:styleId="CommentTextChar">
    <w:name w:val="Comment Text Char"/>
    <w:basedOn w:val="DefaultParagraphFont"/>
    <w:link w:val="CommentText"/>
    <w:uiPriority w:val="99"/>
    <w:semiHidden/>
    <w:rsid w:val="00436D72"/>
    <w:rPr>
      <w:rFonts w:ascii="Times New Roman" w:eastAsia="Times New Roman" w:hAnsi="Times New Roman" w:cs="Times New Roman"/>
      <w:sz w:val="20"/>
      <w:szCs w:val="20"/>
      <w:lang w:eastAsia="es-ES"/>
    </w:rPr>
  </w:style>
  <w:style w:type="character" w:styleId="CommentReference">
    <w:name w:val="annotation reference"/>
    <w:basedOn w:val="DefaultParagraphFont"/>
    <w:uiPriority w:val="99"/>
    <w:semiHidden/>
    <w:unhideWhenUsed/>
    <w:rsid w:val="00436D72"/>
    <w:rPr>
      <w:sz w:val="16"/>
      <w:szCs w:val="16"/>
    </w:rPr>
  </w:style>
  <w:style w:type="paragraph" w:styleId="BodyTextIndent3">
    <w:name w:val="Body Text Indent 3"/>
    <w:basedOn w:val="Normal"/>
    <w:link w:val="BodyTextIndent3Char"/>
    <w:uiPriority w:val="99"/>
    <w:semiHidden/>
    <w:unhideWhenUsed/>
    <w:rsid w:val="00436D72"/>
    <w:pPr>
      <w:spacing w:after="120" w:line="240" w:lineRule="auto"/>
      <w:ind w:left="283"/>
    </w:pPr>
    <w:rPr>
      <w:rFonts w:ascii="Times New Roman" w:eastAsia="Times New Roman" w:hAnsi="Times New Roman" w:cs="Times New Roman"/>
      <w:sz w:val="16"/>
      <w:szCs w:val="16"/>
      <w:lang w:val="es-MX" w:eastAsia="es-ES"/>
    </w:rPr>
  </w:style>
  <w:style w:type="character" w:customStyle="1" w:styleId="BodyTextIndent3Char">
    <w:name w:val="Body Text Indent 3 Char"/>
    <w:basedOn w:val="DefaultParagraphFont"/>
    <w:link w:val="BodyTextIndent3"/>
    <w:uiPriority w:val="99"/>
    <w:semiHidden/>
    <w:rsid w:val="00436D72"/>
    <w:rPr>
      <w:rFonts w:ascii="Times New Roman" w:eastAsia="Times New Roman" w:hAnsi="Times New Roman" w:cs="Times New Roman"/>
      <w:sz w:val="16"/>
      <w:szCs w:val="16"/>
      <w:lang w:eastAsia="es-ES"/>
    </w:rPr>
  </w:style>
  <w:style w:type="paragraph" w:styleId="BodyText2">
    <w:name w:val="Body Text 2"/>
    <w:basedOn w:val="Normal"/>
    <w:link w:val="BodyText2Char"/>
    <w:uiPriority w:val="99"/>
    <w:semiHidden/>
    <w:unhideWhenUsed/>
    <w:rsid w:val="00436D72"/>
    <w:pPr>
      <w:spacing w:after="120" w:line="480" w:lineRule="auto"/>
    </w:pPr>
    <w:rPr>
      <w:rFonts w:ascii="Times New Roman" w:eastAsia="Times New Roman" w:hAnsi="Times New Roman" w:cs="Times New Roman"/>
      <w:sz w:val="24"/>
      <w:szCs w:val="24"/>
      <w:lang w:val="es-MX" w:eastAsia="es-ES"/>
    </w:rPr>
  </w:style>
  <w:style w:type="character" w:customStyle="1" w:styleId="BodyText2Char">
    <w:name w:val="Body Text 2 Char"/>
    <w:basedOn w:val="DefaultParagraphFont"/>
    <w:link w:val="BodyText2"/>
    <w:uiPriority w:val="99"/>
    <w:semiHidden/>
    <w:rsid w:val="00436D72"/>
    <w:rPr>
      <w:rFonts w:ascii="Times New Roman" w:eastAsia="Times New Roman" w:hAnsi="Times New Roman" w:cs="Times New Roman"/>
      <w:sz w:val="24"/>
      <w:szCs w:val="24"/>
      <w:lang w:eastAsia="es-ES"/>
    </w:rPr>
  </w:style>
  <w:style w:type="paragraph" w:customStyle="1" w:styleId="gmail-msolistparagraph">
    <w:name w:val="gmail-msolistparagraph"/>
    <w:basedOn w:val="Normal"/>
    <w:rsid w:val="00436D7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object">
    <w:name w:val="object"/>
    <w:basedOn w:val="DefaultParagraphFont"/>
    <w:rsid w:val="00436D72"/>
  </w:style>
  <w:style w:type="character" w:styleId="Emphasis">
    <w:name w:val="Emphasis"/>
    <w:basedOn w:val="DefaultParagraphFont"/>
    <w:uiPriority w:val="20"/>
    <w:qFormat/>
    <w:rsid w:val="00436D72"/>
    <w:rPr>
      <w:i/>
      <w:iCs/>
    </w:rPr>
  </w:style>
  <w:style w:type="paragraph" w:styleId="CommentSubject">
    <w:name w:val="annotation subject"/>
    <w:basedOn w:val="CommentText"/>
    <w:next w:val="CommentText"/>
    <w:link w:val="CommentSubjectChar"/>
    <w:uiPriority w:val="99"/>
    <w:semiHidden/>
    <w:unhideWhenUsed/>
    <w:rsid w:val="00853862"/>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53862"/>
    <w:rPr>
      <w:rFonts w:ascii="Times New Roman" w:eastAsia="Times New Roman" w:hAnsi="Times New Roman" w:cs="Times New Roman"/>
      <w:b/>
      <w:bCs/>
      <w:sz w:val="20"/>
      <w:szCs w:val="20"/>
      <w:lang w:eastAsia="es-ES"/>
    </w:rPr>
  </w:style>
  <w:style w:type="character" w:customStyle="1" w:styleId="tlid-translation">
    <w:name w:val="tlid-translation"/>
    <w:basedOn w:val="DefaultParagraphFont"/>
    <w:rsid w:val="00853862"/>
  </w:style>
  <w:style w:type="character" w:customStyle="1" w:styleId="title-text">
    <w:name w:val="title-text"/>
    <w:basedOn w:val="DefaultParagraphFont"/>
    <w:rsid w:val="00853862"/>
  </w:style>
  <w:style w:type="character" w:customStyle="1" w:styleId="article-alt-title">
    <w:name w:val="article-alt-title"/>
    <w:basedOn w:val="DefaultParagraphFont"/>
    <w:rsid w:val="00853862"/>
  </w:style>
  <w:style w:type="paragraph" w:customStyle="1" w:styleId="Default">
    <w:name w:val="Default"/>
    <w:uiPriority w:val="99"/>
    <w:rsid w:val="00853862"/>
    <w:pPr>
      <w:autoSpaceDE w:val="0"/>
      <w:autoSpaceDN w:val="0"/>
      <w:adjustRightInd w:val="0"/>
      <w:spacing w:after="0" w:line="240" w:lineRule="auto"/>
    </w:pPr>
    <w:rPr>
      <w:rFonts w:ascii="Arial" w:eastAsia="Calibri" w:hAnsi="Arial" w:cs="Arial"/>
      <w:color w:val="000000"/>
      <w:sz w:val="24"/>
      <w:szCs w:val="24"/>
      <w:lang w:val="es-AR"/>
    </w:rPr>
  </w:style>
  <w:style w:type="paragraph" w:customStyle="1" w:styleId="IAEATableHeading">
    <w:name w:val="IAEA Table Heading"/>
    <w:basedOn w:val="BodyText"/>
    <w:next w:val="BodyText"/>
    <w:rsid w:val="00853862"/>
    <w:pPr>
      <w:keepNext/>
      <w:keepLines/>
      <w:spacing w:after="120"/>
      <w:jc w:val="left"/>
    </w:pPr>
  </w:style>
  <w:style w:type="paragraph" w:customStyle="1" w:styleId="IAEAEquation">
    <w:name w:val="IAEA Equation"/>
    <w:basedOn w:val="BodyText"/>
    <w:next w:val="BodyText"/>
    <w:rsid w:val="00043EA5"/>
    <w:pPr>
      <w:jc w:val="right"/>
    </w:pPr>
    <w:rPr>
      <w:iCs/>
    </w:rPr>
  </w:style>
  <w:style w:type="paragraph" w:customStyle="1" w:styleId="IAEATableFootnote">
    <w:name w:val="IAEA Table Footnote"/>
    <w:basedOn w:val="BodyText"/>
    <w:next w:val="BodyText"/>
    <w:rsid w:val="00043EA5"/>
    <w:pPr>
      <w:spacing w:before="60" w:after="0"/>
      <w:jc w:val="left"/>
    </w:pPr>
    <w:rPr>
      <w:sz w:val="22"/>
    </w:rPr>
  </w:style>
  <w:style w:type="paragraph" w:customStyle="1" w:styleId="IAEAFigureCaption">
    <w:name w:val="IAEA Figure Caption"/>
    <w:basedOn w:val="BodyText"/>
    <w:next w:val="BodyText"/>
    <w:rsid w:val="00043EA5"/>
    <w:pPr>
      <w:keepNext/>
      <w:keepLines/>
      <w:jc w:val="center"/>
    </w:pPr>
    <w:rPr>
      <w:i/>
      <w:sz w:val="22"/>
    </w:rPr>
  </w:style>
  <w:style w:type="paragraph" w:customStyle="1" w:styleId="IAEAReferenceText">
    <w:name w:val="IAEA Reference Text"/>
    <w:basedOn w:val="BodyText"/>
    <w:next w:val="BodyText"/>
    <w:rsid w:val="00043EA5"/>
    <w:pPr>
      <w:spacing w:after="0"/>
    </w:pPr>
  </w:style>
  <w:style w:type="paragraph" w:customStyle="1" w:styleId="ANEXOHeading1">
    <w:name w:val="ANEXO Heading 1"/>
    <w:basedOn w:val="BodyText"/>
    <w:next w:val="BodyText"/>
    <w:qFormat/>
    <w:rsid w:val="00043EA5"/>
    <w:pPr>
      <w:keepNext/>
      <w:keepLines/>
      <w:pageBreakBefore/>
      <w:numPr>
        <w:numId w:val="19"/>
      </w:numPr>
      <w:tabs>
        <w:tab w:val="clear" w:pos="180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b/>
      <w:caps/>
    </w:rPr>
  </w:style>
  <w:style w:type="paragraph" w:customStyle="1" w:styleId="AnnexHeading2">
    <w:name w:val="Annex Heading 2"/>
    <w:basedOn w:val="BodyText"/>
    <w:next w:val="BodyText"/>
    <w:uiPriority w:val="3"/>
    <w:qFormat/>
    <w:rsid w:val="00043EA5"/>
    <w:pPr>
      <w:keepNext/>
      <w:keepLines/>
      <w:numPr>
        <w:ilvl w:val="1"/>
        <w:numId w:val="19"/>
      </w:numPr>
      <w:tabs>
        <w:tab w:val="clear" w:pos="72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jc w:val="left"/>
    </w:pPr>
    <w:rPr>
      <w:caps/>
    </w:rPr>
  </w:style>
  <w:style w:type="paragraph" w:customStyle="1" w:styleId="AnnexHeading3">
    <w:name w:val="Annex Heading 3"/>
    <w:basedOn w:val="BodyText"/>
    <w:next w:val="BodyText"/>
    <w:uiPriority w:val="3"/>
    <w:qFormat/>
    <w:rsid w:val="00043EA5"/>
    <w:pPr>
      <w:keepNext/>
      <w:keepLines/>
      <w:numPr>
        <w:ilvl w:val="2"/>
        <w:numId w:val="19"/>
      </w:numPr>
      <w:tabs>
        <w:tab w:val="clear" w:pos="720"/>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851"/>
      <w:jc w:val="left"/>
    </w:pPr>
    <w:rPr>
      <w:b/>
    </w:rPr>
  </w:style>
  <w:style w:type="paragraph" w:customStyle="1" w:styleId="AnnexHeading4">
    <w:name w:val="Annex Heading 4"/>
    <w:basedOn w:val="BodyText"/>
    <w:next w:val="BodyText"/>
    <w:uiPriority w:val="3"/>
    <w:qFormat/>
    <w:rsid w:val="00043EA5"/>
    <w:pPr>
      <w:numPr>
        <w:ilvl w:val="3"/>
        <w:numId w:val="19"/>
      </w:numPr>
      <w:tabs>
        <w:tab w:val="clear" w:pos="108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134" w:hanging="1134"/>
      <w:jc w:val="left"/>
    </w:pPr>
    <w:rPr>
      <w:i/>
    </w:rPr>
  </w:style>
  <w:style w:type="paragraph" w:styleId="Subtitle">
    <w:name w:val="Subtitle"/>
    <w:basedOn w:val="Normal"/>
    <w:next w:val="BodyText"/>
    <w:link w:val="SubtitleChar"/>
    <w:rsid w:val="00043EA5"/>
    <w:pPr>
      <w:overflowPunct w:val="0"/>
      <w:autoSpaceDE w:val="0"/>
      <w:autoSpaceDN w:val="0"/>
      <w:adjustRightInd w:val="0"/>
      <w:spacing w:after="240" w:line="240" w:lineRule="auto"/>
      <w:jc w:val="right"/>
      <w:textAlignment w:val="baseline"/>
    </w:pPr>
    <w:rPr>
      <w:rFonts w:ascii="Times New Roman" w:eastAsia="Times New Roman" w:hAnsi="Times New Roman" w:cs="Times New Roman"/>
      <w:b/>
      <w:i/>
      <w:sz w:val="32"/>
      <w:szCs w:val="24"/>
      <w:lang w:val="en-GB"/>
    </w:rPr>
  </w:style>
  <w:style w:type="character" w:customStyle="1" w:styleId="SubtitleChar">
    <w:name w:val="Subtitle Char"/>
    <w:basedOn w:val="DefaultParagraphFont"/>
    <w:link w:val="Subtitle"/>
    <w:rsid w:val="00043EA5"/>
    <w:rPr>
      <w:rFonts w:ascii="Times New Roman" w:eastAsia="Times New Roman" w:hAnsi="Times New Roman" w:cs="Times New Roman"/>
      <w:b/>
      <w:i/>
      <w:sz w:val="32"/>
      <w:szCs w:val="24"/>
      <w:lang w:val="en-GB"/>
    </w:rPr>
  </w:style>
  <w:style w:type="paragraph" w:customStyle="1" w:styleId="Contents">
    <w:name w:val="Contents"/>
    <w:basedOn w:val="BodyText"/>
    <w:next w:val="BodyText"/>
    <w:rsid w:val="00043EA5"/>
    <w:pPr>
      <w:pageBreakBefore/>
      <w:jc w:val="center"/>
    </w:pPr>
    <w:rPr>
      <w:b/>
      <w:caps/>
    </w:rPr>
  </w:style>
  <w:style w:type="paragraph" w:customStyle="1" w:styleId="Heading">
    <w:name w:val="Heading"/>
    <w:basedOn w:val="BodyText"/>
    <w:next w:val="BodyText"/>
    <w:uiPriority w:val="3"/>
    <w:qFormat/>
    <w:rsid w:val="00043EA5"/>
    <w:pPr>
      <w:keepNext/>
      <w:keepLines/>
      <w:pageBreakBefore/>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ind w:left="567" w:hanging="567"/>
      <w:jc w:val="center"/>
    </w:pPr>
    <w:rPr>
      <w:b/>
      <w:caps/>
    </w:rPr>
  </w:style>
  <w:style w:type="paragraph" w:customStyle="1" w:styleId="ReferenceHeading">
    <w:name w:val="Reference Heading"/>
    <w:basedOn w:val="BodyText"/>
    <w:next w:val="BodyText"/>
    <w:rsid w:val="00043EA5"/>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jc w:val="center"/>
    </w:pPr>
    <w:rPr>
      <w:b/>
      <w:caps/>
    </w:rPr>
  </w:style>
  <w:style w:type="paragraph" w:customStyle="1" w:styleId="Foreword">
    <w:name w:val="Foreword"/>
    <w:basedOn w:val="BodyText"/>
    <w:next w:val="BodyText"/>
    <w:rsid w:val="00043EA5"/>
    <w:pPr>
      <w:pageBreakBefore/>
      <w:jc w:val="center"/>
    </w:pPr>
    <w:rPr>
      <w:b/>
      <w:caps/>
    </w:rPr>
  </w:style>
  <w:style w:type="paragraph" w:customStyle="1" w:styleId="BodyTextList">
    <w:name w:val="Body Text List"/>
    <w:basedOn w:val="BodyText"/>
    <w:rsid w:val="00043EA5"/>
    <w:pPr>
      <w:overflowPunct w:val="0"/>
      <w:autoSpaceDE w:val="0"/>
      <w:autoSpaceDN w:val="0"/>
      <w:adjustRightInd w:val="0"/>
      <w:spacing w:after="0"/>
      <w:ind w:left="567"/>
      <w:textAlignment w:val="baseline"/>
    </w:pPr>
    <w:rPr>
      <w:noProof/>
      <w:lang w:val="en-GB"/>
    </w:rPr>
  </w:style>
  <w:style w:type="paragraph" w:customStyle="1" w:styleId="AppendixHeading1">
    <w:name w:val="Appendix Heading 1"/>
    <w:basedOn w:val="BodyText"/>
    <w:next w:val="BodyText"/>
    <w:uiPriority w:val="2"/>
    <w:qFormat/>
    <w:rsid w:val="00043EA5"/>
    <w:pPr>
      <w:keepNext/>
      <w:keepLines/>
      <w:pageBreakBefore/>
      <w:numPr>
        <w:numId w:val="18"/>
      </w:numPr>
      <w:tabs>
        <w:tab w:val="clear" w:pos="21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b/>
      <w:caps/>
    </w:rPr>
  </w:style>
  <w:style w:type="paragraph" w:customStyle="1" w:styleId="AppendixHeading2">
    <w:name w:val="Appendix Heading 2"/>
    <w:basedOn w:val="BodyText"/>
    <w:next w:val="BodyText"/>
    <w:qFormat/>
    <w:rsid w:val="00043EA5"/>
    <w:pPr>
      <w:keepNext/>
      <w:keepLines/>
      <w:numPr>
        <w:ilvl w:val="1"/>
        <w:numId w:val="18"/>
      </w:numPr>
      <w:tabs>
        <w:tab w:val="clear" w:pos="36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jc w:val="left"/>
    </w:pPr>
    <w:rPr>
      <w:caps/>
    </w:rPr>
  </w:style>
  <w:style w:type="paragraph" w:customStyle="1" w:styleId="AppendixHeading3">
    <w:name w:val="Appendix Heading 3"/>
    <w:basedOn w:val="BodyText"/>
    <w:next w:val="BodyText"/>
    <w:qFormat/>
    <w:rsid w:val="00043EA5"/>
    <w:pPr>
      <w:keepNext/>
      <w:keepLines/>
      <w:numPr>
        <w:ilvl w:val="2"/>
        <w:numId w:val="18"/>
      </w:numPr>
      <w:tabs>
        <w:tab w:val="clear" w:pos="720"/>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851"/>
      <w:jc w:val="left"/>
    </w:pPr>
    <w:rPr>
      <w:b/>
    </w:rPr>
  </w:style>
  <w:style w:type="paragraph" w:customStyle="1" w:styleId="AppendixHeading4">
    <w:name w:val="Appendix Heading 4"/>
    <w:basedOn w:val="BodyText"/>
    <w:next w:val="BodyText"/>
    <w:qFormat/>
    <w:rsid w:val="00043EA5"/>
    <w:pPr>
      <w:numPr>
        <w:ilvl w:val="3"/>
        <w:numId w:val="18"/>
      </w:numPr>
      <w:tabs>
        <w:tab w:val="clear" w:pos="72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134" w:hanging="1134"/>
      <w:jc w:val="left"/>
    </w:pPr>
    <w:rPr>
      <w:i/>
    </w:rPr>
  </w:style>
  <w:style w:type="paragraph" w:styleId="TOC4">
    <w:name w:val="toc 4"/>
    <w:basedOn w:val="BodyText"/>
    <w:next w:val="BodyText"/>
    <w:semiHidden/>
    <w:rsid w:val="00043EA5"/>
    <w:pPr>
      <w:tabs>
        <w:tab w:val="left" w:pos="1418"/>
        <w:tab w:val="right" w:leader="dot" w:pos="9072"/>
      </w:tabs>
      <w:spacing w:before="240" w:after="0"/>
      <w:ind w:left="1418" w:right="567" w:hanging="1418"/>
      <w:jc w:val="left"/>
    </w:pPr>
    <w:rPr>
      <w:caps/>
    </w:rPr>
  </w:style>
  <w:style w:type="paragraph" w:styleId="TOC5">
    <w:name w:val="toc 5"/>
    <w:basedOn w:val="BodyText"/>
    <w:next w:val="BodyText"/>
    <w:semiHidden/>
    <w:rsid w:val="00043EA5"/>
    <w:pPr>
      <w:tabs>
        <w:tab w:val="left" w:pos="1559"/>
        <w:tab w:val="right" w:leader="dot" w:pos="9072"/>
      </w:tabs>
      <w:spacing w:before="240" w:after="0"/>
      <w:ind w:left="1559" w:right="567" w:hanging="1559"/>
      <w:jc w:val="left"/>
    </w:pPr>
    <w:rPr>
      <w:caps/>
      <w:noProof/>
      <w:szCs w:val="24"/>
    </w:rPr>
  </w:style>
  <w:style w:type="paragraph" w:styleId="TOC6">
    <w:name w:val="toc 6"/>
    <w:basedOn w:val="Normal"/>
    <w:next w:val="Normal"/>
    <w:autoRedefine/>
    <w:semiHidden/>
    <w:rsid w:val="00043EA5"/>
    <w:pPr>
      <w:overflowPunct w:val="0"/>
      <w:autoSpaceDE w:val="0"/>
      <w:autoSpaceDN w:val="0"/>
      <w:adjustRightInd w:val="0"/>
      <w:spacing w:before="240" w:after="0" w:line="240" w:lineRule="auto"/>
      <w:ind w:right="567"/>
      <w:textAlignment w:val="baseline"/>
    </w:pPr>
    <w:rPr>
      <w:rFonts w:ascii="Times New Roman" w:eastAsia="Times New Roman" w:hAnsi="Times New Roman" w:cs="Times New Roman"/>
      <w:caps/>
      <w:sz w:val="24"/>
      <w:szCs w:val="20"/>
      <w:lang w:val="en-GB"/>
    </w:rPr>
  </w:style>
  <w:style w:type="paragraph" w:styleId="TOC7">
    <w:name w:val="toc 7"/>
    <w:basedOn w:val="Normal"/>
    <w:next w:val="Normal"/>
    <w:autoRedefine/>
    <w:semiHidden/>
    <w:rsid w:val="00043EA5"/>
    <w:pPr>
      <w:overflowPunct w:val="0"/>
      <w:autoSpaceDE w:val="0"/>
      <w:autoSpaceDN w:val="0"/>
      <w:adjustRightInd w:val="0"/>
      <w:spacing w:after="240" w:line="240" w:lineRule="auto"/>
      <w:ind w:left="1320"/>
      <w:jc w:val="both"/>
      <w:textAlignment w:val="baseline"/>
    </w:pPr>
    <w:rPr>
      <w:rFonts w:ascii="Times New Roman" w:eastAsia="Times New Roman" w:hAnsi="Times New Roman" w:cs="Times New Roman"/>
      <w:sz w:val="24"/>
      <w:szCs w:val="20"/>
      <w:lang w:val="en-GB"/>
    </w:rPr>
  </w:style>
  <w:style w:type="paragraph" w:styleId="TOC8">
    <w:name w:val="toc 8"/>
    <w:basedOn w:val="Normal"/>
    <w:next w:val="Normal"/>
    <w:autoRedefine/>
    <w:semiHidden/>
    <w:rsid w:val="00043EA5"/>
    <w:pPr>
      <w:overflowPunct w:val="0"/>
      <w:autoSpaceDE w:val="0"/>
      <w:autoSpaceDN w:val="0"/>
      <w:adjustRightInd w:val="0"/>
      <w:spacing w:after="240" w:line="240" w:lineRule="auto"/>
      <w:ind w:left="1540"/>
      <w:jc w:val="both"/>
      <w:textAlignment w:val="baseline"/>
    </w:pPr>
    <w:rPr>
      <w:rFonts w:ascii="Times New Roman" w:eastAsia="Times New Roman" w:hAnsi="Times New Roman" w:cs="Times New Roman"/>
      <w:sz w:val="24"/>
      <w:szCs w:val="20"/>
      <w:lang w:val="en-GB"/>
    </w:rPr>
  </w:style>
  <w:style w:type="paragraph" w:styleId="TOC9">
    <w:name w:val="toc 9"/>
    <w:basedOn w:val="Normal"/>
    <w:next w:val="Normal"/>
    <w:autoRedefine/>
    <w:semiHidden/>
    <w:rsid w:val="00043EA5"/>
    <w:pPr>
      <w:overflowPunct w:val="0"/>
      <w:autoSpaceDE w:val="0"/>
      <w:autoSpaceDN w:val="0"/>
      <w:adjustRightInd w:val="0"/>
      <w:spacing w:after="240" w:line="240" w:lineRule="auto"/>
      <w:ind w:left="1760"/>
      <w:jc w:val="both"/>
      <w:textAlignment w:val="baseline"/>
    </w:pPr>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043EA5"/>
    <w:pPr>
      <w:shd w:val="clear" w:color="auto" w:fill="000080"/>
      <w:overflowPunct w:val="0"/>
      <w:autoSpaceDE w:val="0"/>
      <w:autoSpaceDN w:val="0"/>
      <w:adjustRightInd w:val="0"/>
      <w:spacing w:after="240" w:line="240" w:lineRule="auto"/>
      <w:jc w:val="both"/>
      <w:textAlignment w:val="baseline"/>
    </w:pPr>
    <w:rPr>
      <w:rFonts w:ascii="Tahoma" w:eastAsia="Times New Roman" w:hAnsi="Tahoma" w:cs="Tahoma"/>
      <w:sz w:val="24"/>
      <w:szCs w:val="20"/>
      <w:lang w:val="en-GB"/>
    </w:rPr>
  </w:style>
  <w:style w:type="character" w:customStyle="1" w:styleId="DocumentMapChar">
    <w:name w:val="Document Map Char"/>
    <w:basedOn w:val="DefaultParagraphFont"/>
    <w:link w:val="DocumentMap"/>
    <w:semiHidden/>
    <w:rsid w:val="00043EA5"/>
    <w:rPr>
      <w:rFonts w:ascii="Tahoma" w:eastAsia="Times New Roman" w:hAnsi="Tahoma" w:cs="Tahoma"/>
      <w:sz w:val="24"/>
      <w:szCs w:val="20"/>
      <w:shd w:val="clear" w:color="auto" w:fill="000080"/>
      <w:lang w:val="en-GB"/>
    </w:rPr>
  </w:style>
  <w:style w:type="paragraph" w:customStyle="1" w:styleId="BodyTextIndented">
    <w:name w:val="Body Text Indented"/>
    <w:basedOn w:val="BodyText"/>
    <w:rsid w:val="00043EA5"/>
    <w:pPr>
      <w:ind w:firstLine="567"/>
    </w:pPr>
  </w:style>
  <w:style w:type="paragraph" w:customStyle="1" w:styleId="AppendixTitle">
    <w:name w:val="Appendix Title"/>
    <w:basedOn w:val="BodyText"/>
    <w:rsid w:val="00043EA5"/>
    <w:pPr>
      <w:jc w:val="center"/>
    </w:pPr>
    <w:rPr>
      <w:b/>
      <w:caps/>
    </w:rPr>
  </w:style>
  <w:style w:type="paragraph" w:customStyle="1" w:styleId="AnnexTitle">
    <w:name w:val="Annex Title"/>
    <w:rsid w:val="00043EA5"/>
    <w:pPr>
      <w:spacing w:after="0" w:line="480" w:lineRule="auto"/>
      <w:jc w:val="center"/>
    </w:pPr>
    <w:rPr>
      <w:rFonts w:ascii="Times New Roman" w:eastAsia="Times New Roman" w:hAnsi="Times New Roman" w:cs="Times New Roman"/>
      <w:b/>
      <w:caps/>
      <w:sz w:val="24"/>
      <w:szCs w:val="20"/>
      <w:lang w:val="en-US"/>
    </w:rPr>
  </w:style>
  <w:style w:type="paragraph" w:customStyle="1" w:styleId="ListParagraph1">
    <w:name w:val="List Paragraph1"/>
    <w:basedOn w:val="Normal"/>
    <w:qFormat/>
    <w:rsid w:val="00043EA5"/>
    <w:pPr>
      <w:ind w:left="720"/>
      <w:contextualSpacing/>
    </w:pPr>
    <w:rPr>
      <w:rFonts w:ascii="Calibri" w:eastAsia="Times New Roman" w:hAnsi="Calibri" w:cs="Times New Roman"/>
      <w:lang w:val="en-GB" w:eastAsia="en-GB"/>
    </w:rPr>
  </w:style>
  <w:style w:type="character" w:styleId="PlaceholderText">
    <w:name w:val="Placeholder Text"/>
    <w:basedOn w:val="DefaultParagraphFont"/>
    <w:uiPriority w:val="99"/>
    <w:semiHidden/>
    <w:rsid w:val="00043EA5"/>
    <w:rPr>
      <w:color w:val="808080"/>
    </w:rPr>
  </w:style>
  <w:style w:type="paragraph" w:styleId="TOCHeading">
    <w:name w:val="TOC Heading"/>
    <w:basedOn w:val="Heading1"/>
    <w:next w:val="Normal"/>
    <w:uiPriority w:val="39"/>
    <w:semiHidden/>
    <w:unhideWhenUsed/>
    <w:qFormat/>
    <w:rsid w:val="00043EA5"/>
    <w:pPr>
      <w:numPr>
        <w:numId w:val="0"/>
      </w:numPr>
      <w:spacing w:before="480" w:line="276" w:lineRule="auto"/>
      <w:outlineLvl w:val="9"/>
    </w:pPr>
    <w:rPr>
      <w:b/>
      <w:bCs/>
      <w:sz w:val="28"/>
      <w:szCs w:val="28"/>
      <w:lang w:val="es-ES" w:eastAsia="es-ES"/>
    </w:rPr>
  </w:style>
  <w:style w:type="paragraph" w:styleId="EndnoteText">
    <w:name w:val="endnote text"/>
    <w:basedOn w:val="Normal"/>
    <w:link w:val="EndnoteTextChar"/>
    <w:rsid w:val="00043EA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043EA5"/>
    <w:rPr>
      <w:rFonts w:ascii="Times New Roman" w:eastAsia="Times New Roman" w:hAnsi="Times New Roman" w:cs="Times New Roman"/>
      <w:sz w:val="20"/>
      <w:szCs w:val="20"/>
      <w:lang w:val="en-GB"/>
    </w:rPr>
  </w:style>
  <w:style w:type="character" w:styleId="EndnoteReference">
    <w:name w:val="endnote reference"/>
    <w:basedOn w:val="DefaultParagraphFont"/>
    <w:rsid w:val="00043EA5"/>
    <w:rPr>
      <w:vertAlign w:val="superscript"/>
    </w:rPr>
  </w:style>
  <w:style w:type="paragraph" w:styleId="ListNumber">
    <w:name w:val="List Number"/>
    <w:basedOn w:val="Normal"/>
    <w:uiPriority w:val="99"/>
    <w:unhideWhenUsed/>
    <w:rsid w:val="005D0292"/>
    <w:pPr>
      <w:numPr>
        <w:numId w:val="39"/>
      </w:numPr>
      <w:spacing w:after="120" w:line="240" w:lineRule="auto"/>
      <w:jc w:val="both"/>
    </w:pPr>
    <w:rPr>
      <w:rFonts w:ascii="Times New Roman" w:hAnsi="Times New Roman"/>
      <w:sz w:val="24"/>
      <w:lang w:val="es-CL"/>
    </w:rPr>
  </w:style>
  <w:style w:type="paragraph" w:styleId="ListBullet">
    <w:name w:val="List Bullet"/>
    <w:basedOn w:val="Normal"/>
    <w:uiPriority w:val="99"/>
    <w:unhideWhenUsed/>
    <w:rsid w:val="005D0292"/>
    <w:pPr>
      <w:numPr>
        <w:numId w:val="35"/>
      </w:numPr>
      <w:spacing w:after="120" w:line="240" w:lineRule="auto"/>
      <w:jc w:val="both"/>
    </w:pPr>
    <w:rPr>
      <w:rFonts w:ascii="Times New Roman" w:hAnsi="Times New Roman"/>
      <w:sz w:val="24"/>
      <w:lang w:val="es-CL"/>
    </w:rPr>
  </w:style>
  <w:style w:type="paragraph" w:styleId="ListBullet2">
    <w:name w:val="List Bullet 2"/>
    <w:basedOn w:val="Normal"/>
    <w:uiPriority w:val="99"/>
    <w:unhideWhenUsed/>
    <w:rsid w:val="005D0292"/>
    <w:pPr>
      <w:numPr>
        <w:numId w:val="36"/>
      </w:numPr>
      <w:spacing w:after="0" w:line="240" w:lineRule="auto"/>
      <w:contextualSpacing/>
      <w:jc w:val="both"/>
    </w:pPr>
    <w:rPr>
      <w:rFonts w:ascii="Times New Roman" w:hAnsi="Times New Roman"/>
      <w:sz w:val="24"/>
      <w:lang w:val="es-CL"/>
    </w:rPr>
  </w:style>
  <w:style w:type="paragraph" w:customStyle="1" w:styleId="m8353342046445052423msobodytext2">
    <w:name w:val="m_8353342046445052423msobodytext2"/>
    <w:basedOn w:val="Normal"/>
    <w:rsid w:val="005D0292"/>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FollowedHyperlink">
    <w:name w:val="FollowedHyperlink"/>
    <w:basedOn w:val="DefaultParagraphFont"/>
    <w:uiPriority w:val="99"/>
    <w:semiHidden/>
    <w:unhideWhenUsed/>
    <w:rsid w:val="00892476"/>
    <w:rPr>
      <w:color w:val="800080" w:themeColor="followedHyperlink"/>
      <w:u w:val="single"/>
    </w:rPr>
  </w:style>
  <w:style w:type="paragraph" w:styleId="Revision">
    <w:name w:val="Revision"/>
    <w:hidden/>
    <w:uiPriority w:val="99"/>
    <w:semiHidden/>
    <w:rsid w:val="008A4588"/>
    <w:pPr>
      <w:spacing w:after="0" w:line="240" w:lineRule="auto"/>
    </w:pPr>
    <w:rPr>
      <w:lang w:val="es-ES_tradnl"/>
    </w:rPr>
  </w:style>
  <w:style w:type="character" w:customStyle="1" w:styleId="st">
    <w:name w:val="st"/>
    <w:basedOn w:val="DefaultParagraphFont"/>
    <w:rsid w:val="00BF4F4F"/>
  </w:style>
  <w:style w:type="character" w:customStyle="1" w:styleId="hgkelc">
    <w:name w:val="hgkelc"/>
    <w:basedOn w:val="DefaultParagraphFont"/>
    <w:rsid w:val="00BF4F4F"/>
  </w:style>
  <w:style w:type="character" w:styleId="UnresolvedMention">
    <w:name w:val="Unresolved Mention"/>
    <w:basedOn w:val="DefaultParagraphFont"/>
    <w:uiPriority w:val="99"/>
    <w:semiHidden/>
    <w:unhideWhenUsed/>
    <w:rsid w:val="00594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167">
      <w:bodyDiv w:val="1"/>
      <w:marLeft w:val="0"/>
      <w:marRight w:val="0"/>
      <w:marTop w:val="0"/>
      <w:marBottom w:val="0"/>
      <w:divBdr>
        <w:top w:val="none" w:sz="0" w:space="0" w:color="auto"/>
        <w:left w:val="none" w:sz="0" w:space="0" w:color="auto"/>
        <w:bottom w:val="none" w:sz="0" w:space="0" w:color="auto"/>
        <w:right w:val="none" w:sz="0" w:space="0" w:color="auto"/>
      </w:divBdr>
    </w:div>
    <w:div w:id="391318104">
      <w:bodyDiv w:val="1"/>
      <w:marLeft w:val="0"/>
      <w:marRight w:val="0"/>
      <w:marTop w:val="0"/>
      <w:marBottom w:val="0"/>
      <w:divBdr>
        <w:top w:val="none" w:sz="0" w:space="0" w:color="auto"/>
        <w:left w:val="none" w:sz="0" w:space="0" w:color="auto"/>
        <w:bottom w:val="none" w:sz="0" w:space="0" w:color="auto"/>
        <w:right w:val="none" w:sz="0" w:space="0" w:color="auto"/>
      </w:divBdr>
    </w:div>
    <w:div w:id="423378653">
      <w:bodyDiv w:val="1"/>
      <w:marLeft w:val="0"/>
      <w:marRight w:val="0"/>
      <w:marTop w:val="0"/>
      <w:marBottom w:val="0"/>
      <w:divBdr>
        <w:top w:val="none" w:sz="0" w:space="0" w:color="auto"/>
        <w:left w:val="none" w:sz="0" w:space="0" w:color="auto"/>
        <w:bottom w:val="none" w:sz="0" w:space="0" w:color="auto"/>
        <w:right w:val="none" w:sz="0" w:space="0" w:color="auto"/>
      </w:divBdr>
    </w:div>
    <w:div w:id="749352916">
      <w:bodyDiv w:val="1"/>
      <w:marLeft w:val="0"/>
      <w:marRight w:val="0"/>
      <w:marTop w:val="0"/>
      <w:marBottom w:val="0"/>
      <w:divBdr>
        <w:top w:val="none" w:sz="0" w:space="0" w:color="auto"/>
        <w:left w:val="none" w:sz="0" w:space="0" w:color="auto"/>
        <w:bottom w:val="none" w:sz="0" w:space="0" w:color="auto"/>
        <w:right w:val="none" w:sz="0" w:space="0" w:color="auto"/>
      </w:divBdr>
    </w:div>
    <w:div w:id="809635255">
      <w:bodyDiv w:val="1"/>
      <w:marLeft w:val="0"/>
      <w:marRight w:val="0"/>
      <w:marTop w:val="0"/>
      <w:marBottom w:val="0"/>
      <w:divBdr>
        <w:top w:val="none" w:sz="0" w:space="0" w:color="auto"/>
        <w:left w:val="none" w:sz="0" w:space="0" w:color="auto"/>
        <w:bottom w:val="none" w:sz="0" w:space="0" w:color="auto"/>
        <w:right w:val="none" w:sz="0" w:space="0" w:color="auto"/>
      </w:divBdr>
    </w:div>
    <w:div w:id="921909715">
      <w:bodyDiv w:val="1"/>
      <w:marLeft w:val="0"/>
      <w:marRight w:val="0"/>
      <w:marTop w:val="0"/>
      <w:marBottom w:val="0"/>
      <w:divBdr>
        <w:top w:val="none" w:sz="0" w:space="0" w:color="auto"/>
        <w:left w:val="none" w:sz="0" w:space="0" w:color="auto"/>
        <w:bottom w:val="none" w:sz="0" w:space="0" w:color="auto"/>
        <w:right w:val="none" w:sz="0" w:space="0" w:color="auto"/>
      </w:divBdr>
    </w:div>
    <w:div w:id="1181043263">
      <w:bodyDiv w:val="1"/>
      <w:marLeft w:val="0"/>
      <w:marRight w:val="0"/>
      <w:marTop w:val="0"/>
      <w:marBottom w:val="0"/>
      <w:divBdr>
        <w:top w:val="none" w:sz="0" w:space="0" w:color="auto"/>
        <w:left w:val="none" w:sz="0" w:space="0" w:color="auto"/>
        <w:bottom w:val="none" w:sz="0" w:space="0" w:color="auto"/>
        <w:right w:val="none" w:sz="0" w:space="0" w:color="auto"/>
      </w:divBdr>
    </w:div>
    <w:div w:id="1191142285">
      <w:bodyDiv w:val="1"/>
      <w:marLeft w:val="0"/>
      <w:marRight w:val="0"/>
      <w:marTop w:val="0"/>
      <w:marBottom w:val="0"/>
      <w:divBdr>
        <w:top w:val="none" w:sz="0" w:space="0" w:color="auto"/>
        <w:left w:val="none" w:sz="0" w:space="0" w:color="auto"/>
        <w:bottom w:val="none" w:sz="0" w:space="0" w:color="auto"/>
        <w:right w:val="none" w:sz="0" w:space="0" w:color="auto"/>
      </w:divBdr>
    </w:div>
    <w:div w:id="1406954301">
      <w:bodyDiv w:val="1"/>
      <w:marLeft w:val="0"/>
      <w:marRight w:val="0"/>
      <w:marTop w:val="0"/>
      <w:marBottom w:val="0"/>
      <w:divBdr>
        <w:top w:val="none" w:sz="0" w:space="0" w:color="auto"/>
        <w:left w:val="none" w:sz="0" w:space="0" w:color="auto"/>
        <w:bottom w:val="none" w:sz="0" w:space="0" w:color="auto"/>
        <w:right w:val="none" w:sz="0" w:space="0" w:color="auto"/>
      </w:divBdr>
    </w:div>
    <w:div w:id="1499232523">
      <w:bodyDiv w:val="1"/>
      <w:marLeft w:val="0"/>
      <w:marRight w:val="0"/>
      <w:marTop w:val="0"/>
      <w:marBottom w:val="0"/>
      <w:divBdr>
        <w:top w:val="none" w:sz="0" w:space="0" w:color="auto"/>
        <w:left w:val="none" w:sz="0" w:space="0" w:color="auto"/>
        <w:bottom w:val="none" w:sz="0" w:space="0" w:color="auto"/>
        <w:right w:val="none" w:sz="0" w:space="0" w:color="auto"/>
      </w:divBdr>
    </w:div>
    <w:div w:id="1681010717">
      <w:bodyDiv w:val="1"/>
      <w:marLeft w:val="0"/>
      <w:marRight w:val="0"/>
      <w:marTop w:val="0"/>
      <w:marBottom w:val="0"/>
      <w:divBdr>
        <w:top w:val="none" w:sz="0" w:space="0" w:color="auto"/>
        <w:left w:val="none" w:sz="0" w:space="0" w:color="auto"/>
        <w:bottom w:val="none" w:sz="0" w:space="0" w:color="auto"/>
        <w:right w:val="none" w:sz="0" w:space="0" w:color="auto"/>
      </w:divBdr>
    </w:div>
    <w:div w:id="211651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header" Target="header6.xml"/><Relationship Id="rId39" Type="http://schemas.openxmlformats.org/officeDocument/2006/relationships/hyperlink" Target="https://www.cepal.org/es/publicaciones/44525-perspectivas-economicas-america-latina-2019-desarrollo-transicion" TargetMode="External"/><Relationship Id="rId21" Type="http://schemas.openxmlformats.org/officeDocument/2006/relationships/image" Target="media/image5.png"/><Relationship Id="rId34" Type="http://schemas.openxmlformats.org/officeDocument/2006/relationships/hyperlink" Target="http://www.who.int/nutrition/topics/nutrition_globaltargets2025/en/" TargetMode="External"/><Relationship Id="rId42" Type="http://schemas.openxmlformats.org/officeDocument/2006/relationships/hyperlink" Target="https://www.cepal.org/sites/default/files/news/files/amazonia_posible_y_sostenible.pdf" TargetMode="External"/><Relationship Id="rId47" Type="http://schemas.openxmlformats.org/officeDocument/2006/relationships/hyperlink" Target="http://www.who.int" TargetMode="External"/><Relationship Id="rId50" Type="http://schemas.openxmlformats.org/officeDocument/2006/relationships/hyperlink" Target="http://www.who.int" TargetMode="External"/><Relationship Id="rId55" Type="http://schemas.openxmlformats.org/officeDocument/2006/relationships/hyperlink" Target="https://www.ilo.org/global/about-the-ilo/newsroom/news/WCMS_008522/lang--es/index.htm" TargetMode="External"/><Relationship Id="rId63" Type="http://schemas.openxmlformats.org/officeDocument/2006/relationships/hyperlink" Target="http://www.eclac.org/publicaciones/xml/4/48374/LEO_2013.pdf" TargetMode="External"/><Relationship Id="rId68"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www.paho.org/salud-en-las-americas-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s://repositorio.cepal.org/bitstream/handle/11362/40155/24/S1801141_es.pdf" TargetMode="External"/><Relationship Id="rId37" Type="http://schemas.openxmlformats.org/officeDocument/2006/relationships/hyperlink" Target="https://www.onu.org.ar/stuff/Informe-ODS-2019.pdf" TargetMode="External"/><Relationship Id="rId40" Type="http://schemas.openxmlformats.org/officeDocument/2006/relationships/hyperlink" Target="http://estadisticas.cepal.org/cepalstat/portada.html?idioma=english" TargetMode="External"/><Relationship Id="rId45" Type="http://schemas.openxmlformats.org/officeDocument/2006/relationships/hyperlink" Target="https://www.paho.org/salud-en-las-americas-2017/wp-content/uploads/2017/09/Print-Version-Spanish.pdf" TargetMode="External"/><Relationship Id="rId53" Type="http://schemas.openxmlformats.org/officeDocument/2006/relationships/hyperlink" Target="https://www.iaea.org/sites/default/files/18/06/mitigating-the-impact-of-harmful-algal-blooms-using-nuclear-based-techniques_sp-update.pdf" TargetMode="External"/><Relationship Id="rId58" Type="http://schemas.openxmlformats.org/officeDocument/2006/relationships/hyperlink" Target="https://www.bp.com/content/dam/bp/business-sites/en/global/corporate/pdfs/energy-economics/statistical-review/bp-stats-review-2019-full-report.pdf" TargetMode="External"/><Relationship Id="rId66" Type="http://schemas.openxmlformats.org/officeDocument/2006/relationships/hyperlink" Target="http://datos.bancomundial.org/region/LAC"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hyperlink" Target="https://www.onu.org.ar/agenda-post-2015/" TargetMode="External"/><Relationship Id="rId49" Type="http://schemas.openxmlformats.org/officeDocument/2006/relationships/hyperlink" Target="https://openknowledge.worldbank.org/handle/10986/30317" TargetMode="External"/><Relationship Id="rId57" Type="http://schemas.openxmlformats.org/officeDocument/2006/relationships/hyperlink" Target="https://databank.worldbank.org/source/education-statistics-%5e-all-indicators" TargetMode="External"/><Relationship Id="rId61" Type="http://schemas.openxmlformats.org/officeDocument/2006/relationships/hyperlink" Target="http://www.iea.org" TargetMode="Externa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yperlink" Target="https://repositorio.cepal.org/bitstream/handle/11362/7121/1/S0701080_mu.pdf" TargetMode="External"/><Relationship Id="rId44" Type="http://schemas.openxmlformats.org/officeDocument/2006/relationships/hyperlink" Target="http://cepis.org.pe/hdt87-deterioro-calidad-aire/" TargetMode="External"/><Relationship Id="rId52" Type="http://schemas.openxmlformats.org/officeDocument/2006/relationships/hyperlink" Target="https://unesdoc.unesco.org/ark:/48223/pf0000266209" TargetMode="External"/><Relationship Id="rId60" Type="http://schemas.openxmlformats.org/officeDocument/2006/relationships/hyperlink" Target="https://www.bnamericas.com/es/perfil-empresa/fitch-ratings-inc" TargetMode="External"/><Relationship Id="rId65" Type="http://schemas.openxmlformats.org/officeDocument/2006/relationships/hyperlink" Target="http://data.worldbank.org/indicato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7.png"/><Relationship Id="rId30" Type="http://schemas.openxmlformats.org/officeDocument/2006/relationships/hyperlink" Target="http://repositorio.cepal.org/bitstream/handle/11362/39965/1/S1600227_es.pdf" TargetMode="External"/><Relationship Id="rId35" Type="http://schemas.openxmlformats.org/officeDocument/2006/relationships/hyperlink" Target="https://www.iaea.org/sites/default/files/torzsok-presentation-200917.pdf" TargetMode="External"/><Relationship Id="rId43" Type="http://schemas.openxmlformats.org/officeDocument/2006/relationships/hyperlink" Target="https://unesdoc.unesco.org/ark:/48223/pf0000261494" TargetMode="External"/><Relationship Id="rId48" Type="http://schemas.openxmlformats.org/officeDocument/2006/relationships/hyperlink" Target="http://iris.paho.org/xmlui/handle/123456789/31288" TargetMode="External"/><Relationship Id="rId56" Type="http://schemas.openxmlformats.org/officeDocument/2006/relationships/hyperlink" Target="https://repositorio.cepal.org/bitstream/handle/11362/44584/1/S1900199_es.pdf" TargetMode="External"/><Relationship Id="rId64" Type="http://schemas.openxmlformats.org/officeDocument/2006/relationships/hyperlink" Target="http://cas.web.cern.ch/cas/Holland/PDF-lectures/Cleland/School-2.pdf"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citeseerx.ist.psu.edu/viewdoc/download?doi=10.1.1.455.5717&amp;rep=rep1&amp;type=pdf"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www.paho.org/hq/index.php?option=com_content&amp;view=article%20&amp;id=9010:2013-cancer-americas-country-profiles-2013&amp;Itemid=40084&amp;lang=es" TargetMode="External"/><Relationship Id="rId38" Type="http://schemas.openxmlformats.org/officeDocument/2006/relationships/hyperlink" Target="http://www.cepal.org/es/temas/agenda-2030-desarrollo-sostenible/seguimiento-implementacion-la-agenda-2030" TargetMode="External"/><Relationship Id="rId46" Type="http://schemas.openxmlformats.org/officeDocument/2006/relationships/hyperlink" Target="https://www.statista.com/statistics/868789/number-deaths-air-pollution-latin-america-caribbean-country/" TargetMode="External"/><Relationship Id="rId59" Type="http://schemas.openxmlformats.org/officeDocument/2006/relationships/hyperlink" Target="https://www.statista.com/statistics/264331/global-oil-reserves-since-1990/" TargetMode="External"/><Relationship Id="rId67" Type="http://schemas.openxmlformats.org/officeDocument/2006/relationships/hyperlink" Target="http://esa.un.org/wpp/" TargetMode="External"/><Relationship Id="rId20" Type="http://schemas.openxmlformats.org/officeDocument/2006/relationships/footer" Target="footer5.xml"/><Relationship Id="rId41" Type="http://schemas.openxmlformats.org/officeDocument/2006/relationships/hyperlink" Target="https://library.wmo.int/doc_num.php?explnum_id=10077" TargetMode="External"/><Relationship Id="rId54" Type="http://schemas.openxmlformats.org/officeDocument/2006/relationships/hyperlink" Target="http://www.fao.org/3/ca1465es/CA1465ES.pdf" TargetMode="External"/><Relationship Id="rId62" Type="http://schemas.openxmlformats.org/officeDocument/2006/relationships/hyperlink" Target="http://www.un.org/es/millenniumgoals/pdf/mdg-report-2013-spanish.pdf" TargetMode="External"/><Relationship Id="rId7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For17</b:Tag>
    <b:SourceType>InternetSite</b:SourceType>
    <b:Guid>{DCBE14D9-5EFA-4C85-9FD3-33F8F0D2B115}</b:Guid>
    <b:Author>
      <b:Author>
        <b:NameList>
          <b:Person>
            <b:Last>Forbes</b:Last>
          </b:Person>
        </b:NameList>
      </b:Author>
    </b:Author>
    <b:Title>Forbes México</b:Title>
    <b:Year>2017</b:Year>
    <b:Month>Abril</b:Month>
    <b:Day>04</b:Day>
    <b:URL>https://www.forbes.com.mx/como-piensa-mattel-vivir-despues-de-barbie/#gs._JQCPjk</b:URL>
    <b:RefOrder>1</b:RefOrder>
  </b:Source>
  <b:Source>
    <b:Tag>Bro16</b:Tag>
    <b:SourceType>Book</b:SourceType>
    <b:Guid>{E086B768-F092-425C-9333-21F6789EDC74}</b:Guid>
    <b:Title>Mujer Sin Blanca Soltera Busca </b:Title>
    <b:Year>2016</b:Year>
    <b:Author>
      <b:Author>
        <b:NameList>
          <b:Person>
            <b:Last>Bros</b:Last>
            <b:First>Montserrat</b:First>
          </b:Person>
        </b:NameList>
      </b:Author>
    </b:Author>
    <b:City>Barcelona</b:City>
    <b:Publisher>La Esfera de los Libros</b:Publisher>
    <b:RefOrder>2</b:RefOrder>
  </b:Source>
</b:Sources>
</file>

<file path=customXml/itemProps1.xml><?xml version="1.0" encoding="utf-8"?>
<ds:datastoreItem xmlns:ds="http://schemas.openxmlformats.org/officeDocument/2006/customXml" ds:itemID="{9C6C8E4B-27D3-42AE-84C4-99D8BF0F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162</Pages>
  <Words>54778</Words>
  <Characters>312235</Characters>
  <Application>Microsoft Office Word</Application>
  <DocSecurity>0</DocSecurity>
  <Lines>2601</Lines>
  <Paragraphs>732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366281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SCAMILLA ANDREO ALEDO, Raquel</cp:lastModifiedBy>
  <cp:revision>25</cp:revision>
  <cp:lastPrinted>2020-02-03T19:19:00Z</cp:lastPrinted>
  <dcterms:created xsi:type="dcterms:W3CDTF">2020-09-11T12:55:00Z</dcterms:created>
  <dcterms:modified xsi:type="dcterms:W3CDTF">2020-09-14T10:24:00Z</dcterms:modified>
</cp:coreProperties>
</file>